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cs="Times New Roman" w:eastAsiaTheme="majorEastAsia"/>
          <w:b/>
          <w:bCs/>
          <w:color w:val="auto"/>
          <w:sz w:val="44"/>
          <w:szCs w:val="44"/>
          <w:lang w:eastAsia="zh-CN"/>
        </w:rPr>
        <w:t>同江市退役军人事务局</w:t>
      </w:r>
      <w:r>
        <w:rPr>
          <w:rFonts w:hint="default" w:ascii="Times New Roman" w:hAnsi="Times New Roman" w:cs="Times New Roman" w:eastAsiaTheme="majorEastAsia"/>
          <w:b/>
          <w:bCs/>
          <w:color w:val="auto"/>
          <w:sz w:val="44"/>
          <w:szCs w:val="44"/>
          <w:lang w:val="en-US" w:eastAsia="zh-CN"/>
        </w:rPr>
        <w:t>2020年</w:t>
      </w:r>
      <w:r>
        <w:rPr>
          <w:rFonts w:hint="default" w:ascii="Times New Roman" w:hAnsi="Times New Roman" w:cs="Times New Roman" w:eastAsiaTheme="majorEastAsia"/>
          <w:b/>
          <w:bCs/>
          <w:color w:val="auto"/>
          <w:sz w:val="44"/>
          <w:szCs w:val="44"/>
        </w:rPr>
        <w:t>政府信息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color w:val="auto"/>
        </w:rPr>
      </w:pPr>
      <w:r>
        <w:rPr>
          <w:rFonts w:hint="default" w:ascii="Times New Roman" w:hAnsi="Times New Roman" w:cs="Times New Roman" w:eastAsiaTheme="majorEastAsia"/>
          <w:b/>
          <w:bCs/>
          <w:color w:val="auto"/>
          <w:sz w:val="44"/>
          <w:szCs w:val="44"/>
        </w:rPr>
        <w:t>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退役军人事务局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始终坚持以习近平新时代中国特色社会主义思想为指导，认真贯彻落实《中华人民共和国政府信息公开条例》和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市委、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关于全面推进政务公开工作的部署要求，紧紧围绕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同江市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发展和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军烈属及退役军人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关切，重点规范了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退役军人事务工作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政务公开，有效提升了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退役军人事务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政务公开质量，政府信息公开工作更好地服务于全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市退役军人事务工作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发展。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重点规范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退役军人事务工作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信息公开工作。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细化每一项任务，狠抓落实到人。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局主要领导例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会研究部署推进政务公开工作，明确办公室作为政府信息公开的职责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，将政府信息公开工作纳入年度工作计划，纳入对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目标管理考评重要内容，切实发挥统筹指导协调推进职责。不定期召集专题会议，监督、检查、通报，推进政务公开工作重要事项。加强制度建设，制定信息公开工作制度、完善政府信息公开相关工作制度。加强督查督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（二）深化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退役军人事务工作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信息主动公开。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市委、市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政府工作报告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退役军人事务工作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任务、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全市退役军人事务工作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重大决策部署、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省退役军人事务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工作报告中确定的重点工作和任务分工，选取社会广泛关注、与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退役军人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关系密切的事项信息公开、公布进展情况，加大执行和落实情况公开力度。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年度，我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通过各种形式进行信息公开：一是在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同江市政府网站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条。二是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利用微信公开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条。三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是在黑龙江省政府采购网公布政府集中采购信息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加强监督保障，同时做好依申请公开和舆情回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通过多种方式强化监督保障，网上留言、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同江贴吧、市长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箱、信访接待、业务咨询、投诉举报、意见建议等多种渠道，健全和完善内部办理的工作机制，着力提高回复效率和质量。全部按时办结。全年未发生因政府信息公开工作引发举报、投诉、申请行政复议或提起行政诉讼的情况。做好不予公开政府信息，主要包括涉及国家秘密、内部工作秘密及依法不予公开的其他信息。同时进一步强化舆情回应，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军队转业干部、退役士兵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等社会热点，及时解疑释惑，理顺情绪，化解矛盾。加强与新闻媒体的沟通联系，提高政务舆情回应的主动性、针对性、有效性。稳妥做好突发事件舆情回应工作，及时准确发布权威信息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主动公开政府信息情况</w:t>
      </w:r>
    </w:p>
    <w:tbl>
      <w:tblPr>
        <w:tblStyle w:val="5"/>
        <w:tblW w:w="907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2268"/>
        <w:gridCol w:w="2268"/>
        <w:gridCol w:w="22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本年新制作数量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本年新公开数量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规章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规范性文件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本年增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其他对外管理服务事项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本年增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4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4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采购项目数量</w:t>
            </w:r>
          </w:p>
        </w:tc>
        <w:tc>
          <w:tcPr>
            <w:tcW w:w="4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政府集中采购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64000元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收到和处理政府信息公开申请情况</w:t>
      </w:r>
    </w:p>
    <w:tbl>
      <w:tblPr>
        <w:tblStyle w:val="5"/>
        <w:tblW w:w="919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705"/>
        <w:gridCol w:w="2850"/>
        <w:gridCol w:w="705"/>
        <w:gridCol w:w="705"/>
        <w:gridCol w:w="705"/>
        <w:gridCol w:w="705"/>
        <w:gridCol w:w="705"/>
        <w:gridCol w:w="705"/>
        <w:gridCol w:w="7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2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2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自然人</w:t>
            </w:r>
          </w:p>
        </w:tc>
        <w:tc>
          <w:tcPr>
            <w:tcW w:w="3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2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商业企业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科研机构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（二）部分公开（区分处理的，只记这一情形，不计其他情形）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5"/>
        <w:tblW w:w="945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63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的信息公开工作虽然取得了一定成效，但与公众日益增长的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退役军人事务工作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需求还存在差距。主要是对政策解读、重点工作的系统性宣传有待进一步加强，信息公开内容有待于进一步规范；公开形式不够丰富，内容仍需要深入细化；一些政府信息公开不够及时，在公开信息的主动性上还需进一步加强；对所属单位政府信息公开的指导力度不够等。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将坚持以公开为常态、不公开为例外的原则，进一步加强政府信息公开工作，强化推进决策公开、执行公开、管理公开、服务公开、结果公开。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黑体" w:cs="Times New Roman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暂无其他需要报告的事项。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7681F"/>
    <w:rsid w:val="03D7681F"/>
    <w:rsid w:val="0548338F"/>
    <w:rsid w:val="06557389"/>
    <w:rsid w:val="07F16B91"/>
    <w:rsid w:val="0A66377B"/>
    <w:rsid w:val="0EDC235E"/>
    <w:rsid w:val="179C1BE5"/>
    <w:rsid w:val="21756E14"/>
    <w:rsid w:val="262A24A4"/>
    <w:rsid w:val="28790410"/>
    <w:rsid w:val="2DA0370F"/>
    <w:rsid w:val="326D690E"/>
    <w:rsid w:val="3EA214F2"/>
    <w:rsid w:val="40531B5A"/>
    <w:rsid w:val="595B5668"/>
    <w:rsid w:val="5BF80FBC"/>
    <w:rsid w:val="5D5E29B1"/>
    <w:rsid w:val="5F223733"/>
    <w:rsid w:val="611838FC"/>
    <w:rsid w:val="65FC3B40"/>
    <w:rsid w:val="6804526C"/>
    <w:rsid w:val="68DB126C"/>
    <w:rsid w:val="6A243DA0"/>
    <w:rsid w:val="6C1036CB"/>
    <w:rsid w:val="6F285382"/>
    <w:rsid w:val="740F12E0"/>
    <w:rsid w:val="75F5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2020-01-09T00:54:00Z</dcterms:created>
  <dc:creator>xxzx</dc:creator>
  <cp:lastModifiedBy>筱珺</cp:lastModifiedBy>
  <cp:lastPrinted>2021-01-13T03:19:00Z</cp:lastPrinted>
  <dcterms:modified xsi:type="dcterms:W3CDTF">2021-01-28T02:05:48Z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