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b/>
          <w:bCs/>
          <w:color w:val="auto"/>
          <w:sz w:val="56"/>
          <w:szCs w:val="72"/>
        </w:rPr>
      </w:pPr>
      <w:r>
        <w:rPr>
          <w:rFonts w:hint="default" w:ascii="Times New Roman" w:hAnsi="Times New Roman" w:cs="Times New Roman"/>
          <w:b/>
          <w:bCs/>
          <w:color w:val="auto"/>
          <w:sz w:val="56"/>
          <w:szCs w:val="72"/>
        </w:rPr>
        <w:t xml:space="preserve"> </w:t>
      </w:r>
    </w:p>
    <w:p>
      <w:pPr>
        <w:jc w:val="center"/>
        <w:rPr>
          <w:rFonts w:hint="default" w:ascii="Times New Roman" w:hAnsi="Times New Roman" w:cs="Times New Roman"/>
          <w:b/>
          <w:bCs/>
          <w:color w:val="auto"/>
          <w:sz w:val="56"/>
          <w:szCs w:val="72"/>
        </w:rPr>
      </w:pPr>
    </w:p>
    <w:p>
      <w:pPr>
        <w:jc w:val="center"/>
        <w:rPr>
          <w:rFonts w:hint="default" w:ascii="Times New Roman" w:hAnsi="Times New Roman" w:cs="Times New Roman"/>
          <w:b/>
          <w:bCs/>
          <w:color w:val="auto"/>
          <w:sz w:val="56"/>
          <w:szCs w:val="72"/>
        </w:rPr>
      </w:pPr>
      <w:r>
        <w:rPr>
          <w:rFonts w:hint="default" w:ascii="Times New Roman" w:hAnsi="Times New Roman" w:cs="Times New Roman"/>
          <w:b/>
          <w:bCs/>
          <w:color w:val="auto"/>
          <w:sz w:val="56"/>
          <w:szCs w:val="72"/>
        </w:rPr>
        <w:t>建设项目环境影响报告表</w:t>
      </w:r>
    </w:p>
    <w:p>
      <w:pPr>
        <w:spacing w:line="360" w:lineRule="auto"/>
        <w:jc w:val="center"/>
        <w:outlineLvl w:val="0"/>
        <w:rPr>
          <w:rFonts w:hint="default" w:ascii="Times New Roman" w:hAnsi="Times New Roman" w:cs="Times New Roman"/>
          <w:color w:val="auto"/>
          <w:sz w:val="36"/>
        </w:rPr>
      </w:pPr>
    </w:p>
    <w:p>
      <w:pPr>
        <w:spacing w:line="360" w:lineRule="auto"/>
        <w:jc w:val="center"/>
        <w:rPr>
          <w:rFonts w:hint="default" w:ascii="Times New Roman" w:hAnsi="Times New Roman" w:cs="Times New Roman"/>
          <w:color w:val="auto"/>
          <w:sz w:val="28"/>
          <w:szCs w:val="28"/>
        </w:rPr>
      </w:pPr>
    </w:p>
    <w:p>
      <w:pPr>
        <w:spacing w:line="360" w:lineRule="auto"/>
        <w:rPr>
          <w:rFonts w:hint="default" w:ascii="Times New Roman" w:hAnsi="Times New Roman" w:cs="Times New Roman"/>
          <w:color w:val="auto"/>
          <w:sz w:val="28"/>
          <w:szCs w:val="28"/>
        </w:rPr>
      </w:pPr>
    </w:p>
    <w:p>
      <w:pPr>
        <w:spacing w:line="360" w:lineRule="auto"/>
        <w:rPr>
          <w:rFonts w:hint="default" w:ascii="Times New Roman" w:hAnsi="Times New Roman" w:cs="Times New Roman"/>
          <w:color w:val="auto"/>
          <w:sz w:val="28"/>
          <w:szCs w:val="28"/>
        </w:rPr>
      </w:pPr>
    </w:p>
    <w:p>
      <w:pPr>
        <w:spacing w:line="360" w:lineRule="auto"/>
        <w:rPr>
          <w:rFonts w:hint="default" w:ascii="Times New Roman" w:hAnsi="Times New Roman" w:cs="Times New Roman"/>
          <w:color w:val="auto"/>
          <w:sz w:val="28"/>
          <w:szCs w:val="28"/>
        </w:rPr>
      </w:pPr>
    </w:p>
    <w:p>
      <w:pPr>
        <w:spacing w:line="360" w:lineRule="auto"/>
        <w:rPr>
          <w:rFonts w:hint="default" w:ascii="Times New Roman" w:hAnsi="Times New Roman" w:cs="Times New Roman"/>
          <w:color w:val="auto"/>
          <w:sz w:val="28"/>
          <w:szCs w:val="28"/>
        </w:rPr>
      </w:pPr>
    </w:p>
    <w:p>
      <w:pPr>
        <w:spacing w:line="360" w:lineRule="auto"/>
        <w:rPr>
          <w:rFonts w:hint="default" w:ascii="Times New Roman" w:hAnsi="Times New Roman" w:cs="Times New Roman"/>
          <w:color w:val="auto"/>
          <w:sz w:val="28"/>
          <w:szCs w:val="28"/>
        </w:rPr>
      </w:pPr>
    </w:p>
    <w:p>
      <w:pPr>
        <w:spacing w:line="360" w:lineRule="auto"/>
        <w:rPr>
          <w:rFonts w:hint="default" w:ascii="Times New Roman" w:hAnsi="Times New Roman" w:cs="Times New Roman"/>
          <w:color w:val="auto"/>
          <w:sz w:val="28"/>
          <w:szCs w:val="28"/>
        </w:rPr>
      </w:pPr>
    </w:p>
    <w:p>
      <w:pPr>
        <w:spacing w:line="360" w:lineRule="auto"/>
        <w:jc w:val="left"/>
        <w:rPr>
          <w:rFonts w:hint="default" w:ascii="Times New Roman" w:hAnsi="Times New Roman" w:cs="Times New Roman"/>
          <w:b/>
          <w:color w:val="auto"/>
          <w:sz w:val="28"/>
          <w:szCs w:val="28"/>
        </w:rPr>
      </w:pPr>
    </w:p>
    <w:p>
      <w:pPr>
        <w:spacing w:line="360" w:lineRule="auto"/>
        <w:jc w:val="left"/>
        <w:rPr>
          <w:rFonts w:hint="default" w:ascii="Times New Roman" w:hAnsi="Times New Roman" w:cs="Times New Roman"/>
          <w:b/>
          <w:color w:val="auto"/>
          <w:sz w:val="28"/>
          <w:szCs w:val="28"/>
        </w:rPr>
      </w:pPr>
    </w:p>
    <w:p>
      <w:pPr>
        <w:spacing w:line="360" w:lineRule="auto"/>
        <w:jc w:val="left"/>
        <w:rPr>
          <w:rFonts w:hint="default" w:ascii="Times New Roman" w:hAnsi="Times New Roman" w:cs="Times New Roman"/>
          <w:b/>
          <w:color w:val="auto"/>
          <w:sz w:val="28"/>
          <w:szCs w:val="28"/>
        </w:rPr>
      </w:pPr>
    </w:p>
    <w:p>
      <w:pPr>
        <w:spacing w:line="480" w:lineRule="auto"/>
        <w:ind w:firstLine="747" w:firstLineChars="248"/>
        <w:rPr>
          <w:rFonts w:hint="default" w:ascii="Times New Roman" w:hAnsi="Times New Roman" w:cs="Times New Roman"/>
          <w:b/>
          <w:color w:val="auto"/>
          <w:sz w:val="30"/>
          <w:szCs w:val="30"/>
          <w:u w:val="single"/>
        </w:rPr>
      </w:pPr>
      <w:r>
        <w:rPr>
          <w:rFonts w:hint="default" w:ascii="Times New Roman" w:hAnsi="Times New Roman" w:cs="Times New Roman"/>
          <w:b/>
          <w:color w:val="auto"/>
          <w:sz w:val="30"/>
          <w:szCs w:val="30"/>
        </w:rPr>
        <w:t>项目名称：</w:t>
      </w:r>
      <w:r>
        <w:rPr>
          <w:rFonts w:hint="default" w:ascii="Times New Roman" w:hAnsi="Times New Roman" w:cs="Times New Roman"/>
          <w:b/>
          <w:color w:val="auto"/>
          <w:sz w:val="30"/>
          <w:szCs w:val="30"/>
          <w:u w:val="single"/>
        </w:rPr>
        <w:t>同江市城市生活垃圾处理场渗沥液站改造工程</w:t>
      </w:r>
    </w:p>
    <w:p>
      <w:pPr>
        <w:spacing w:line="780" w:lineRule="auto"/>
        <w:ind w:firstLine="747" w:firstLineChars="248"/>
        <w:jc w:val="left"/>
        <w:rPr>
          <w:rFonts w:hint="default" w:ascii="Times New Roman" w:hAnsi="Times New Roman" w:cs="Times New Roman"/>
          <w:b/>
          <w:color w:val="auto"/>
          <w:sz w:val="30"/>
          <w:szCs w:val="30"/>
          <w:u w:val="single"/>
        </w:rPr>
      </w:pPr>
      <w:r>
        <w:rPr>
          <w:rFonts w:hint="default" w:ascii="Times New Roman" w:hAnsi="Times New Roman" w:cs="Times New Roman"/>
          <w:b/>
          <w:color w:val="auto"/>
          <w:sz w:val="30"/>
          <w:szCs w:val="30"/>
        </w:rPr>
        <w:t>建设单位（盖章）：</w:t>
      </w:r>
      <w:r>
        <w:rPr>
          <w:rFonts w:hint="default" w:ascii="Times New Roman" w:hAnsi="Times New Roman" w:cs="Times New Roman"/>
          <w:b/>
          <w:color w:val="auto"/>
          <w:sz w:val="30"/>
          <w:szCs w:val="30"/>
          <w:u w:val="single"/>
          <w:lang w:eastAsia="zh-CN"/>
        </w:rPr>
        <w:t>同江市城市生活垃圾处理中心</w:t>
      </w:r>
      <w:r>
        <w:rPr>
          <w:rFonts w:hint="default" w:ascii="Times New Roman" w:hAnsi="Times New Roman" w:cs="Times New Roman"/>
          <w:b/>
          <w:color w:val="auto"/>
          <w:sz w:val="30"/>
          <w:szCs w:val="30"/>
          <w:u w:val="single"/>
        </w:rPr>
        <w:t xml:space="preserve">  </w:t>
      </w:r>
    </w:p>
    <w:p>
      <w:pPr>
        <w:spacing w:line="360" w:lineRule="auto"/>
        <w:rPr>
          <w:rFonts w:hint="default" w:ascii="Times New Roman" w:hAnsi="Times New Roman" w:cs="Times New Roman"/>
          <w:b/>
          <w:color w:val="auto"/>
          <w:sz w:val="28"/>
          <w:szCs w:val="32"/>
        </w:rPr>
      </w:pPr>
    </w:p>
    <w:p>
      <w:pPr>
        <w:spacing w:line="360" w:lineRule="auto"/>
        <w:rPr>
          <w:rFonts w:hint="default" w:ascii="Times New Roman" w:hAnsi="Times New Roman" w:cs="Times New Roman"/>
          <w:b/>
          <w:color w:val="auto"/>
          <w:sz w:val="28"/>
          <w:szCs w:val="32"/>
        </w:rPr>
      </w:pPr>
    </w:p>
    <w:p>
      <w:pPr>
        <w:spacing w:line="360" w:lineRule="auto"/>
        <w:rPr>
          <w:rFonts w:hint="default" w:ascii="Times New Roman" w:hAnsi="Times New Roman" w:cs="Times New Roman"/>
          <w:b/>
          <w:color w:val="auto"/>
          <w:sz w:val="28"/>
          <w:szCs w:val="32"/>
        </w:rPr>
      </w:pPr>
    </w:p>
    <w:p>
      <w:pPr>
        <w:spacing w:line="360" w:lineRule="auto"/>
        <w:rPr>
          <w:rFonts w:hint="default" w:ascii="Times New Roman" w:hAnsi="Times New Roman" w:cs="Times New Roman"/>
          <w:b/>
          <w:color w:val="auto"/>
          <w:sz w:val="28"/>
          <w:szCs w:val="32"/>
        </w:rPr>
      </w:pPr>
    </w:p>
    <w:p>
      <w:pPr>
        <w:spacing w:line="360" w:lineRule="auto"/>
        <w:rPr>
          <w:rFonts w:hint="default" w:ascii="Times New Roman" w:hAnsi="Times New Roman" w:cs="Times New Roman"/>
          <w:b/>
          <w:color w:val="auto"/>
          <w:sz w:val="28"/>
          <w:szCs w:val="32"/>
        </w:rPr>
      </w:pPr>
    </w:p>
    <w:p>
      <w:pPr>
        <w:spacing w:line="360" w:lineRule="auto"/>
        <w:rPr>
          <w:rFonts w:hint="default" w:ascii="Times New Roman" w:hAnsi="Times New Roman" w:cs="Times New Roman"/>
          <w:b/>
          <w:color w:val="auto"/>
          <w:sz w:val="28"/>
          <w:szCs w:val="32"/>
        </w:rPr>
      </w:pPr>
    </w:p>
    <w:p>
      <w:pPr>
        <w:spacing w:line="360" w:lineRule="auto"/>
        <w:jc w:val="center"/>
        <w:rPr>
          <w:rFonts w:hint="default" w:ascii="Times New Roman" w:hAnsi="Times New Roman" w:cs="Times New Roman"/>
          <w:b/>
          <w:color w:val="auto"/>
          <w:sz w:val="30"/>
          <w:szCs w:val="30"/>
        </w:rPr>
      </w:pPr>
      <w:r>
        <w:rPr>
          <w:rFonts w:hint="default" w:ascii="Times New Roman" w:hAnsi="Times New Roman" w:cs="Times New Roman"/>
          <w:b/>
          <w:color w:val="auto"/>
          <w:sz w:val="30"/>
          <w:szCs w:val="30"/>
        </w:rPr>
        <w:t xml:space="preserve">编制日期  2020 年11月 </w:t>
      </w:r>
    </w:p>
    <w:p>
      <w:pPr>
        <w:spacing w:line="360" w:lineRule="auto"/>
        <w:jc w:val="center"/>
        <w:rPr>
          <w:rFonts w:hint="default" w:ascii="Times New Roman" w:hAnsi="Times New Roman" w:cs="Times New Roman"/>
          <w:b/>
          <w:color w:val="auto"/>
          <w:sz w:val="30"/>
          <w:szCs w:val="30"/>
        </w:rPr>
      </w:pPr>
      <w:r>
        <w:rPr>
          <w:rFonts w:hint="default" w:ascii="Times New Roman" w:hAnsi="Times New Roman" w:cs="Times New Roman"/>
          <w:b/>
          <w:color w:val="auto"/>
          <w:sz w:val="30"/>
          <w:szCs w:val="30"/>
        </w:rPr>
        <w:t>黑龙江瑞霖生态环境有限公司</w:t>
      </w:r>
    </w:p>
    <w:p>
      <w:pPr>
        <w:spacing w:line="360" w:lineRule="auto"/>
        <w:jc w:val="center"/>
        <w:rPr>
          <w:rFonts w:hint="default" w:ascii="Times New Roman" w:hAnsi="Times New Roman" w:cs="Times New Roman"/>
          <w:b/>
          <w:bCs/>
          <w:color w:val="auto"/>
          <w:sz w:val="32"/>
        </w:rPr>
      </w:pPr>
    </w:p>
    <w:p>
      <w:pPr>
        <w:spacing w:line="360" w:lineRule="auto"/>
        <w:jc w:val="center"/>
        <w:rPr>
          <w:rFonts w:hint="default" w:ascii="Times New Roman" w:hAnsi="Times New Roman" w:cs="Times New Roman"/>
          <w:b/>
          <w:bCs/>
          <w:color w:val="auto"/>
          <w:sz w:val="32"/>
        </w:rPr>
      </w:pPr>
      <w:r>
        <w:rPr>
          <w:rFonts w:hint="default" w:ascii="Times New Roman" w:hAnsi="Times New Roman" w:cs="Times New Roman"/>
          <w:b/>
          <w:bCs/>
          <w:color w:val="auto"/>
          <w:sz w:val="32"/>
        </w:rPr>
        <w:t>《建设项目环境影响报告表》编制说明</w:t>
      </w:r>
    </w:p>
    <w:p>
      <w:pPr>
        <w:spacing w:line="560" w:lineRule="exact"/>
        <w:jc w:val="center"/>
        <w:rPr>
          <w:rFonts w:hint="default" w:ascii="Times New Roman" w:hAnsi="Times New Roman" w:cs="Times New Roman"/>
          <w:b/>
          <w:color w:val="auto"/>
          <w:sz w:val="32"/>
        </w:rPr>
      </w:pP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《建设项目环境影响报告表》由具有从事环境影响评价工作资质的单位编制。</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1.项目名称——指项目立项批复时的名称，应不超过30个字(两个英文字段作一个汉字)。</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 建设地点——指项目所在地详细地址，公路、铁路应填写起止地点。</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 行业类别——按国标填写。</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 总投资——指项目投资总额。</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 主要环境保护目标——指项目区周围一定范围内集中居民住宅区、学校、医院、保护文物、风景名胜区、水源地和生态敏感点等，应尽可能给出保护目标、性质、规模和距厂界距离等。</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 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7. 预审意见——由行业主管部门填写答复意见，无主管部门项目，可不填。</w:t>
      </w:r>
    </w:p>
    <w:p>
      <w:pPr>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8. 审批意见——由负责审批该项目的环境保护行政主管部门批复。</w:t>
      </w:r>
    </w:p>
    <w:p>
      <w:pPr>
        <w:rPr>
          <w:rFonts w:hint="default" w:ascii="Times New Roman" w:hAnsi="Times New Roman" w:cs="Times New Roman"/>
          <w:color w:val="auto"/>
          <w:sz w:val="24"/>
          <w:szCs w:val="24"/>
        </w:rPr>
      </w:pPr>
    </w:p>
    <w:p>
      <w:pPr>
        <w:rPr>
          <w:rFonts w:hint="default" w:ascii="Times New Roman" w:hAnsi="Times New Roman" w:cs="Times New Roman"/>
          <w:color w:val="auto"/>
          <w:sz w:val="28"/>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sdt>
      <w:sdtPr>
        <w:rPr>
          <w:rFonts w:hint="default" w:ascii="Times New Roman" w:hAnsi="Times New Roman" w:eastAsia="宋体" w:cs="Times New Roman"/>
          <w:b w:val="0"/>
          <w:bCs w:val="0"/>
          <w:color w:val="auto"/>
          <w:sz w:val="21"/>
          <w:szCs w:val="20"/>
          <w:lang w:val="zh-CN"/>
        </w:rPr>
        <w:id w:val="35314602"/>
        <w:docPartObj>
          <w:docPartGallery w:val="Table of Contents"/>
          <w:docPartUnique/>
        </w:docPartObj>
      </w:sdtPr>
      <w:sdtEndPr>
        <w:rPr>
          <w:rFonts w:hint="default" w:ascii="Times New Roman" w:hAnsi="Times New Roman" w:eastAsia="宋体" w:cs="Times New Roman"/>
          <w:b w:val="0"/>
          <w:bCs w:val="0"/>
          <w:color w:val="auto"/>
          <w:sz w:val="21"/>
          <w:szCs w:val="20"/>
          <w:lang w:val="zh-CN"/>
        </w:rPr>
      </w:sdtEndPr>
      <w:sdtContent>
        <w:p>
          <w:pPr>
            <w:pStyle w:val="124"/>
            <w:jc w:val="center"/>
            <w:rPr>
              <w:rFonts w:hint="default" w:ascii="Times New Roman" w:hAnsi="Times New Roman" w:cs="Times New Roman"/>
              <w:color w:val="auto"/>
            </w:rPr>
          </w:pPr>
          <w:r>
            <w:rPr>
              <w:rFonts w:hint="default" w:ascii="Times New Roman" w:hAnsi="Times New Roman" w:cs="Times New Roman"/>
              <w:color w:val="auto"/>
              <w:lang w:val="zh-CN"/>
            </w:rPr>
            <w:t>目录</w:t>
          </w:r>
        </w:p>
        <w:p>
          <w:pPr>
            <w:pStyle w:val="25"/>
            <w:tabs>
              <w:tab w:val="right" w:leader="dot" w:pos="8721"/>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TOC \o "1-3" \h \z \u </w:instrText>
          </w:r>
          <w:r>
            <w:rPr>
              <w:rFonts w:hint="default" w:ascii="Times New Roman" w:hAnsi="Times New Roman" w:cs="Times New Roman"/>
              <w:color w:val="auto"/>
            </w:rPr>
            <w:fldChar w:fldCharType="separate"/>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"_Toc25154379" </w:instrText>
          </w:r>
          <w:r>
            <w:rPr>
              <w:rFonts w:hint="default" w:ascii="Times New Roman" w:hAnsi="Times New Roman" w:cs="Times New Roman"/>
              <w:color w:val="auto"/>
            </w:rPr>
            <w:fldChar w:fldCharType="separate"/>
          </w:r>
          <w:r>
            <w:rPr>
              <w:rStyle w:val="39"/>
              <w:rFonts w:hint="default" w:ascii="Times New Roman" w:hAnsi="Times New Roman" w:cs="Times New Roman"/>
              <w:color w:val="auto"/>
              <w:sz w:val="24"/>
              <w:szCs w:val="24"/>
            </w:rPr>
            <w:t>建设项目基本情况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_Toc25154379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25"/>
            <w:tabs>
              <w:tab w:val="right" w:leader="dot" w:pos="8721"/>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"_Toc25154381" </w:instrText>
          </w:r>
          <w:r>
            <w:rPr>
              <w:rFonts w:hint="default" w:ascii="Times New Roman" w:hAnsi="Times New Roman" w:cs="Times New Roman"/>
              <w:color w:val="auto"/>
            </w:rPr>
            <w:fldChar w:fldCharType="separate"/>
          </w:r>
          <w:r>
            <w:rPr>
              <w:rStyle w:val="39"/>
              <w:rFonts w:hint="default" w:ascii="Times New Roman" w:hAnsi="Times New Roman" w:cs="Times New Roman"/>
              <w:color w:val="auto"/>
              <w:sz w:val="24"/>
              <w:szCs w:val="24"/>
            </w:rPr>
            <w:t>建设项目所在地自然环境社会环境简况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_Toc25154381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25"/>
            <w:tabs>
              <w:tab w:val="right" w:leader="dot" w:pos="8721"/>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"_Toc25154382" </w:instrText>
          </w:r>
          <w:r>
            <w:rPr>
              <w:rFonts w:hint="default" w:ascii="Times New Roman" w:hAnsi="Times New Roman" w:cs="Times New Roman"/>
              <w:color w:val="auto"/>
            </w:rPr>
            <w:fldChar w:fldCharType="separate"/>
          </w:r>
          <w:r>
            <w:rPr>
              <w:rStyle w:val="39"/>
              <w:rFonts w:hint="default" w:ascii="Times New Roman" w:hAnsi="Times New Roman" w:cs="Times New Roman"/>
              <w:color w:val="auto"/>
              <w:sz w:val="24"/>
              <w:szCs w:val="24"/>
            </w:rPr>
            <w:t>环境质量状况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_Toc25154382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25"/>
            <w:tabs>
              <w:tab w:val="right" w:leader="dot" w:pos="8721"/>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"_Toc25154383" </w:instrText>
          </w:r>
          <w:r>
            <w:rPr>
              <w:rFonts w:hint="default" w:ascii="Times New Roman" w:hAnsi="Times New Roman" w:cs="Times New Roman"/>
              <w:color w:val="auto"/>
            </w:rPr>
            <w:fldChar w:fldCharType="separate"/>
          </w:r>
          <w:r>
            <w:rPr>
              <w:rStyle w:val="39"/>
              <w:rFonts w:hint="default" w:ascii="Times New Roman" w:hAnsi="Times New Roman" w:cs="Times New Roman"/>
              <w:color w:val="auto"/>
              <w:sz w:val="24"/>
              <w:szCs w:val="24"/>
            </w:rPr>
            <w:t>评价适用标准</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_Toc25154383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25"/>
            <w:tabs>
              <w:tab w:val="right" w:leader="dot" w:pos="8721"/>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"_Toc25154384" </w:instrText>
          </w:r>
          <w:r>
            <w:rPr>
              <w:rFonts w:hint="default" w:ascii="Times New Roman" w:hAnsi="Times New Roman" w:cs="Times New Roman"/>
              <w:color w:val="auto"/>
            </w:rPr>
            <w:fldChar w:fldCharType="separate"/>
          </w:r>
          <w:r>
            <w:rPr>
              <w:rStyle w:val="39"/>
              <w:rFonts w:hint="default" w:ascii="Times New Roman" w:hAnsi="Times New Roman" w:cs="Times New Roman"/>
              <w:color w:val="auto"/>
              <w:sz w:val="24"/>
              <w:szCs w:val="24"/>
            </w:rPr>
            <w:t>建设项目工程分析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_Toc25154384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25"/>
            <w:tabs>
              <w:tab w:val="right" w:leader="dot" w:pos="8721"/>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"_Toc25154385" </w:instrText>
          </w:r>
          <w:r>
            <w:rPr>
              <w:rFonts w:hint="default" w:ascii="Times New Roman" w:hAnsi="Times New Roman" w:cs="Times New Roman"/>
              <w:color w:val="auto"/>
            </w:rPr>
            <w:fldChar w:fldCharType="separate"/>
          </w:r>
          <w:r>
            <w:rPr>
              <w:rStyle w:val="39"/>
              <w:rFonts w:hint="default" w:ascii="Times New Roman" w:hAnsi="Times New Roman" w:cs="Times New Roman"/>
              <w:color w:val="auto"/>
              <w:sz w:val="24"/>
              <w:szCs w:val="24"/>
            </w:rPr>
            <w:t>项目主要污染物产生及预计排放情况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_Toc25154385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52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25"/>
            <w:tabs>
              <w:tab w:val="right" w:leader="dot" w:pos="8721"/>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"_Toc25154386" </w:instrText>
          </w:r>
          <w:r>
            <w:rPr>
              <w:rFonts w:hint="default" w:ascii="Times New Roman" w:hAnsi="Times New Roman" w:cs="Times New Roman"/>
              <w:color w:val="auto"/>
            </w:rPr>
            <w:fldChar w:fldCharType="separate"/>
          </w:r>
          <w:r>
            <w:rPr>
              <w:rStyle w:val="39"/>
              <w:rFonts w:hint="default" w:ascii="Times New Roman" w:hAnsi="Times New Roman" w:cs="Times New Roman"/>
              <w:color w:val="auto"/>
              <w:sz w:val="24"/>
              <w:szCs w:val="24"/>
            </w:rPr>
            <w:t>环境影响分析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_Toc25154386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53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25"/>
            <w:tabs>
              <w:tab w:val="right" w:leader="dot" w:pos="8721"/>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"_Toc25154387" </w:instrText>
          </w:r>
          <w:r>
            <w:rPr>
              <w:rFonts w:hint="default" w:ascii="Times New Roman" w:hAnsi="Times New Roman" w:cs="Times New Roman"/>
              <w:color w:val="auto"/>
            </w:rPr>
            <w:fldChar w:fldCharType="separate"/>
          </w:r>
          <w:r>
            <w:rPr>
              <w:rStyle w:val="39"/>
              <w:rFonts w:hint="default" w:ascii="Times New Roman" w:hAnsi="Times New Roman" w:cs="Times New Roman"/>
              <w:color w:val="auto"/>
              <w:sz w:val="24"/>
              <w:szCs w:val="24"/>
            </w:rPr>
            <w:t>建设项目拟采取的防治措施及预期治理效果</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_Toc25154387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80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25"/>
            <w:tabs>
              <w:tab w:val="right" w:leader="dot" w:pos="8721"/>
            </w:tabs>
            <w:spacing w:line="360" w:lineRule="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"_Toc25154388" </w:instrText>
          </w:r>
          <w:r>
            <w:rPr>
              <w:rFonts w:hint="default" w:ascii="Times New Roman" w:hAnsi="Times New Roman" w:cs="Times New Roman"/>
              <w:color w:val="auto"/>
            </w:rPr>
            <w:fldChar w:fldCharType="separate"/>
          </w:r>
          <w:r>
            <w:rPr>
              <w:rStyle w:val="39"/>
              <w:rFonts w:hint="default" w:ascii="Times New Roman" w:hAnsi="Times New Roman" w:eastAsia="黑体" w:cs="Times New Roman"/>
              <w:b/>
              <w:bCs/>
              <w:color w:val="auto"/>
            </w:rPr>
            <w:t>结论与建议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_Toc25154388 \h </w:instrText>
          </w:r>
          <w:r>
            <w:rPr>
              <w:rFonts w:hint="default" w:ascii="Times New Roman" w:hAnsi="Times New Roman" w:cs="Times New Roman"/>
              <w:color w:val="auto"/>
            </w:rPr>
            <w:fldChar w:fldCharType="separate"/>
          </w:r>
          <w:r>
            <w:rPr>
              <w:rFonts w:hint="default" w:ascii="Times New Roman" w:hAnsi="Times New Roman" w:cs="Times New Roman"/>
              <w:color w:val="auto"/>
            </w:rPr>
            <w:t>81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rPr>
              <w:rFonts w:hint="default" w:ascii="Times New Roman" w:hAnsi="Times New Roman" w:cs="Times New Roman"/>
              <w:color w:val="auto"/>
            </w:rPr>
          </w:pPr>
          <w:r>
            <w:rPr>
              <w:rFonts w:hint="default" w:ascii="Times New Roman" w:hAnsi="Times New Roman" w:cs="Times New Roman"/>
              <w:b/>
              <w:bCs/>
              <w:color w:val="auto"/>
              <w:lang w:val="zh-CN"/>
            </w:rPr>
            <w:fldChar w:fldCharType="end"/>
          </w:r>
        </w:p>
      </w:sdtContent>
    </w:sdt>
    <w:p>
      <w:pPr>
        <w:spacing w:line="30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附图1  项目地理位置图</w:t>
      </w:r>
    </w:p>
    <w:p>
      <w:pPr>
        <w:spacing w:line="30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附图2  项目平面布置图</w:t>
      </w:r>
    </w:p>
    <w:p>
      <w:pPr>
        <w:spacing w:line="30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附图3  项目环境保护目标分布图</w:t>
      </w:r>
    </w:p>
    <w:p>
      <w:pPr>
        <w:spacing w:line="30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附件1  建设项目大气环境影响评价自查表</w:t>
      </w:r>
    </w:p>
    <w:p>
      <w:pPr>
        <w:spacing w:line="30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附件2  建设项目地表水环境影响评价自查表</w:t>
      </w:r>
    </w:p>
    <w:p>
      <w:pPr>
        <w:spacing w:line="30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附件3  建设项目环境风险影响评价自查表</w:t>
      </w:r>
    </w:p>
    <w:p>
      <w:pPr>
        <w:spacing w:line="300" w:lineRule="auto"/>
        <w:ind w:firstLine="480" w:firstLineChars="200"/>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 xml:space="preserve">附件4  </w:t>
      </w:r>
      <w:r>
        <w:rPr>
          <w:rFonts w:hint="eastAsia" w:ascii="Times New Roman" w:hAnsi="Times New Roman" w:cs="Times New Roman"/>
          <w:color w:val="auto"/>
          <w:sz w:val="24"/>
          <w:szCs w:val="24"/>
          <w:lang w:val="en-US" w:eastAsia="zh-CN"/>
        </w:rPr>
        <w:t>排污许可证</w:t>
      </w:r>
    </w:p>
    <w:p>
      <w:pPr>
        <w:spacing w:line="30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附件</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 xml:space="preserve">  关于同江市城市生活垃圾处理工程环境影响报告书的批复</w:t>
      </w:r>
    </w:p>
    <w:p>
      <w:pPr>
        <w:spacing w:line="300" w:lineRule="auto"/>
        <w:ind w:firstLine="480" w:firstLineChars="200"/>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附件6</w:t>
      </w:r>
      <w:r>
        <w:rPr>
          <w:rFonts w:hint="default" w:ascii="Times New Roman" w:hAnsi="Times New Roman" w:cs="Times New Roman"/>
          <w:color w:val="auto"/>
          <w:sz w:val="24"/>
          <w:szCs w:val="24"/>
        </w:rPr>
        <w:t>关于同江市城市生活垃圾处理工程竣工环境保护验收意见的函</w:t>
      </w:r>
    </w:p>
    <w:p>
      <w:pPr>
        <w:spacing w:line="300" w:lineRule="auto"/>
        <w:ind w:firstLine="480" w:firstLineChars="200"/>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附件7</w:t>
      </w:r>
      <w:r>
        <w:rPr>
          <w:rFonts w:hint="default" w:ascii="Times New Roman" w:hAnsi="Times New Roman" w:cs="Times New Roman"/>
          <w:color w:val="auto"/>
          <w:sz w:val="24"/>
          <w:szCs w:val="24"/>
        </w:rPr>
        <w:t>关于同江市城市</w:t>
      </w:r>
      <w:r>
        <w:rPr>
          <w:rFonts w:hint="default" w:ascii="Times New Roman" w:hAnsi="Times New Roman" w:cs="Times New Roman"/>
          <w:color w:val="auto"/>
          <w:sz w:val="24"/>
          <w:szCs w:val="24"/>
          <w:lang w:val="en-US" w:eastAsia="zh-CN"/>
        </w:rPr>
        <w:t>医疗废物集中处置中心建设项目环境影响报告书的批复</w:t>
      </w:r>
    </w:p>
    <w:p>
      <w:pPr>
        <w:spacing w:line="300" w:lineRule="auto"/>
        <w:ind w:firstLine="480" w:firstLineChars="200"/>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附件8</w:t>
      </w:r>
      <w:r>
        <w:rPr>
          <w:rFonts w:hint="default" w:ascii="Times New Roman" w:hAnsi="Times New Roman" w:cs="Times New Roman"/>
          <w:color w:val="auto"/>
          <w:sz w:val="24"/>
          <w:szCs w:val="24"/>
          <w:lang w:val="en-US" w:eastAsia="zh-CN"/>
        </w:rPr>
        <w:t>同江市医疗废物集中处置中心建设项目竣工环境保护验收意见</w:t>
      </w:r>
    </w:p>
    <w:p>
      <w:pPr>
        <w:spacing w:line="300" w:lineRule="auto"/>
        <w:ind w:firstLine="480" w:firstLineChars="200"/>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附件9</w:t>
      </w:r>
      <w:r>
        <w:rPr>
          <w:rFonts w:hint="default" w:ascii="Times New Roman" w:hAnsi="Times New Roman" w:cs="Times New Roman"/>
          <w:color w:val="auto"/>
          <w:sz w:val="24"/>
          <w:szCs w:val="24"/>
          <w:lang w:val="en-US" w:eastAsia="zh-CN"/>
        </w:rPr>
        <w:t>环境质量监测报告</w:t>
      </w:r>
    </w:p>
    <w:p>
      <w:pPr>
        <w:spacing w:line="300" w:lineRule="auto"/>
        <w:ind w:firstLine="480" w:firstLineChars="200"/>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附件10</w:t>
      </w:r>
      <w:r>
        <w:rPr>
          <w:rFonts w:hint="default" w:ascii="Times New Roman" w:hAnsi="Times New Roman" w:cs="Times New Roman"/>
          <w:color w:val="auto"/>
          <w:sz w:val="24"/>
          <w:szCs w:val="24"/>
          <w:lang w:val="en-US" w:eastAsia="zh-CN"/>
        </w:rPr>
        <w:t>土壤监测报告</w:t>
      </w:r>
    </w:p>
    <w:p>
      <w:pPr>
        <w:spacing w:line="300" w:lineRule="auto"/>
        <w:ind w:firstLine="480" w:firstLineChars="200"/>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附件11</w:t>
      </w:r>
      <w:r>
        <w:rPr>
          <w:rFonts w:hint="default" w:ascii="Times New Roman" w:hAnsi="Times New Roman" w:cs="Times New Roman"/>
          <w:color w:val="auto"/>
          <w:sz w:val="24"/>
          <w:szCs w:val="24"/>
          <w:lang w:val="en-US" w:eastAsia="zh-CN"/>
        </w:rPr>
        <w:t>废水监测报告</w:t>
      </w:r>
    </w:p>
    <w:p>
      <w:pPr>
        <w:spacing w:line="300" w:lineRule="auto"/>
        <w:ind w:firstLine="480" w:firstLineChars="200"/>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附件12地下水环境影响评价专题</w:t>
      </w:r>
    </w:p>
    <w:p>
      <w:pPr>
        <w:spacing w:line="300" w:lineRule="auto"/>
        <w:ind w:firstLine="480" w:firstLineChars="200"/>
        <w:jc w:val="left"/>
        <w:rPr>
          <w:rFonts w:hint="default" w:ascii="Times New Roman" w:hAnsi="Times New Roman" w:cs="Times New Roman"/>
          <w:color w:val="auto"/>
          <w:sz w:val="24"/>
          <w:szCs w:val="24"/>
          <w:lang w:val="en-US" w:eastAsia="zh-CN"/>
        </w:rPr>
        <w:sectPr>
          <w:headerReference r:id="rId3" w:type="first"/>
          <w:footerReference r:id="rId4" w:type="default"/>
          <w:footerReference r:id="rId5" w:type="even"/>
          <w:pgSz w:w="11907" w:h="16840"/>
          <w:pgMar w:top="1588" w:right="1588" w:bottom="1588" w:left="1588" w:header="851" w:footer="1247" w:gutter="0"/>
          <w:pgBorders>
            <w:top w:val="none" w:sz="0" w:space="0"/>
            <w:left w:val="none" w:sz="0" w:space="0"/>
            <w:bottom w:val="none" w:sz="0" w:space="0"/>
            <w:right w:val="none" w:sz="0" w:space="0"/>
          </w:pgBorders>
          <w:pgNumType w:fmt="decimalFullWidth" w:start="0"/>
          <w:cols w:space="720" w:num="1"/>
          <w:titlePg/>
          <w:docGrid w:linePitch="286" w:charSpace="0"/>
        </w:sectPr>
      </w:pPr>
      <w:r>
        <w:rPr>
          <w:rFonts w:hint="eastAsia" w:ascii="Times New Roman" w:hAnsi="Times New Roman" w:cs="Times New Roman"/>
          <w:color w:val="auto"/>
          <w:sz w:val="24"/>
          <w:szCs w:val="24"/>
          <w:lang w:val="en-US" w:eastAsia="zh-CN"/>
        </w:rPr>
        <w:t>附件13基础信息表</w:t>
      </w:r>
    </w:p>
    <w:p>
      <w:pPr>
        <w:pStyle w:val="3"/>
        <w:keepNext w:val="0"/>
        <w:keepLines w:val="0"/>
        <w:spacing w:after="0" w:line="240" w:lineRule="auto"/>
        <w:jc w:val="left"/>
        <w:rPr>
          <w:rFonts w:hint="default" w:ascii="Times New Roman" w:hAnsi="Times New Roman" w:cs="Times New Roman"/>
          <w:color w:val="auto"/>
        </w:rPr>
      </w:pPr>
      <w:bookmarkStart w:id="0" w:name="_Toc25154379"/>
      <w:r>
        <w:rPr>
          <w:rFonts w:hint="default" w:ascii="Times New Roman" w:hAnsi="Times New Roman" w:cs="Times New Roman"/>
          <w:color w:val="auto"/>
        </w:rPr>
        <w:t>建设项目基本情况</w:t>
      </w:r>
      <w:bookmarkEnd w:id="0"/>
    </w:p>
    <w:tbl>
      <w:tblPr>
        <w:tblStyle w:val="33"/>
        <w:tblW w:w="8947"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38"/>
        <w:gridCol w:w="1824"/>
        <w:gridCol w:w="409"/>
        <w:gridCol w:w="913"/>
        <w:gridCol w:w="1459"/>
        <w:gridCol w:w="1395"/>
        <w:gridCol w:w="84"/>
        <w:gridCol w:w="132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763" w:type="dxa"/>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项目名称</w:t>
            </w:r>
          </w:p>
        </w:tc>
        <w:tc>
          <w:tcPr>
            <w:tcW w:w="7184" w:type="dxa"/>
            <w:gridSpan w:val="7"/>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同江市城市生活垃圾处理场渗沥液站改造工程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763" w:type="dxa"/>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建设单位</w:t>
            </w:r>
          </w:p>
        </w:tc>
        <w:tc>
          <w:tcPr>
            <w:tcW w:w="7184" w:type="dxa"/>
            <w:gridSpan w:val="7"/>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lang w:val="en-US" w:eastAsia="zh-CN"/>
              </w:rPr>
              <w:t>同江市城市生活垃圾处理中心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763" w:type="dxa"/>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highlight w:val="yellow"/>
              </w:rPr>
            </w:pPr>
            <w:r>
              <w:rPr>
                <w:rFonts w:hint="default" w:ascii="Times New Roman" w:hAnsi="Times New Roman" w:cs="Times New Roman"/>
                <w:color w:val="auto"/>
                <w:kern w:val="2"/>
                <w:sz w:val="24"/>
                <w:szCs w:val="24"/>
              </w:rPr>
              <w:t>法人代表</w:t>
            </w:r>
          </w:p>
        </w:tc>
        <w:tc>
          <w:tcPr>
            <w:tcW w:w="2872" w:type="dxa"/>
            <w:gridSpan w:val="3"/>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lang w:eastAsia="zh-CN"/>
              </w:rPr>
              <w:t>吴长华</w:t>
            </w:r>
          </w:p>
        </w:tc>
        <w:tc>
          <w:tcPr>
            <w:tcW w:w="1427" w:type="dxa"/>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联系人</w:t>
            </w:r>
          </w:p>
        </w:tc>
        <w:tc>
          <w:tcPr>
            <w:tcW w:w="2885" w:type="dxa"/>
            <w:gridSpan w:val="3"/>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sz w:val="24"/>
              </w:rPr>
            </w:pPr>
            <w:r>
              <w:rPr>
                <w:rFonts w:hint="default" w:ascii="Times New Roman" w:hAnsi="Times New Roman" w:cs="Times New Roman"/>
                <w:color w:val="auto"/>
                <w:sz w:val="24"/>
                <w:lang w:eastAsia="zh-CN"/>
              </w:rPr>
              <w:t>吕杰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763" w:type="dxa"/>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highlight w:val="yellow"/>
              </w:rPr>
            </w:pPr>
            <w:r>
              <w:rPr>
                <w:rFonts w:hint="default" w:ascii="Times New Roman" w:hAnsi="Times New Roman" w:cs="Times New Roman"/>
                <w:color w:val="auto"/>
                <w:kern w:val="2"/>
                <w:sz w:val="24"/>
                <w:szCs w:val="24"/>
              </w:rPr>
              <w:t>通讯地址</w:t>
            </w:r>
          </w:p>
        </w:tc>
        <w:tc>
          <w:tcPr>
            <w:tcW w:w="7184" w:type="dxa"/>
            <w:gridSpan w:val="7"/>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lang w:eastAsia="zh-CN"/>
              </w:rPr>
              <w:t>同江市同秀路</w:t>
            </w:r>
            <w:r>
              <w:rPr>
                <w:rFonts w:hint="default" w:ascii="Times New Roman" w:hAnsi="Times New Roman" w:cs="Times New Roman"/>
                <w:color w:val="auto"/>
                <w:kern w:val="2"/>
                <w:sz w:val="24"/>
                <w:szCs w:val="24"/>
                <w:lang w:val="en-US" w:eastAsia="zh-CN"/>
              </w:rPr>
              <w:t>7公里处路南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763" w:type="dxa"/>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highlight w:val="yellow"/>
              </w:rPr>
            </w:pPr>
            <w:r>
              <w:rPr>
                <w:rFonts w:hint="default" w:ascii="Times New Roman" w:hAnsi="Times New Roman" w:cs="Times New Roman"/>
                <w:color w:val="auto"/>
                <w:kern w:val="2"/>
                <w:sz w:val="24"/>
                <w:szCs w:val="24"/>
              </w:rPr>
              <w:t>联系电话</w:t>
            </w:r>
          </w:p>
        </w:tc>
        <w:tc>
          <w:tcPr>
            <w:tcW w:w="2038" w:type="dxa"/>
            <w:gridSpan w:val="2"/>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lang w:val="en-US" w:eastAsia="zh-CN"/>
              </w:rPr>
              <w:t>04542968580</w:t>
            </w:r>
          </w:p>
        </w:tc>
        <w:tc>
          <w:tcPr>
            <w:tcW w:w="834" w:type="dxa"/>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传真</w:t>
            </w:r>
          </w:p>
        </w:tc>
        <w:tc>
          <w:tcPr>
            <w:tcW w:w="1427" w:type="dxa"/>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w:t>
            </w:r>
          </w:p>
        </w:tc>
        <w:tc>
          <w:tcPr>
            <w:tcW w:w="1592" w:type="dxa"/>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sz w:val="24"/>
              </w:rPr>
            </w:pPr>
            <w:r>
              <w:rPr>
                <w:rFonts w:hint="default" w:ascii="Times New Roman" w:hAnsi="Times New Roman" w:cs="Times New Roman"/>
                <w:color w:val="auto"/>
                <w:sz w:val="24"/>
              </w:rPr>
              <w:t>邮政编码</w:t>
            </w:r>
          </w:p>
        </w:tc>
        <w:tc>
          <w:tcPr>
            <w:tcW w:w="1293" w:type="dxa"/>
            <w:gridSpan w:val="2"/>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156400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763" w:type="dxa"/>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highlight w:val="yellow"/>
              </w:rPr>
            </w:pPr>
            <w:r>
              <w:rPr>
                <w:rFonts w:hint="default" w:ascii="Times New Roman" w:hAnsi="Times New Roman" w:cs="Times New Roman"/>
                <w:color w:val="auto"/>
                <w:kern w:val="2"/>
                <w:sz w:val="24"/>
                <w:szCs w:val="24"/>
              </w:rPr>
              <w:t>建设地点</w:t>
            </w:r>
          </w:p>
        </w:tc>
        <w:tc>
          <w:tcPr>
            <w:tcW w:w="7184" w:type="dxa"/>
            <w:gridSpan w:val="7"/>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同秀路7km处路南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763" w:type="dxa"/>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立项审批部门</w:t>
            </w:r>
          </w:p>
        </w:tc>
        <w:tc>
          <w:tcPr>
            <w:tcW w:w="2872" w:type="dxa"/>
            <w:gridSpan w:val="3"/>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w:t>
            </w:r>
          </w:p>
        </w:tc>
        <w:tc>
          <w:tcPr>
            <w:tcW w:w="1427" w:type="dxa"/>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批准文号</w:t>
            </w:r>
          </w:p>
        </w:tc>
        <w:tc>
          <w:tcPr>
            <w:tcW w:w="2885" w:type="dxa"/>
            <w:gridSpan w:val="3"/>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sz w:val="24"/>
              </w:rPr>
            </w:pPr>
            <w:r>
              <w:rPr>
                <w:rFonts w:hint="default" w:ascii="Times New Roman" w:hAnsi="Times New Roman" w:cs="Times New Roman"/>
                <w:color w:val="auto"/>
                <w:sz w:val="24"/>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763" w:type="dxa"/>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建设性质</w:t>
            </w:r>
          </w:p>
        </w:tc>
        <w:tc>
          <w:tcPr>
            <w:tcW w:w="2872" w:type="dxa"/>
            <w:gridSpan w:val="3"/>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新建□ 改扩建■ 技改□</w:t>
            </w:r>
          </w:p>
        </w:tc>
        <w:tc>
          <w:tcPr>
            <w:tcW w:w="1427" w:type="dxa"/>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行业类别</w:t>
            </w:r>
          </w:p>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及代码</w:t>
            </w:r>
          </w:p>
        </w:tc>
        <w:tc>
          <w:tcPr>
            <w:tcW w:w="2885" w:type="dxa"/>
            <w:gridSpan w:val="3"/>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sz w:val="24"/>
              </w:rPr>
            </w:pPr>
            <w:r>
              <w:rPr>
                <w:rFonts w:hint="default" w:ascii="Times New Roman" w:hAnsi="Times New Roman" w:eastAsia="Times New Roman" w:cs="Times New Roman"/>
                <w:color w:val="auto"/>
                <w:sz w:val="24"/>
              </w:rPr>
              <w:t xml:space="preserve">N4620 </w:t>
            </w:r>
            <w:r>
              <w:rPr>
                <w:rFonts w:hint="default" w:ascii="Times New Roman" w:hAnsi="Times New Roman" w:cs="Times New Roman"/>
                <w:color w:val="auto"/>
                <w:sz w:val="24"/>
              </w:rPr>
              <w:t>污水处理及其再生利用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763" w:type="dxa"/>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占地面积</w:t>
            </w:r>
          </w:p>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（平方米）</w:t>
            </w:r>
          </w:p>
        </w:tc>
        <w:tc>
          <w:tcPr>
            <w:tcW w:w="2872" w:type="dxa"/>
            <w:gridSpan w:val="3"/>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szCs w:val="21"/>
              </w:rPr>
              <w:t>326.4</w:t>
            </w:r>
          </w:p>
        </w:tc>
        <w:tc>
          <w:tcPr>
            <w:tcW w:w="1427" w:type="dxa"/>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绿化率（%）</w:t>
            </w:r>
          </w:p>
        </w:tc>
        <w:tc>
          <w:tcPr>
            <w:tcW w:w="2885" w:type="dxa"/>
            <w:gridSpan w:val="3"/>
            <w:vAlign w:val="center"/>
          </w:tcPr>
          <w:p>
            <w:pPr>
              <w:tabs>
                <w:tab w:val="left" w:pos="9071"/>
              </w:tabs>
              <w:autoSpaceDE w:val="0"/>
              <w:autoSpaceDN w:val="0"/>
              <w:spacing w:line="240" w:lineRule="auto"/>
              <w:jc w:val="center"/>
              <w:textAlignment w:val="auto"/>
              <w:rPr>
                <w:rFonts w:hint="eastAsia" w:ascii="Times New Roman" w:hAnsi="Times New Roman" w:eastAsia="宋体" w:cs="Times New Roman"/>
                <w:color w:val="auto"/>
                <w:sz w:val="24"/>
                <w:lang w:eastAsia="zh-CN"/>
              </w:rPr>
            </w:pPr>
            <w:r>
              <w:rPr>
                <w:rFonts w:hint="eastAsia" w:cs="Times New Roman"/>
                <w:color w:val="auto"/>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763" w:type="dxa"/>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总投资（万元）</w:t>
            </w:r>
          </w:p>
        </w:tc>
        <w:tc>
          <w:tcPr>
            <w:tcW w:w="1479" w:type="dxa"/>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sz w:val="24"/>
                <w:szCs w:val="22"/>
              </w:rPr>
              <w:t>1483.43</w:t>
            </w:r>
          </w:p>
        </w:tc>
        <w:tc>
          <w:tcPr>
            <w:tcW w:w="1393" w:type="dxa"/>
            <w:gridSpan w:val="2"/>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highlight w:val="yellow"/>
              </w:rPr>
            </w:pPr>
            <w:r>
              <w:rPr>
                <w:rFonts w:hint="default" w:ascii="Times New Roman" w:hAnsi="Times New Roman" w:cs="Times New Roman"/>
                <w:color w:val="auto"/>
                <w:kern w:val="2"/>
                <w:sz w:val="24"/>
                <w:szCs w:val="24"/>
              </w:rPr>
              <w:t>环保投资（万元）</w:t>
            </w:r>
          </w:p>
        </w:tc>
        <w:tc>
          <w:tcPr>
            <w:tcW w:w="1427" w:type="dxa"/>
            <w:vAlign w:val="center"/>
          </w:tcPr>
          <w:p>
            <w:pPr>
              <w:tabs>
                <w:tab w:val="left" w:pos="9071"/>
              </w:tabs>
              <w:autoSpaceDE w:val="0"/>
              <w:autoSpaceDN w:val="0"/>
              <w:spacing w:line="240" w:lineRule="auto"/>
              <w:jc w:val="center"/>
              <w:textAlignment w:val="auto"/>
              <w:rPr>
                <w:rFonts w:hint="default" w:ascii="Times New Roman" w:hAnsi="Times New Roman" w:eastAsia="宋体" w:cs="Times New Roman"/>
                <w:color w:val="auto"/>
                <w:kern w:val="2"/>
                <w:sz w:val="24"/>
                <w:szCs w:val="24"/>
                <w:lang w:val="en-US" w:eastAsia="zh-CN"/>
              </w:rPr>
            </w:pPr>
            <w:r>
              <w:rPr>
                <w:rFonts w:hint="eastAsia" w:cs="Times New Roman"/>
                <w:color w:val="auto"/>
                <w:kern w:val="2"/>
                <w:sz w:val="24"/>
                <w:szCs w:val="24"/>
                <w:lang w:val="en-US" w:eastAsia="zh-CN"/>
              </w:rPr>
              <w:t>870</w:t>
            </w:r>
          </w:p>
        </w:tc>
        <w:tc>
          <w:tcPr>
            <w:tcW w:w="1701" w:type="dxa"/>
            <w:gridSpan w:val="2"/>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sz w:val="24"/>
              </w:rPr>
            </w:pPr>
            <w:r>
              <w:rPr>
                <w:rFonts w:hint="default" w:ascii="Times New Roman" w:hAnsi="Times New Roman" w:cs="Times New Roman"/>
                <w:color w:val="auto"/>
                <w:sz w:val="24"/>
              </w:rPr>
              <w:t>环保投资占总投资比例%</w:t>
            </w:r>
          </w:p>
        </w:tc>
        <w:tc>
          <w:tcPr>
            <w:tcW w:w="1184" w:type="dxa"/>
            <w:vAlign w:val="center"/>
          </w:tcPr>
          <w:p>
            <w:pPr>
              <w:tabs>
                <w:tab w:val="left" w:pos="9071"/>
              </w:tabs>
              <w:autoSpaceDE w:val="0"/>
              <w:autoSpaceDN w:val="0"/>
              <w:spacing w:line="240" w:lineRule="auto"/>
              <w:jc w:val="center"/>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58.6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763" w:type="dxa"/>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评价经费</w:t>
            </w:r>
          </w:p>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（万元）</w:t>
            </w:r>
          </w:p>
        </w:tc>
        <w:tc>
          <w:tcPr>
            <w:tcW w:w="1479" w:type="dxa"/>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w:t>
            </w:r>
          </w:p>
        </w:tc>
        <w:tc>
          <w:tcPr>
            <w:tcW w:w="1393" w:type="dxa"/>
            <w:gridSpan w:val="2"/>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预期投产日期</w:t>
            </w:r>
          </w:p>
        </w:tc>
        <w:tc>
          <w:tcPr>
            <w:tcW w:w="4312" w:type="dxa"/>
            <w:gridSpan w:val="4"/>
            <w:vAlign w:val="center"/>
          </w:tcPr>
          <w:p>
            <w:pPr>
              <w:tabs>
                <w:tab w:val="left" w:pos="9071"/>
              </w:tabs>
              <w:autoSpaceDE w:val="0"/>
              <w:autoSpaceDN w:val="0"/>
              <w:spacing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2021.8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8947" w:type="dxa"/>
            <w:gridSpan w:val="8"/>
            <w:vAlign w:val="center"/>
          </w:tcPr>
          <w:p>
            <w:pPr>
              <w:snapToGrid w:val="0"/>
              <w:spacing w:before="120" w:beforeLines="50" w:line="360" w:lineRule="auto"/>
              <w:textAlignment w:val="auto"/>
              <w:rPr>
                <w:rFonts w:hint="default" w:ascii="Times New Roman" w:hAnsi="Times New Roman" w:cs="Times New Roman"/>
                <w:b/>
                <w:bCs/>
                <w:color w:val="auto"/>
                <w:sz w:val="30"/>
              </w:rPr>
            </w:pPr>
            <w:r>
              <w:rPr>
                <w:rFonts w:hint="default" w:ascii="Times New Roman" w:hAnsi="Times New Roman" w:cs="Times New Roman"/>
                <w:b/>
                <w:bCs/>
                <w:color w:val="auto"/>
                <w:sz w:val="30"/>
              </w:rPr>
              <w:t>工程内容及规模</w:t>
            </w:r>
          </w:p>
          <w:p>
            <w:pPr>
              <w:snapToGrid w:val="0"/>
              <w:spacing w:line="360" w:lineRule="auto"/>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1、项目由来</w:t>
            </w:r>
          </w:p>
          <w:p>
            <w:pPr>
              <w:pStyle w:val="15"/>
              <w:spacing w:line="360" w:lineRule="auto"/>
              <w:ind w:firstLine="480" w:firstLineChars="200"/>
              <w:rPr>
                <w:rFonts w:hint="default" w:ascii="Times New Roman" w:hAnsi="Times New Roman" w:cs="Times New Roman"/>
                <w:color w:val="auto"/>
                <w:szCs w:val="22"/>
              </w:rPr>
            </w:pPr>
            <w:r>
              <w:rPr>
                <w:rFonts w:hint="default" w:ascii="Times New Roman" w:hAnsi="Times New Roman" w:cs="Times New Roman"/>
                <w:color w:val="auto"/>
                <w:szCs w:val="22"/>
              </w:rPr>
              <w:t>同江市城市生活垃圾处理厂位于同秀路7km处路南。垃圾填埋设计处理量为137t/d；渗滤液采用两级DTRO处理工艺，设计处理量为50t/d，渗滤液处理排放标准执行《生活垃圾填埋场污染控制标准》（GB16889-2008)表2排放标准，</w:t>
            </w:r>
            <w:r>
              <w:rPr>
                <w:rFonts w:hint="eastAsia" w:cs="Times New Roman"/>
                <w:color w:val="auto"/>
                <w:szCs w:val="22"/>
                <w:lang w:val="en-US" w:eastAsia="zh-CN"/>
              </w:rPr>
              <w:t>拉运至同江洁源污水处理厂处置</w:t>
            </w:r>
            <w:r>
              <w:rPr>
                <w:rFonts w:hint="default" w:ascii="Times New Roman" w:hAnsi="Times New Roman" w:cs="Times New Roman"/>
                <w:color w:val="auto"/>
                <w:szCs w:val="22"/>
              </w:rPr>
              <w:t>。随着同江市城市生活垃圾处理厂的投入使用，发现渗滤液处理部分存在如下问题：</w:t>
            </w:r>
          </w:p>
          <w:p>
            <w:pPr>
              <w:pStyle w:val="15"/>
              <w:spacing w:line="360" w:lineRule="auto"/>
              <w:ind w:firstLine="480" w:firstLineChars="200"/>
              <w:rPr>
                <w:rFonts w:hint="default" w:ascii="Times New Roman" w:hAnsi="Times New Roman" w:cs="Times New Roman"/>
                <w:color w:val="auto"/>
                <w:szCs w:val="22"/>
              </w:rPr>
            </w:pPr>
            <w:r>
              <w:rPr>
                <w:rFonts w:hint="default" w:ascii="Times New Roman" w:hAnsi="Times New Roman" w:cs="Times New Roman"/>
                <w:color w:val="auto"/>
                <w:szCs w:val="22"/>
              </w:rPr>
              <w:t>同江市位于黑龙江省北部，冬季漫长，气温低，渗滤液处理设施冬季无法运行，只能集中在温度适宜的季节运行。</w:t>
            </w:r>
          </w:p>
          <w:p>
            <w:pPr>
              <w:pStyle w:val="15"/>
              <w:spacing w:line="360" w:lineRule="auto"/>
              <w:ind w:firstLine="480" w:firstLineChars="200"/>
              <w:rPr>
                <w:rFonts w:hint="default" w:ascii="Times New Roman" w:hAnsi="Times New Roman" w:cs="Times New Roman"/>
                <w:color w:val="auto"/>
                <w:szCs w:val="22"/>
              </w:rPr>
            </w:pPr>
            <w:r>
              <w:rPr>
                <w:rFonts w:hint="default" w:ascii="Times New Roman" w:hAnsi="Times New Roman" w:cs="Times New Roman"/>
                <w:color w:val="auto"/>
                <w:szCs w:val="22"/>
              </w:rPr>
              <w:t>渗滤液处理设施设计规模偏小，不能满足处理实际水量的要求。</w:t>
            </w:r>
          </w:p>
          <w:p>
            <w:pPr>
              <w:pStyle w:val="15"/>
              <w:spacing w:line="360" w:lineRule="auto"/>
              <w:ind w:firstLine="480" w:firstLineChars="200"/>
              <w:rPr>
                <w:rFonts w:hint="default" w:ascii="Times New Roman" w:hAnsi="Times New Roman" w:cs="Times New Roman"/>
                <w:color w:val="auto"/>
                <w:szCs w:val="22"/>
              </w:rPr>
            </w:pPr>
            <w:r>
              <w:rPr>
                <w:rFonts w:hint="default" w:ascii="Times New Roman" w:hAnsi="Times New Roman" w:cs="Times New Roman"/>
                <w:color w:val="auto"/>
                <w:szCs w:val="22"/>
              </w:rPr>
              <w:t>垃圾处理厂设施作为城市基础设施中重要的一项，其完善程度直接影响同江市经济的发展进程，进而影响城市总体发展。为了进一步改善松花江水质，保护松花江流域生态环境和人们的生活环境，实现经济、社会全面的持续快速发展。由此提出同江市城市生活垃圾处理场渗沥液站处改造工程。</w:t>
            </w:r>
          </w:p>
          <w:p>
            <w:pPr>
              <w:pStyle w:val="15"/>
              <w:spacing w:line="360" w:lineRule="auto"/>
              <w:ind w:firstLine="480" w:firstLineChars="200"/>
              <w:rPr>
                <w:rFonts w:hint="default" w:ascii="Times New Roman" w:hAnsi="Times New Roman" w:cs="Times New Roman"/>
                <w:color w:val="auto"/>
                <w:szCs w:val="22"/>
              </w:rPr>
            </w:pPr>
            <w:r>
              <w:rPr>
                <w:rFonts w:hint="default" w:ascii="Times New Roman" w:hAnsi="Times New Roman" w:cs="Times New Roman"/>
                <w:color w:val="auto"/>
                <w:szCs w:val="22"/>
              </w:rPr>
              <w:t>本次扩建工程位于同秀路7km处路南，利用同江垃圾处理原有渗滤液处理间东侧空地新建处理规模为200t/d渗滤液处理间。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40"/>
                <w:sz w:val="24"/>
                <w:szCs w:val="22"/>
              </w:rPr>
              <w:t>根据《中华人民共和国环境保护法》（2015.1.1）、《中华人民共和国环境影响评价法》（2016.9.1）、《建设项目环境保护管理条例》（2017.10.1）等法律、法规的规定，本项目须进行环境影响评价。根据《建设项目环境影响评价分类管理名录》（2017年）（环境保护部令第44号）及《关于修改&lt;建设项目环境影响评价分类管理名录&gt;部分内容的决定》（生态环境保护部 第1号）的规定内容</w:t>
            </w:r>
            <w:r>
              <w:rPr>
                <w:rFonts w:hint="default" w:ascii="Times New Roman" w:hAnsi="Times New Roman" w:cs="Times New Roman"/>
                <w:color w:val="auto"/>
                <w:sz w:val="24"/>
              </w:rPr>
              <w:t>本项目属于“三十三、水的生产和供应工程”中的“</w:t>
            </w:r>
            <w:r>
              <w:rPr>
                <w:rFonts w:hint="default" w:ascii="Times New Roman" w:hAnsi="Times New Roman" w:eastAsia="Times New Roman" w:cs="Times New Roman"/>
                <w:color w:val="auto"/>
                <w:sz w:val="24"/>
              </w:rPr>
              <w:t xml:space="preserve">97 </w:t>
            </w:r>
            <w:r>
              <w:rPr>
                <w:rFonts w:hint="default" w:ascii="Times New Roman" w:hAnsi="Times New Roman" w:cs="Times New Roman"/>
                <w:color w:val="auto"/>
                <w:sz w:val="24"/>
              </w:rPr>
              <w:t>工业废水处理”，本项目为垃圾填埋场配套环保设施，不属于“新建、扩建集中处理”的工业废水的集中处理，属于“其他”，因此，需编制环境影响报告表。</w:t>
            </w:r>
          </w:p>
          <w:p>
            <w:pPr>
              <w:spacing w:line="360" w:lineRule="auto"/>
              <w:ind w:firstLine="480" w:firstLineChars="200"/>
              <w:rPr>
                <w:rFonts w:hint="default" w:ascii="Times New Roman" w:hAnsi="Times New Roman" w:cs="Times New Roman"/>
                <w:color w:val="auto"/>
                <w:kern w:val="40"/>
                <w:sz w:val="24"/>
                <w:szCs w:val="22"/>
              </w:rPr>
            </w:pPr>
            <w:r>
              <w:rPr>
                <w:rFonts w:hint="default" w:ascii="Times New Roman" w:hAnsi="Times New Roman" w:cs="Times New Roman"/>
                <w:color w:val="auto"/>
                <w:kern w:val="40"/>
                <w:sz w:val="24"/>
                <w:szCs w:val="22"/>
              </w:rPr>
              <w:t>受同江市城市生活垃圾处理中心委托，我公司承担该项目的环境影响评价工作。接受委托后，我公司立即组织技术人员进行现场踏勘，同时根据项目的工程特征和项目建设区域的环境情况，对项目建设和生产过程环境影响因素进行了识别和筛选，依照《环境影响评价技术导则》，结合该项目的建设特点，编制完成了《同江市城市生活垃圾处理场渗沥液站改造工程环境影响报告表》，环境保护行政主管部门审批。</w:t>
            </w:r>
          </w:p>
          <w:p>
            <w:pPr>
              <w:snapToGrid w:val="0"/>
              <w:spacing w:line="360" w:lineRule="auto"/>
              <w:textAlignment w:val="auto"/>
              <w:rPr>
                <w:rFonts w:hint="default" w:ascii="Times New Roman" w:hAnsi="Times New Roman" w:cs="Times New Roman"/>
                <w:color w:val="auto"/>
                <w:sz w:val="24"/>
                <w:szCs w:val="22"/>
              </w:rPr>
            </w:pPr>
            <w:r>
              <w:rPr>
                <w:rFonts w:hint="default" w:ascii="Times New Roman" w:hAnsi="Times New Roman" w:cs="Times New Roman"/>
                <w:b/>
                <w:bCs/>
                <w:color w:val="auto"/>
                <w:sz w:val="24"/>
                <w:szCs w:val="22"/>
              </w:rPr>
              <w:t>2、同江市城市生活垃圾处理场现状</w:t>
            </w:r>
          </w:p>
          <w:p>
            <w:pPr>
              <w:snapToGrid w:val="0"/>
              <w:spacing w:line="360" w:lineRule="auto"/>
              <w:ind w:firstLine="480" w:firstLineChars="200"/>
              <w:textAlignment w:val="auto"/>
              <w:rPr>
                <w:rFonts w:hint="default" w:ascii="Times New Roman" w:hAnsi="Times New Roman" w:cs="Times New Roman"/>
                <w:color w:val="auto"/>
                <w:sz w:val="24"/>
                <w:szCs w:val="22"/>
              </w:rPr>
            </w:pPr>
            <w:r>
              <w:rPr>
                <w:rFonts w:hint="default" w:ascii="Times New Roman" w:hAnsi="Times New Roman" w:cs="Times New Roman"/>
                <w:color w:val="auto"/>
                <w:sz w:val="24"/>
                <w:szCs w:val="22"/>
              </w:rPr>
              <w:t>黑龙江省同江市城市生活垃圾处理厂建于2012年，确定垃圾处理方式采用卫生填埋法，场址选为同江市东部，距规划区边缘2公里废弃取土场内，总占地面积约19.7ha。生活垃圾处理规模137t/d，渗滤液处理量50 t/d。渗滤液处理工艺采用两级DTRO工艺，排放标准执行《生活垃圾填埋场污染控制标准》（GB16889-2008)表2排放标准。</w:t>
            </w:r>
          </w:p>
          <w:p>
            <w:pPr>
              <w:pStyle w:val="114"/>
              <w:spacing w:line="360" w:lineRule="auto"/>
              <w:ind w:firstLine="560"/>
              <w:rPr>
                <w:rFonts w:hint="eastAsia" w:cs="Times New Roman"/>
                <w:color w:val="auto"/>
                <w:kern w:val="0"/>
                <w:sz w:val="24"/>
                <w:szCs w:val="22"/>
                <w:lang w:val="en-US" w:eastAsia="zh-CN"/>
              </w:rPr>
            </w:pPr>
            <w:r>
              <w:rPr>
                <w:rFonts w:hint="default" w:ascii="Times New Roman" w:hAnsi="Times New Roman" w:cs="Times New Roman"/>
                <w:color w:val="auto"/>
                <w:kern w:val="0"/>
                <w:sz w:val="24"/>
                <w:szCs w:val="22"/>
                <w:lang w:val="en-US" w:eastAsia="zh-CN"/>
              </w:rPr>
              <w:t>2019年，同江市城市垃圾管理站在</w:t>
            </w:r>
            <w:r>
              <w:rPr>
                <w:rFonts w:hint="default" w:ascii="Times New Roman" w:hAnsi="Times New Roman" w:cs="Times New Roman"/>
                <w:color w:val="auto"/>
                <w:kern w:val="0"/>
                <w:sz w:val="24"/>
                <w:szCs w:val="22"/>
              </w:rPr>
              <w:t>同江市城市生活垃圾处理厂</w:t>
            </w:r>
            <w:r>
              <w:rPr>
                <w:rFonts w:hint="default" w:ascii="Times New Roman" w:hAnsi="Times New Roman" w:cs="Times New Roman"/>
                <w:color w:val="auto"/>
                <w:kern w:val="0"/>
                <w:sz w:val="24"/>
                <w:szCs w:val="22"/>
                <w:lang w:val="en-US" w:eastAsia="zh-CN"/>
              </w:rPr>
              <w:t>内建设同江市医疗废物集中处置中心建设项目</w:t>
            </w:r>
            <w:r>
              <w:rPr>
                <w:rFonts w:hint="eastAsia" w:cs="Times New Roman"/>
                <w:color w:val="auto"/>
                <w:kern w:val="0"/>
                <w:sz w:val="24"/>
                <w:szCs w:val="22"/>
                <w:lang w:val="en-US" w:eastAsia="zh-CN"/>
              </w:rPr>
              <w:t>，项目年处理感染性、损伤性医疗废物300吨。</w:t>
            </w:r>
          </w:p>
          <w:p>
            <w:pPr>
              <w:pStyle w:val="114"/>
              <w:spacing w:line="360" w:lineRule="auto"/>
              <w:ind w:firstLine="560"/>
              <w:rPr>
                <w:rFonts w:hint="default" w:cs="Times New Roman"/>
                <w:color w:val="auto"/>
                <w:kern w:val="0"/>
                <w:sz w:val="24"/>
                <w:szCs w:val="22"/>
                <w:lang w:val="en-US" w:eastAsia="zh-CN"/>
              </w:rPr>
            </w:pPr>
            <w:r>
              <w:rPr>
                <w:rFonts w:hint="default" w:ascii="Times New Roman" w:hAnsi="Times New Roman" w:cs="Times New Roman"/>
                <w:color w:val="auto"/>
                <w:kern w:val="0"/>
                <w:sz w:val="24"/>
                <w:szCs w:val="22"/>
              </w:rPr>
              <w:t>同江市城市生活垃圾处理厂</w:t>
            </w:r>
            <w:r>
              <w:rPr>
                <w:rFonts w:hint="default" w:ascii="Times New Roman" w:hAnsi="Times New Roman" w:cs="Times New Roman"/>
                <w:color w:val="auto"/>
                <w:kern w:val="0"/>
                <w:sz w:val="24"/>
                <w:szCs w:val="22"/>
                <w:lang w:val="en-US" w:eastAsia="zh-CN"/>
              </w:rPr>
              <w:t>内建设</w:t>
            </w:r>
            <w:r>
              <w:rPr>
                <w:rFonts w:hint="eastAsia" w:ascii="Times New Roman" w:hAnsi="Times New Roman" w:cs="Times New Roman"/>
                <w:color w:val="auto"/>
                <w:kern w:val="0"/>
                <w:sz w:val="24"/>
                <w:szCs w:val="22"/>
                <w:lang w:val="en-US" w:eastAsia="zh-CN"/>
              </w:rPr>
              <w:t>的</w:t>
            </w:r>
            <w:r>
              <w:rPr>
                <w:rFonts w:hint="default" w:ascii="Times New Roman" w:hAnsi="Times New Roman" w:cs="Times New Roman"/>
                <w:color w:val="auto"/>
                <w:kern w:val="0"/>
                <w:sz w:val="24"/>
                <w:szCs w:val="22"/>
                <w:lang w:val="en-US" w:eastAsia="zh-CN"/>
              </w:rPr>
              <w:t>同江市医疗废物集中处置中心建设项目</w:t>
            </w:r>
            <w:r>
              <w:rPr>
                <w:rFonts w:hint="eastAsia" w:cs="Times New Roman"/>
                <w:color w:val="auto"/>
                <w:kern w:val="0"/>
                <w:sz w:val="24"/>
                <w:szCs w:val="22"/>
                <w:lang w:val="en-US" w:eastAsia="zh-CN"/>
              </w:rPr>
              <w:t>废水为单独处理系统，不进入垃圾渗滤液处理站，</w:t>
            </w:r>
            <w:r>
              <w:rPr>
                <w:rFonts w:hint="eastAsia" w:ascii="Times New Roman" w:hAnsi="Times New Roman" w:cs="Times New Roman"/>
                <w:color w:val="auto"/>
                <w:kern w:val="0"/>
                <w:sz w:val="24"/>
                <w:szCs w:val="22"/>
                <w:lang w:val="en-US" w:eastAsia="zh-CN"/>
              </w:rPr>
              <w:t>与</w:t>
            </w:r>
            <w:r>
              <w:rPr>
                <w:rFonts w:hint="eastAsia" w:cs="Times New Roman"/>
                <w:color w:val="auto"/>
                <w:kern w:val="0"/>
                <w:sz w:val="24"/>
                <w:szCs w:val="22"/>
                <w:lang w:val="en-US" w:eastAsia="zh-CN"/>
              </w:rPr>
              <w:t>垃圾渗滤液处理站</w:t>
            </w:r>
            <w:r>
              <w:rPr>
                <w:rFonts w:hint="eastAsia" w:ascii="Times New Roman" w:hAnsi="Times New Roman" w:cs="Times New Roman"/>
                <w:color w:val="auto"/>
                <w:kern w:val="0"/>
                <w:sz w:val="24"/>
                <w:szCs w:val="22"/>
                <w:lang w:val="en-US" w:eastAsia="zh-CN"/>
              </w:rPr>
              <w:t>是两个独立的收集处理系统，不合并收集。</w:t>
            </w:r>
          </w:p>
          <w:p>
            <w:pPr>
              <w:snapToGrid w:val="0"/>
              <w:spacing w:line="360" w:lineRule="auto"/>
              <w:ind w:firstLine="480" w:firstLineChars="200"/>
              <w:textAlignment w:val="auto"/>
              <w:rPr>
                <w:rFonts w:hint="default" w:ascii="Times New Roman" w:hAnsi="Times New Roman" w:cs="Times New Roman"/>
                <w:color w:val="auto"/>
                <w:sz w:val="24"/>
                <w:szCs w:val="22"/>
              </w:rPr>
            </w:pPr>
            <w:r>
              <w:rPr>
                <w:rFonts w:hint="default" w:ascii="Times New Roman" w:hAnsi="Times New Roman" w:cs="Times New Roman"/>
                <w:color w:val="auto"/>
                <w:sz w:val="24"/>
                <w:szCs w:val="22"/>
              </w:rPr>
              <w:t>（2）环保验收概况</w:t>
            </w:r>
          </w:p>
          <w:p>
            <w:pPr>
              <w:snapToGrid w:val="0"/>
              <w:spacing w:line="360" w:lineRule="auto"/>
              <w:ind w:firstLine="480" w:firstLineChars="200"/>
              <w:textAlignment w:val="auto"/>
              <w:rPr>
                <w:rFonts w:hint="default" w:ascii="Times New Roman" w:hAnsi="Times New Roman" w:cs="Times New Roman"/>
                <w:color w:val="auto"/>
                <w:sz w:val="24"/>
                <w:szCs w:val="22"/>
              </w:rPr>
            </w:pPr>
            <w:r>
              <w:rPr>
                <w:rFonts w:hint="default" w:ascii="Times New Roman" w:hAnsi="Times New Roman" w:cs="Times New Roman"/>
                <w:color w:val="auto"/>
                <w:sz w:val="24"/>
                <w:szCs w:val="22"/>
              </w:rPr>
              <w:t>2012年，同江市城市生活垃圾处理厂的土建工程和设备安装全部完成并正式运营，卫生填埋及渗滤液处理系统、附属设备运行正常，出水水质达到设计要求。2015年11月同江市城市生活垃圾处理厂通过了佳木斯市环境保护局组织的现场检查及环保验收。</w:t>
            </w:r>
          </w:p>
          <w:p>
            <w:pPr>
              <w:pStyle w:val="114"/>
              <w:spacing w:line="360" w:lineRule="auto"/>
              <w:ind w:firstLine="560"/>
              <w:rPr>
                <w:rFonts w:hint="default" w:ascii="Times New Roman" w:hAnsi="Times New Roman" w:eastAsia="宋体" w:cs="Times New Roman"/>
                <w:color w:val="auto"/>
                <w:kern w:val="0"/>
                <w:sz w:val="24"/>
                <w:szCs w:val="22"/>
                <w:lang w:val="en-US" w:eastAsia="zh-CN"/>
              </w:rPr>
            </w:pPr>
            <w:r>
              <w:rPr>
                <w:rFonts w:hint="default" w:ascii="Times New Roman" w:hAnsi="Times New Roman" w:cs="Times New Roman"/>
                <w:color w:val="auto"/>
                <w:kern w:val="0"/>
                <w:sz w:val="24"/>
                <w:szCs w:val="22"/>
                <w:lang w:val="en-US" w:eastAsia="zh-CN"/>
              </w:rPr>
              <w:t>2019年，同江市城市垃圾管理站在</w:t>
            </w:r>
            <w:r>
              <w:rPr>
                <w:rFonts w:hint="default" w:ascii="Times New Roman" w:hAnsi="Times New Roman" w:cs="Times New Roman"/>
                <w:color w:val="auto"/>
                <w:kern w:val="0"/>
                <w:sz w:val="24"/>
                <w:szCs w:val="22"/>
              </w:rPr>
              <w:t>同江市城市生活垃圾处理厂</w:t>
            </w:r>
            <w:r>
              <w:rPr>
                <w:rFonts w:hint="default" w:ascii="Times New Roman" w:hAnsi="Times New Roman" w:cs="Times New Roman"/>
                <w:color w:val="auto"/>
                <w:kern w:val="0"/>
                <w:sz w:val="24"/>
                <w:szCs w:val="22"/>
                <w:lang w:val="en-US" w:eastAsia="zh-CN"/>
              </w:rPr>
              <w:t>内建设同江市医疗废物集中处置中心建设项目并于2019年取得《同江市医疗废物集中处置中心建设项目环境影响报告书的批复》（佳环建审[2019]26号），并于2019年9月通过该项目的竣工环境保护验收。</w:t>
            </w:r>
          </w:p>
          <w:p>
            <w:pPr>
              <w:snapToGrid w:val="0"/>
              <w:spacing w:line="360" w:lineRule="auto"/>
              <w:ind w:firstLine="480" w:firstLineChars="200"/>
              <w:textAlignment w:val="auto"/>
              <w:rPr>
                <w:rFonts w:hint="default" w:ascii="Times New Roman" w:hAnsi="Times New Roman" w:cs="Times New Roman"/>
                <w:color w:val="auto"/>
                <w:sz w:val="24"/>
                <w:szCs w:val="22"/>
              </w:rPr>
            </w:pPr>
            <w:r>
              <w:rPr>
                <w:rFonts w:hint="default" w:ascii="Times New Roman" w:hAnsi="Times New Roman" w:cs="Times New Roman"/>
                <w:color w:val="auto"/>
                <w:sz w:val="24"/>
                <w:szCs w:val="22"/>
              </w:rPr>
              <w:t>（3）主要处理构筑物</w:t>
            </w:r>
          </w:p>
          <w:p>
            <w:pPr>
              <w:snapToGrid w:val="0"/>
              <w:spacing w:line="360" w:lineRule="auto"/>
              <w:ind w:firstLine="480" w:firstLineChars="200"/>
              <w:textAlignment w:val="auto"/>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厂区内的主要建、构筑物有门卫及计量间、地磅、渗滤液处理间、浓缩液贮池、消防水池、综合用房、洗车间、渗滤液提升井、抽气机房、锅炉房及车库等。</w:t>
            </w:r>
          </w:p>
          <w:p>
            <w:pPr>
              <w:snapToGrid w:val="0"/>
              <w:spacing w:line="360" w:lineRule="auto"/>
              <w:ind w:firstLine="480" w:firstLineChars="200"/>
              <w:textAlignment w:val="auto"/>
              <w:rPr>
                <w:rFonts w:hint="default" w:ascii="Times New Roman" w:hAnsi="Times New Roman" w:cs="Times New Roman"/>
                <w:color w:val="auto"/>
                <w:sz w:val="24"/>
                <w:szCs w:val="22"/>
              </w:rPr>
            </w:pPr>
            <w:r>
              <w:rPr>
                <w:rFonts w:hint="default" w:ascii="Times New Roman" w:hAnsi="Times New Roman" w:cs="Times New Roman"/>
                <w:color w:val="auto"/>
                <w:sz w:val="24"/>
                <w:szCs w:val="22"/>
              </w:rPr>
              <w:t>（4）卫生填埋工艺流程</w:t>
            </w:r>
          </w:p>
          <w:p>
            <w:pPr>
              <w:snapToGrid w:val="0"/>
              <w:spacing w:line="360" w:lineRule="auto"/>
              <w:ind w:firstLine="480" w:firstLineChars="200"/>
              <w:textAlignment w:val="auto"/>
              <w:rPr>
                <w:rFonts w:hint="default" w:ascii="Times New Roman" w:hAnsi="Times New Roman" w:cs="Times New Roman"/>
                <w:color w:val="auto"/>
                <w:sz w:val="24"/>
                <w:szCs w:val="22"/>
              </w:rPr>
            </w:pPr>
            <w:r>
              <w:rPr>
                <w:rFonts w:hint="default" w:ascii="Times New Roman" w:hAnsi="Times New Roman" w:cs="Times New Roman"/>
                <w:color w:val="auto"/>
                <w:sz w:val="24"/>
                <w:szCs w:val="22"/>
              </w:rPr>
              <w:drawing>
                <wp:inline distT="0" distB="0" distL="114300" distR="114300">
                  <wp:extent cx="5503545" cy="2464435"/>
                  <wp:effectExtent l="0" t="0" r="1905" b="12065"/>
                  <wp:docPr id="27" name="图片 12" descr="微信图片_2020092413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微信图片_20200924130925"/>
                          <pic:cNvPicPr>
                            <a:picLocks noChangeAspect="1"/>
                          </pic:cNvPicPr>
                        </pic:nvPicPr>
                        <pic:blipFill>
                          <a:blip r:embed="rId13"/>
                          <a:stretch>
                            <a:fillRect/>
                          </a:stretch>
                        </pic:blipFill>
                        <pic:spPr>
                          <a:xfrm>
                            <a:off x="0" y="0"/>
                            <a:ext cx="5503545" cy="2464435"/>
                          </a:xfrm>
                          <a:prstGeom prst="rect">
                            <a:avLst/>
                          </a:prstGeom>
                          <a:noFill/>
                          <a:ln>
                            <a:noFill/>
                          </a:ln>
                        </pic:spPr>
                      </pic:pic>
                    </a:graphicData>
                  </a:graphic>
                </wp:inline>
              </w:drawing>
            </w:r>
          </w:p>
          <w:p>
            <w:pPr>
              <w:snapToGrid w:val="0"/>
              <w:spacing w:line="360" w:lineRule="auto"/>
              <w:ind w:firstLine="480" w:firstLineChars="200"/>
              <w:jc w:val="center"/>
              <w:textAlignment w:val="auto"/>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图1-1 卫生填埋工艺流程图</w:t>
            </w:r>
          </w:p>
          <w:p>
            <w:pPr>
              <w:snapToGrid w:val="0"/>
              <w:spacing w:line="360" w:lineRule="auto"/>
              <w:ind w:firstLine="480" w:firstLineChars="200"/>
              <w:textAlignment w:val="auto"/>
              <w:rPr>
                <w:rFonts w:hint="default" w:ascii="Times New Roman" w:hAnsi="Times New Roman" w:cs="Times New Roman"/>
                <w:color w:val="auto"/>
                <w:sz w:val="24"/>
                <w:szCs w:val="22"/>
              </w:rPr>
            </w:pPr>
            <w:r>
              <w:rPr>
                <w:rFonts w:hint="default" w:ascii="Times New Roman" w:hAnsi="Times New Roman" w:cs="Times New Roman"/>
                <w:color w:val="auto"/>
                <w:sz w:val="24"/>
                <w:szCs w:val="22"/>
              </w:rPr>
              <w:t>（5）垃圾渗滤液处理工艺流程</w:t>
            </w:r>
          </w:p>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drawing>
                <wp:inline distT="0" distB="0" distL="114300" distR="114300">
                  <wp:extent cx="5548630" cy="2757170"/>
                  <wp:effectExtent l="0" t="0" r="13970" b="5080"/>
                  <wp:docPr id="30"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2"/>
                          <pic:cNvPicPr>
                            <a:picLocks noChangeAspect="1"/>
                          </pic:cNvPicPr>
                        </pic:nvPicPr>
                        <pic:blipFill>
                          <a:blip r:embed="rId14"/>
                          <a:stretch>
                            <a:fillRect/>
                          </a:stretch>
                        </pic:blipFill>
                        <pic:spPr>
                          <a:xfrm>
                            <a:off x="0" y="0"/>
                            <a:ext cx="5548630" cy="2757170"/>
                          </a:xfrm>
                          <a:prstGeom prst="rect">
                            <a:avLst/>
                          </a:prstGeom>
                          <a:noFill/>
                          <a:ln>
                            <a:noFill/>
                          </a:ln>
                        </pic:spPr>
                      </pic:pic>
                    </a:graphicData>
                  </a:graphic>
                </wp:inline>
              </w:drawing>
            </w:r>
          </w:p>
          <w:p>
            <w:pPr>
              <w:snapToGrid w:val="0"/>
              <w:spacing w:line="360" w:lineRule="auto"/>
              <w:ind w:firstLine="480" w:firstLineChars="200"/>
              <w:jc w:val="center"/>
              <w:textAlignment w:val="auto"/>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图1-2 渗滤液处理工艺流程图</w:t>
            </w:r>
          </w:p>
          <w:p>
            <w:pPr>
              <w:snapToGrid w:val="0"/>
              <w:spacing w:line="360" w:lineRule="auto"/>
              <w:ind w:firstLine="480" w:firstLineChars="200"/>
              <w:textAlignment w:val="auto"/>
              <w:rPr>
                <w:rFonts w:hint="default" w:ascii="Times New Roman" w:hAnsi="Times New Roman" w:cs="Times New Roman"/>
                <w:color w:val="auto"/>
                <w:sz w:val="24"/>
                <w:szCs w:val="22"/>
              </w:rPr>
            </w:pPr>
            <w:r>
              <w:rPr>
                <w:rFonts w:hint="default" w:ascii="Times New Roman" w:hAnsi="Times New Roman" w:cs="Times New Roman"/>
                <w:color w:val="auto"/>
                <w:sz w:val="24"/>
                <w:szCs w:val="22"/>
              </w:rPr>
              <w:t>（6）垃圾渗滤液进出水控制指标</w:t>
            </w:r>
          </w:p>
          <w:p>
            <w:pPr>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原设计确定渗滤液的设计进水水质详见下表：</w:t>
            </w:r>
          </w:p>
          <w:p>
            <w:pPr>
              <w:snapToGrid w:val="0"/>
              <w:spacing w:line="360" w:lineRule="auto"/>
              <w:ind w:firstLine="482" w:firstLineChars="200"/>
              <w:jc w:val="center"/>
              <w:textAlignment w:val="auto"/>
              <w:rPr>
                <w:rFonts w:hint="default" w:ascii="Times New Roman" w:hAnsi="Times New Roman" w:cs="Times New Roman"/>
                <w:b/>
                <w:bCs/>
                <w:color w:val="auto"/>
                <w:sz w:val="24"/>
                <w:szCs w:val="22"/>
              </w:rPr>
            </w:pPr>
            <w:r>
              <w:rPr>
                <w:rFonts w:hint="default" w:ascii="Times New Roman" w:hAnsi="Times New Roman" w:cs="Times New Roman"/>
                <w:b/>
                <w:bCs/>
                <w:color w:val="auto"/>
                <w:sz w:val="24"/>
                <w:szCs w:val="22"/>
              </w:rPr>
              <w:t>表</w:t>
            </w:r>
            <w:r>
              <w:rPr>
                <w:rFonts w:hint="eastAsia" w:ascii="Times New Roman" w:hAnsi="Times New Roman" w:cs="Times New Roman"/>
                <w:b/>
                <w:bCs/>
                <w:color w:val="auto"/>
                <w:sz w:val="24"/>
                <w:szCs w:val="22"/>
                <w:lang w:val="en-US" w:eastAsia="zh-CN"/>
              </w:rPr>
              <w:t>1</w:t>
            </w:r>
            <w:r>
              <w:rPr>
                <w:rFonts w:hint="default" w:ascii="Times New Roman" w:hAnsi="Times New Roman" w:cs="Times New Roman"/>
                <w:b/>
                <w:bCs/>
                <w:color w:val="auto"/>
                <w:sz w:val="24"/>
                <w:szCs w:val="22"/>
              </w:rPr>
              <w:t>-1渗滤液处理站设计进水水质</w:t>
            </w:r>
          </w:p>
          <w:tbl>
            <w:tblPr>
              <w:tblStyle w:val="33"/>
              <w:tblW w:w="846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1276"/>
              <w:gridCol w:w="1275"/>
              <w:gridCol w:w="1295"/>
              <w:gridCol w:w="1115"/>
              <w:gridCol w:w="1134"/>
              <w:gridCol w:w="10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06" w:type="dxa"/>
                  <w:noWrap/>
                  <w:vAlign w:val="center"/>
                </w:tcPr>
                <w:p>
                  <w:pPr>
                    <w:widowControl/>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项目</w:t>
                  </w:r>
                </w:p>
              </w:tc>
              <w:tc>
                <w:tcPr>
                  <w:tcW w:w="1276" w:type="dxa"/>
                  <w:noWrap/>
                  <w:vAlign w:val="center"/>
                </w:tcPr>
                <w:p>
                  <w:pPr>
                    <w:widowControl/>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CODcr</w:t>
                  </w:r>
                </w:p>
                <w:p>
                  <w:pPr>
                    <w:widowControl/>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(mg/L)</w:t>
                  </w:r>
                </w:p>
              </w:tc>
              <w:tc>
                <w:tcPr>
                  <w:tcW w:w="1275" w:type="dxa"/>
                  <w:noWrap/>
                  <w:vAlign w:val="center"/>
                </w:tcPr>
                <w:p>
                  <w:pPr>
                    <w:widowControl/>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BOD</w:t>
                  </w:r>
                  <w:r>
                    <w:rPr>
                      <w:rFonts w:hint="default" w:ascii="Times New Roman" w:hAnsi="Times New Roman" w:cs="Times New Roman"/>
                      <w:color w:val="auto"/>
                      <w:sz w:val="22"/>
                      <w:szCs w:val="22"/>
                      <w:vertAlign w:val="subscript"/>
                    </w:rPr>
                    <w:t>5</w:t>
                  </w:r>
                </w:p>
                <w:p>
                  <w:pPr>
                    <w:widowControl/>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(mg/L)</w:t>
                  </w:r>
                </w:p>
              </w:tc>
              <w:tc>
                <w:tcPr>
                  <w:tcW w:w="1295" w:type="dxa"/>
                  <w:noWrap/>
                  <w:vAlign w:val="center"/>
                </w:tcPr>
                <w:p>
                  <w:pPr>
                    <w:widowControl/>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NH</w:t>
                  </w:r>
                  <w:r>
                    <w:rPr>
                      <w:rFonts w:hint="default" w:ascii="Times New Roman" w:hAnsi="Times New Roman" w:cs="Times New Roman"/>
                      <w:color w:val="auto"/>
                      <w:sz w:val="22"/>
                      <w:szCs w:val="22"/>
                      <w:vertAlign w:val="subscript"/>
                    </w:rPr>
                    <w:t>3</w:t>
                  </w:r>
                  <w:r>
                    <w:rPr>
                      <w:rFonts w:hint="default" w:ascii="Times New Roman" w:hAnsi="Times New Roman" w:cs="Times New Roman"/>
                      <w:color w:val="auto"/>
                      <w:sz w:val="22"/>
                      <w:szCs w:val="22"/>
                    </w:rPr>
                    <w:t>-N</w:t>
                  </w:r>
                </w:p>
                <w:p>
                  <w:pPr>
                    <w:widowControl/>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(mg/L)</w:t>
                  </w:r>
                </w:p>
              </w:tc>
              <w:tc>
                <w:tcPr>
                  <w:tcW w:w="1115" w:type="dxa"/>
                  <w:noWrap/>
                  <w:vAlign w:val="center"/>
                </w:tcPr>
                <w:p>
                  <w:pPr>
                    <w:widowControl/>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TN</w:t>
                  </w:r>
                </w:p>
                <w:p>
                  <w:pPr>
                    <w:widowControl/>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(mg/L)</w:t>
                  </w:r>
                </w:p>
              </w:tc>
              <w:tc>
                <w:tcPr>
                  <w:tcW w:w="1134" w:type="dxa"/>
                  <w:noWrap/>
                  <w:vAlign w:val="center"/>
                </w:tcPr>
                <w:p>
                  <w:pPr>
                    <w:widowControl/>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SS</w:t>
                  </w:r>
                </w:p>
                <w:p>
                  <w:pPr>
                    <w:widowControl/>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(mg/L)</w:t>
                  </w:r>
                </w:p>
              </w:tc>
              <w:tc>
                <w:tcPr>
                  <w:tcW w:w="1066" w:type="dxa"/>
                  <w:noWrap/>
                  <w:vAlign w:val="center"/>
                </w:tcPr>
                <w:p>
                  <w:pPr>
                    <w:widowControl/>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pH值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306" w:type="dxa"/>
                  <w:noWrap/>
                  <w:vAlign w:val="center"/>
                </w:tcPr>
                <w:p>
                  <w:pPr>
                    <w:widowControl/>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进水</w:t>
                  </w:r>
                </w:p>
              </w:tc>
              <w:tc>
                <w:tcPr>
                  <w:tcW w:w="1276" w:type="dxa"/>
                  <w:noWrap/>
                  <w:vAlign w:val="center"/>
                </w:tcPr>
                <w:p>
                  <w:pPr>
                    <w:widowControl/>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≤20000</w:t>
                  </w:r>
                </w:p>
              </w:tc>
              <w:tc>
                <w:tcPr>
                  <w:tcW w:w="1275" w:type="dxa"/>
                  <w:noWrap/>
                  <w:vAlign w:val="center"/>
                </w:tcPr>
                <w:p>
                  <w:pPr>
                    <w:widowControl/>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≤12000</w:t>
                  </w:r>
                </w:p>
              </w:tc>
              <w:tc>
                <w:tcPr>
                  <w:tcW w:w="1295" w:type="dxa"/>
                  <w:noWrap/>
                  <w:vAlign w:val="center"/>
                </w:tcPr>
                <w:p>
                  <w:pPr>
                    <w:widowControl/>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≤1500</w:t>
                  </w:r>
                </w:p>
              </w:tc>
              <w:tc>
                <w:tcPr>
                  <w:tcW w:w="1115" w:type="dxa"/>
                  <w:noWrap/>
                  <w:vAlign w:val="center"/>
                </w:tcPr>
                <w:p>
                  <w:pPr>
                    <w:widowControl/>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≤2000</w:t>
                  </w:r>
                </w:p>
              </w:tc>
              <w:tc>
                <w:tcPr>
                  <w:tcW w:w="1134" w:type="dxa"/>
                  <w:noWrap/>
                  <w:vAlign w:val="center"/>
                </w:tcPr>
                <w:p>
                  <w:pPr>
                    <w:widowControl/>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≤500</w:t>
                  </w:r>
                </w:p>
              </w:tc>
              <w:tc>
                <w:tcPr>
                  <w:tcW w:w="1066" w:type="dxa"/>
                  <w:noWrap/>
                  <w:vAlign w:val="center"/>
                </w:tcPr>
                <w:p>
                  <w:pPr>
                    <w:widowControl/>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6-9</w:t>
                  </w:r>
                </w:p>
              </w:tc>
            </w:tr>
          </w:tbl>
          <w:p>
            <w:pPr>
              <w:snapToGrid w:val="0"/>
              <w:spacing w:line="360" w:lineRule="auto"/>
              <w:ind w:firstLine="480" w:firstLineChars="200"/>
              <w:textAlignment w:val="auto"/>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原设计渗滤液处理站出水水质需达到《生活垃圾填埋场污染控制标准》（GB 16889-2008)中表2的规定的排放浓度限制。渗滤液出水水质主要要求详见下表：</w:t>
            </w:r>
          </w:p>
          <w:p>
            <w:pPr>
              <w:snapToGrid w:val="0"/>
              <w:spacing w:line="360" w:lineRule="auto"/>
              <w:ind w:firstLine="482" w:firstLineChars="200"/>
              <w:jc w:val="center"/>
              <w:textAlignment w:val="auto"/>
              <w:rPr>
                <w:rFonts w:hint="default" w:ascii="Times New Roman" w:hAnsi="Times New Roman" w:cs="Times New Roman"/>
                <w:b/>
                <w:bCs/>
                <w:color w:val="auto"/>
                <w:sz w:val="24"/>
                <w:szCs w:val="22"/>
              </w:rPr>
            </w:pPr>
            <w:r>
              <w:rPr>
                <w:rFonts w:hint="default" w:ascii="Times New Roman" w:hAnsi="Times New Roman" w:cs="Times New Roman"/>
                <w:b/>
                <w:bCs/>
                <w:color w:val="auto"/>
                <w:sz w:val="24"/>
                <w:szCs w:val="22"/>
              </w:rPr>
              <w:t>表</w:t>
            </w:r>
            <w:r>
              <w:rPr>
                <w:rFonts w:hint="eastAsia" w:ascii="Times New Roman" w:hAnsi="Times New Roman" w:cs="Times New Roman"/>
                <w:b/>
                <w:bCs/>
                <w:color w:val="auto"/>
                <w:sz w:val="24"/>
                <w:szCs w:val="22"/>
                <w:lang w:val="en-US" w:eastAsia="zh-CN"/>
              </w:rPr>
              <w:t>1</w:t>
            </w:r>
            <w:r>
              <w:rPr>
                <w:rFonts w:hint="default" w:ascii="Times New Roman" w:hAnsi="Times New Roman" w:cs="Times New Roman"/>
                <w:b/>
                <w:bCs/>
                <w:color w:val="auto"/>
                <w:sz w:val="24"/>
                <w:szCs w:val="22"/>
              </w:rPr>
              <w:t>-2渗滤液处理站设计出水水质</w:t>
            </w:r>
          </w:p>
          <w:tbl>
            <w:tblPr>
              <w:tblStyle w:val="33"/>
              <w:tblW w:w="832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1547"/>
              <w:gridCol w:w="1134"/>
              <w:gridCol w:w="1276"/>
              <w:gridCol w:w="1058"/>
              <w:gridCol w:w="1068"/>
              <w:gridCol w:w="11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05" w:type="dxa"/>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项目</w:t>
                  </w:r>
                </w:p>
              </w:tc>
              <w:tc>
                <w:tcPr>
                  <w:tcW w:w="1547" w:type="dxa"/>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CODcr</w:t>
                  </w:r>
                </w:p>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(mg/L)</w:t>
                  </w:r>
                </w:p>
              </w:tc>
              <w:tc>
                <w:tcPr>
                  <w:tcW w:w="1134" w:type="dxa"/>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BOD</w:t>
                  </w:r>
                  <w:r>
                    <w:rPr>
                      <w:rFonts w:hint="default" w:ascii="Times New Roman" w:hAnsi="Times New Roman" w:cs="Times New Roman"/>
                      <w:b/>
                      <w:bCs/>
                      <w:color w:val="auto"/>
                      <w:szCs w:val="21"/>
                      <w:vertAlign w:val="subscript"/>
                    </w:rPr>
                    <w:t>5</w:t>
                  </w:r>
                </w:p>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(mg/L)</w:t>
                  </w:r>
                </w:p>
              </w:tc>
              <w:tc>
                <w:tcPr>
                  <w:tcW w:w="1276" w:type="dxa"/>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NH</w:t>
                  </w:r>
                  <w:r>
                    <w:rPr>
                      <w:rFonts w:hint="default" w:ascii="Times New Roman" w:hAnsi="Times New Roman" w:cs="Times New Roman"/>
                      <w:b/>
                      <w:bCs/>
                      <w:color w:val="auto"/>
                      <w:szCs w:val="21"/>
                      <w:vertAlign w:val="subscript"/>
                    </w:rPr>
                    <w:t>3</w:t>
                  </w:r>
                  <w:r>
                    <w:rPr>
                      <w:rFonts w:hint="default" w:ascii="Times New Roman" w:hAnsi="Times New Roman" w:cs="Times New Roman"/>
                      <w:b/>
                      <w:bCs/>
                      <w:color w:val="auto"/>
                      <w:szCs w:val="21"/>
                    </w:rPr>
                    <w:t>-N</w:t>
                  </w:r>
                </w:p>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(mg/L)</w:t>
                  </w:r>
                </w:p>
              </w:tc>
              <w:tc>
                <w:tcPr>
                  <w:tcW w:w="1058" w:type="dxa"/>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TN</w:t>
                  </w:r>
                </w:p>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(mg/L)</w:t>
                  </w:r>
                </w:p>
              </w:tc>
              <w:tc>
                <w:tcPr>
                  <w:tcW w:w="1068" w:type="dxa"/>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SS</w:t>
                  </w:r>
                </w:p>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(mg/L)</w:t>
                  </w:r>
                </w:p>
              </w:tc>
              <w:tc>
                <w:tcPr>
                  <w:tcW w:w="1137" w:type="dxa"/>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pH值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105"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出水</w:t>
                  </w:r>
                </w:p>
              </w:tc>
              <w:tc>
                <w:tcPr>
                  <w:tcW w:w="1547"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1134"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1276"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1058"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1068"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1137"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6-9</w:t>
                  </w:r>
                </w:p>
              </w:tc>
            </w:tr>
          </w:tbl>
          <w:p>
            <w:pPr>
              <w:snapToGrid w:val="0"/>
              <w:spacing w:line="360" w:lineRule="auto"/>
              <w:ind w:firstLine="480" w:firstLineChars="200"/>
              <w:textAlignment w:val="auto"/>
              <w:rPr>
                <w:rFonts w:hint="default" w:ascii="Times New Roman" w:hAnsi="Times New Roman" w:cs="Times New Roman"/>
                <w:color w:val="auto"/>
                <w:sz w:val="24"/>
                <w:szCs w:val="22"/>
              </w:rPr>
            </w:pPr>
            <w:r>
              <w:rPr>
                <w:rFonts w:hint="default" w:ascii="Times New Roman" w:hAnsi="Times New Roman" w:cs="Times New Roman"/>
                <w:color w:val="auto"/>
                <w:sz w:val="24"/>
                <w:szCs w:val="22"/>
              </w:rPr>
              <w:t>（7）主要建、构筑物一览表</w:t>
            </w:r>
          </w:p>
          <w:p>
            <w:pPr>
              <w:snapToGrid w:val="0"/>
              <w:spacing w:line="360" w:lineRule="auto"/>
              <w:ind w:firstLine="482" w:firstLineChars="200"/>
              <w:jc w:val="center"/>
              <w:textAlignment w:val="auto"/>
              <w:rPr>
                <w:rFonts w:hint="default" w:ascii="Times New Roman" w:hAnsi="Times New Roman" w:cs="Times New Roman"/>
                <w:b/>
                <w:bCs/>
                <w:color w:val="auto"/>
                <w:sz w:val="24"/>
                <w:szCs w:val="22"/>
              </w:rPr>
            </w:pPr>
            <w:r>
              <w:rPr>
                <w:rFonts w:hint="default" w:ascii="Times New Roman" w:hAnsi="Times New Roman" w:cs="Times New Roman"/>
                <w:b/>
                <w:bCs/>
                <w:color w:val="auto"/>
                <w:sz w:val="24"/>
                <w:szCs w:val="22"/>
              </w:rPr>
              <w:t>表</w:t>
            </w:r>
            <w:r>
              <w:rPr>
                <w:rFonts w:hint="eastAsia" w:ascii="Times New Roman" w:hAnsi="Times New Roman" w:cs="Times New Roman"/>
                <w:b/>
                <w:bCs/>
                <w:color w:val="auto"/>
                <w:sz w:val="24"/>
                <w:szCs w:val="22"/>
                <w:lang w:val="en-US" w:eastAsia="zh-CN"/>
              </w:rPr>
              <w:t>1</w:t>
            </w:r>
            <w:r>
              <w:rPr>
                <w:rFonts w:hint="default" w:ascii="Times New Roman" w:hAnsi="Times New Roman" w:cs="Times New Roman"/>
                <w:b/>
                <w:bCs/>
                <w:color w:val="auto"/>
                <w:sz w:val="24"/>
                <w:szCs w:val="22"/>
              </w:rPr>
              <w:t>-3 主要建筑、构筑物一览表</w:t>
            </w:r>
          </w:p>
          <w:tbl>
            <w:tblPr>
              <w:tblStyle w:val="33"/>
              <w:tblW w:w="836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985"/>
              <w:gridCol w:w="2551"/>
              <w:gridCol w:w="851"/>
              <w:gridCol w:w="1276"/>
              <w:gridCol w:w="9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8" w:type="dxa"/>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1985" w:type="dxa"/>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名称</w:t>
                  </w:r>
                </w:p>
              </w:tc>
              <w:tc>
                <w:tcPr>
                  <w:tcW w:w="2551" w:type="dxa"/>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规格</w:t>
                  </w:r>
                </w:p>
              </w:tc>
              <w:tc>
                <w:tcPr>
                  <w:tcW w:w="851" w:type="dxa"/>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层数</w:t>
                  </w:r>
                </w:p>
              </w:tc>
              <w:tc>
                <w:tcPr>
                  <w:tcW w:w="1276" w:type="dxa"/>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数量(座)</w:t>
                  </w:r>
                </w:p>
              </w:tc>
              <w:tc>
                <w:tcPr>
                  <w:tcW w:w="992" w:type="dxa"/>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主要结构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8"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985"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门卫及计量间</w:t>
                  </w:r>
                </w:p>
              </w:tc>
              <w:tc>
                <w:tcPr>
                  <w:tcW w:w="2551"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7.8×4.5×4.1m</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 xml:space="preserve">建筑面积 </w:t>
                  </w:r>
                  <w:r>
                    <w:rPr>
                      <w:rFonts w:hint="default" w:ascii="Times New Roman" w:hAnsi="Times New Roman" w:cs="Times New Roman"/>
                      <w:color w:val="auto"/>
                      <w:szCs w:val="21"/>
                      <w:lang w:val="en-US" w:eastAsia="zh-CN"/>
                    </w:rPr>
                    <w:t>35.1</w:t>
                  </w:r>
                  <w:r>
                    <w:rPr>
                      <w:rFonts w:hint="default" w:ascii="Times New Roman" w:hAnsi="Times New Roman" w:cs="Times New Roman"/>
                      <w:color w:val="auto"/>
                      <w:szCs w:val="21"/>
                    </w:rPr>
                    <w:t>㎡</w:t>
                  </w:r>
                </w:p>
              </w:tc>
              <w:tc>
                <w:tcPr>
                  <w:tcW w:w="851"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276"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992"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框架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8"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985"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地磅</w:t>
                  </w:r>
                </w:p>
              </w:tc>
              <w:tc>
                <w:tcPr>
                  <w:tcW w:w="2551"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30t</w:t>
                  </w:r>
                </w:p>
              </w:tc>
              <w:tc>
                <w:tcPr>
                  <w:tcW w:w="851" w:type="dxa"/>
                  <w:noWrap/>
                  <w:vAlign w:val="center"/>
                </w:tcPr>
                <w:p>
                  <w:pPr>
                    <w:widowControl/>
                    <w:spacing w:line="240" w:lineRule="auto"/>
                    <w:jc w:val="center"/>
                    <w:rPr>
                      <w:rFonts w:hint="default" w:ascii="Times New Roman" w:hAnsi="Times New Roman" w:cs="Times New Roman"/>
                      <w:color w:val="auto"/>
                      <w:szCs w:val="21"/>
                    </w:rPr>
                  </w:pPr>
                </w:p>
              </w:tc>
              <w:tc>
                <w:tcPr>
                  <w:tcW w:w="1276"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992"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8"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985"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渗滤液处理间 </w:t>
                  </w:r>
                </w:p>
              </w:tc>
              <w:tc>
                <w:tcPr>
                  <w:tcW w:w="2551"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11.4</w:t>
                  </w:r>
                  <w:r>
                    <w:rPr>
                      <w:rFonts w:hint="default" w:ascii="Times New Roman" w:hAnsi="Times New Roman" w:cs="Times New Roman"/>
                      <w:color w:val="auto"/>
                      <w:szCs w:val="21"/>
                    </w:rPr>
                    <w:t>×2</w:t>
                  </w:r>
                  <w:r>
                    <w:rPr>
                      <w:rFonts w:hint="default" w:ascii="Times New Roman" w:hAnsi="Times New Roman" w:cs="Times New Roman"/>
                      <w:color w:val="auto"/>
                      <w:szCs w:val="21"/>
                      <w:lang w:val="en-US" w:eastAsia="zh-CN"/>
                    </w:rPr>
                    <w:t>0.4</w:t>
                  </w:r>
                  <w:r>
                    <w:rPr>
                      <w:rFonts w:hint="default" w:ascii="Times New Roman" w:hAnsi="Times New Roman" w:cs="Times New Roman"/>
                      <w:color w:val="auto"/>
                      <w:szCs w:val="21"/>
                    </w:rPr>
                    <w:t>×6.8m</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建筑面积</w:t>
                  </w:r>
                  <w:r>
                    <w:rPr>
                      <w:rFonts w:hint="default" w:ascii="Times New Roman" w:hAnsi="Times New Roman" w:cs="Times New Roman"/>
                      <w:color w:val="auto"/>
                      <w:szCs w:val="21"/>
                      <w:lang w:val="en-US" w:eastAsia="zh-CN"/>
                    </w:rPr>
                    <w:t>232.56</w:t>
                  </w:r>
                  <w:r>
                    <w:rPr>
                      <w:rFonts w:hint="default" w:ascii="Times New Roman" w:hAnsi="Times New Roman" w:cs="Times New Roman"/>
                      <w:color w:val="auto"/>
                      <w:szCs w:val="21"/>
                    </w:rPr>
                    <w:t>㎡</w:t>
                  </w:r>
                </w:p>
              </w:tc>
              <w:tc>
                <w:tcPr>
                  <w:tcW w:w="851"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276"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992"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框架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8"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1985"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浓缩液贮池</w:t>
                  </w:r>
                </w:p>
              </w:tc>
              <w:tc>
                <w:tcPr>
                  <w:tcW w:w="2551"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10.0×7.5×3.5m</w:t>
                  </w:r>
                </w:p>
              </w:tc>
              <w:tc>
                <w:tcPr>
                  <w:tcW w:w="851" w:type="dxa"/>
                  <w:noWrap/>
                  <w:vAlign w:val="center"/>
                </w:tcPr>
                <w:p>
                  <w:pPr>
                    <w:widowControl/>
                    <w:spacing w:line="240" w:lineRule="auto"/>
                    <w:jc w:val="center"/>
                    <w:rPr>
                      <w:rFonts w:hint="default" w:ascii="Times New Roman" w:hAnsi="Times New Roman" w:cs="Times New Roman"/>
                      <w:color w:val="auto"/>
                      <w:szCs w:val="21"/>
                    </w:rPr>
                  </w:pPr>
                </w:p>
              </w:tc>
              <w:tc>
                <w:tcPr>
                  <w:tcW w:w="1276"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992"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钢砼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8"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1985"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消防水池</w:t>
                  </w:r>
                </w:p>
              </w:tc>
              <w:tc>
                <w:tcPr>
                  <w:tcW w:w="2551"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5.6×5.6m</w:t>
                  </w:r>
                </w:p>
              </w:tc>
              <w:tc>
                <w:tcPr>
                  <w:tcW w:w="851" w:type="dxa"/>
                  <w:noWrap/>
                  <w:vAlign w:val="center"/>
                </w:tcPr>
                <w:p>
                  <w:pPr>
                    <w:widowControl/>
                    <w:spacing w:line="240" w:lineRule="auto"/>
                    <w:jc w:val="center"/>
                    <w:rPr>
                      <w:rFonts w:hint="default" w:ascii="Times New Roman" w:hAnsi="Times New Roman" w:cs="Times New Roman"/>
                      <w:color w:val="auto"/>
                      <w:szCs w:val="21"/>
                    </w:rPr>
                  </w:pPr>
                </w:p>
              </w:tc>
              <w:tc>
                <w:tcPr>
                  <w:tcW w:w="1276"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992"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钢砼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8"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1985"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综合用房</w:t>
                  </w:r>
                </w:p>
              </w:tc>
              <w:tc>
                <w:tcPr>
                  <w:tcW w:w="2551"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11.4×30.6×8.9m</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建筑面积520.32㎡</w:t>
                  </w:r>
                </w:p>
              </w:tc>
              <w:tc>
                <w:tcPr>
                  <w:tcW w:w="851"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276"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992"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框架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8"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1985"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洗车间</w:t>
                  </w:r>
                </w:p>
              </w:tc>
              <w:tc>
                <w:tcPr>
                  <w:tcW w:w="2551"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6.0×12×6.05m</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建筑面积83.16㎡</w:t>
                  </w:r>
                </w:p>
              </w:tc>
              <w:tc>
                <w:tcPr>
                  <w:tcW w:w="851"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276"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992"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框架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8"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1985"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渗滤液</w:t>
                  </w:r>
                  <w:r>
                    <w:rPr>
                      <w:rFonts w:hint="default" w:ascii="Times New Roman" w:hAnsi="Times New Roman" w:cs="Times New Roman"/>
                      <w:color w:val="auto"/>
                      <w:szCs w:val="21"/>
                      <w:lang w:val="en-US" w:eastAsia="zh-CN"/>
                    </w:rPr>
                    <w:t>回灌</w:t>
                  </w:r>
                  <w:r>
                    <w:rPr>
                      <w:rFonts w:hint="default" w:ascii="Times New Roman" w:hAnsi="Times New Roman" w:cs="Times New Roman"/>
                      <w:color w:val="auto"/>
                      <w:szCs w:val="21"/>
                    </w:rPr>
                    <w:t>井</w:t>
                  </w:r>
                </w:p>
              </w:tc>
              <w:tc>
                <w:tcPr>
                  <w:tcW w:w="2551"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2.5×3.0m</w:t>
                  </w:r>
                </w:p>
              </w:tc>
              <w:tc>
                <w:tcPr>
                  <w:tcW w:w="851"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　</w:t>
                  </w:r>
                </w:p>
              </w:tc>
              <w:tc>
                <w:tcPr>
                  <w:tcW w:w="1276"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992"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钢砼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8"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9</w:t>
                  </w:r>
                </w:p>
              </w:tc>
              <w:tc>
                <w:tcPr>
                  <w:tcW w:w="1985"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抽气机房</w:t>
                  </w:r>
                </w:p>
              </w:tc>
              <w:tc>
                <w:tcPr>
                  <w:tcW w:w="2551"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6.0×6.0×6.5m</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建筑面积43.56m</w:t>
                  </w:r>
                </w:p>
              </w:tc>
              <w:tc>
                <w:tcPr>
                  <w:tcW w:w="851"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276"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992"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框架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8"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1985"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车库</w:t>
                  </w:r>
                </w:p>
              </w:tc>
              <w:tc>
                <w:tcPr>
                  <w:tcW w:w="2551"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33.0×10.5×5.1m</w:t>
                  </w:r>
                </w:p>
              </w:tc>
              <w:tc>
                <w:tcPr>
                  <w:tcW w:w="851"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276"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992"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框架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8" w:type="dxa"/>
                  <w:noWrap/>
                  <w:vAlign w:val="center"/>
                </w:tcPr>
                <w:p>
                  <w:pPr>
                    <w:widowControl/>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11</w:t>
                  </w:r>
                </w:p>
              </w:tc>
              <w:tc>
                <w:tcPr>
                  <w:tcW w:w="1985" w:type="dxa"/>
                  <w:noWrap/>
                  <w:vAlign w:val="center"/>
                </w:tcPr>
                <w:p>
                  <w:pPr>
                    <w:widowControl/>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调节池</w:t>
                  </w:r>
                </w:p>
              </w:tc>
              <w:tc>
                <w:tcPr>
                  <w:tcW w:w="2551" w:type="dxa"/>
                  <w:noWrap/>
                  <w:vAlign w:val="center"/>
                </w:tcPr>
                <w:p>
                  <w:pPr>
                    <w:widowControl/>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9100m</w:t>
                  </w:r>
                  <w:r>
                    <w:rPr>
                      <w:rFonts w:hint="default" w:ascii="Times New Roman" w:hAnsi="Times New Roman" w:cs="Times New Roman"/>
                      <w:color w:val="auto"/>
                      <w:szCs w:val="21"/>
                      <w:vertAlign w:val="superscript"/>
                      <w:lang w:val="en-US" w:eastAsia="zh-CN"/>
                    </w:rPr>
                    <w:t>3</w:t>
                  </w:r>
                </w:p>
              </w:tc>
              <w:tc>
                <w:tcPr>
                  <w:tcW w:w="851"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276" w:type="dxa"/>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992" w:type="dxa"/>
                  <w:noWrap/>
                  <w:vAlign w:val="center"/>
                </w:tcPr>
                <w:p>
                  <w:pPr>
                    <w:widowControl/>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混凝土</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480" w:firstLineChars="200"/>
              <w:rPr>
                <w:rFonts w:hint="default" w:cs="Times New Roman"/>
                <w:color w:val="auto"/>
                <w:sz w:val="24"/>
                <w:szCs w:val="22"/>
                <w:lang w:val="en-US" w:eastAsia="zh-CN"/>
              </w:rPr>
            </w:pPr>
            <w:r>
              <w:rPr>
                <w:rFonts w:hint="eastAsia" w:cs="Times New Roman"/>
                <w:color w:val="auto"/>
                <w:sz w:val="24"/>
                <w:szCs w:val="22"/>
                <w:lang w:val="en-US" w:eastAsia="zh-CN"/>
              </w:rPr>
              <w:t>（8）渗滤液处理工程</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rPr>
                <w:rFonts w:hint="default" w:eastAsia="宋体"/>
                <w:color w:val="auto"/>
                <w:lang w:val="en-US" w:eastAsia="zh-CN"/>
              </w:rPr>
            </w:pPr>
            <w:r>
              <w:rPr>
                <w:rFonts w:hint="eastAsia" w:ascii="Times New Roman" w:hAnsi="Times New Roman" w:cs="Times New Roman"/>
                <w:color w:val="auto"/>
                <w:szCs w:val="22"/>
                <w:lang w:val="en-US" w:eastAsia="zh-CN"/>
              </w:rPr>
              <w:t>现有</w:t>
            </w:r>
            <w:r>
              <w:rPr>
                <w:rFonts w:hint="default" w:ascii="Times New Roman" w:hAnsi="Times New Roman" w:cs="Times New Roman"/>
                <w:color w:val="auto"/>
                <w:szCs w:val="22"/>
              </w:rPr>
              <w:t>渗滤液</w:t>
            </w:r>
            <w:r>
              <w:rPr>
                <w:rFonts w:hint="eastAsia" w:ascii="Times New Roman" w:hAnsi="Times New Roman" w:cs="Times New Roman"/>
                <w:color w:val="auto"/>
                <w:szCs w:val="22"/>
                <w:lang w:val="en-US" w:eastAsia="zh-CN"/>
              </w:rPr>
              <w:t>处理车间</w:t>
            </w:r>
            <w:r>
              <w:rPr>
                <w:rFonts w:hint="default" w:ascii="Times New Roman" w:hAnsi="Times New Roman" w:cs="Times New Roman"/>
                <w:color w:val="auto"/>
                <w:szCs w:val="22"/>
              </w:rPr>
              <w:t>采用两级DTRO处理工艺，设计处理量为50t/d，渗滤液处理排放标准执行《生活垃圾填埋场污染控制标准》（GB16889-2008)表2排放标准，</w:t>
            </w:r>
            <w:r>
              <w:rPr>
                <w:rFonts w:hint="eastAsia" w:cs="Times New Roman"/>
                <w:color w:val="auto"/>
                <w:szCs w:val="22"/>
                <w:lang w:val="en-US" w:eastAsia="zh-CN"/>
              </w:rPr>
              <w:t>拉运至同江洁源污水处理厂处置</w:t>
            </w:r>
            <w:r>
              <w:rPr>
                <w:rFonts w:hint="default" w:ascii="Times New Roman" w:hAnsi="Times New Roman" w:cs="Times New Roman"/>
                <w:color w:val="auto"/>
                <w:szCs w:val="22"/>
              </w:rPr>
              <w:t>。</w:t>
            </w:r>
            <w:r>
              <w:rPr>
                <w:rFonts w:hint="eastAsia" w:ascii="Times New Roman" w:hAnsi="Times New Roman" w:cs="Times New Roman"/>
                <w:color w:val="auto"/>
                <w:szCs w:val="22"/>
                <w:lang w:val="en-US" w:eastAsia="zh-CN"/>
              </w:rPr>
              <w:t>车间恶臭无组织排放，无污泥产生。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480" w:firstLineChars="200"/>
              <w:rPr>
                <w:rFonts w:hint="eastAsia" w:cs="Times New Roman"/>
                <w:color w:val="auto"/>
                <w:sz w:val="24"/>
                <w:szCs w:val="22"/>
                <w:lang w:val="en-US" w:eastAsia="zh-CN"/>
              </w:rPr>
            </w:pPr>
            <w:r>
              <w:rPr>
                <w:rFonts w:hint="eastAsia" w:cs="Times New Roman"/>
                <w:color w:val="auto"/>
                <w:sz w:val="24"/>
                <w:szCs w:val="22"/>
                <w:lang w:val="en-US" w:eastAsia="zh-CN"/>
              </w:rPr>
              <w:t>（9）</w:t>
            </w:r>
            <w:r>
              <w:rPr>
                <w:rFonts w:hint="default" w:ascii="Times New Roman" w:hAnsi="Times New Roman" w:cs="Times New Roman"/>
                <w:color w:val="auto"/>
                <w:sz w:val="24"/>
                <w:szCs w:val="22"/>
                <w:lang w:val="en-US" w:eastAsia="zh-CN"/>
              </w:rPr>
              <w:t>同江市医疗废物集中处置中心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480" w:firstLineChars="200"/>
              <w:rPr>
                <w:rFonts w:hint="eastAsia" w:ascii="Times New Roman" w:hAnsi="Times New Roman" w:cs="Times New Roman"/>
                <w:color w:val="auto"/>
                <w:sz w:val="24"/>
                <w:szCs w:val="22"/>
                <w:lang w:val="en-US" w:eastAsia="zh-CN"/>
              </w:rPr>
            </w:pPr>
            <w:r>
              <w:rPr>
                <w:rFonts w:hint="eastAsia" w:cs="Times New Roman"/>
                <w:color w:val="auto"/>
                <w:kern w:val="0"/>
                <w:sz w:val="24"/>
                <w:szCs w:val="22"/>
                <w:lang w:val="en-US" w:eastAsia="zh-CN"/>
              </w:rPr>
              <w:t>项目年处理感染性、损伤性医疗废物300吨。</w:t>
            </w:r>
            <w:r>
              <w:rPr>
                <w:rFonts w:hint="eastAsia" w:ascii="Times New Roman" w:hAnsi="Times New Roman" w:cs="Times New Roman"/>
                <w:color w:val="auto"/>
                <w:sz w:val="24"/>
                <w:szCs w:val="22"/>
                <w:lang w:val="en-US" w:eastAsia="zh-CN"/>
              </w:rPr>
              <w:t>主体工程为医疗废物高温蒸汽集中处理系统，医疗废物低温暂存系统，污水处理站，灭菌舱废气处理系统，危废暂存间，事故池等。</w:t>
            </w:r>
          </w:p>
          <w:p>
            <w:pPr>
              <w:pStyle w:val="13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rPr>
                <w:rFonts w:hint="eastAsia"/>
                <w:color w:val="auto"/>
                <w:lang w:val="en-US" w:eastAsia="zh-CN"/>
              </w:rPr>
            </w:pPr>
            <w:r>
              <w:rPr>
                <w:rFonts w:hint="eastAsia"/>
                <w:color w:val="auto"/>
                <w:lang w:val="en-US" w:eastAsia="zh-CN"/>
              </w:rPr>
              <w:t>（10）现有工程组成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480" w:firstLineChars="200"/>
              <w:rPr>
                <w:rFonts w:hint="eastAsia" w:ascii="Times New Roman" w:hAnsi="Times New Roman" w:cs="Times New Roman"/>
                <w:color w:val="auto"/>
                <w:kern w:val="0"/>
                <w:sz w:val="24"/>
                <w:szCs w:val="22"/>
                <w:lang w:val="en-US" w:eastAsia="zh-CN"/>
              </w:rPr>
            </w:pPr>
            <w:r>
              <w:rPr>
                <w:rFonts w:hint="eastAsia" w:ascii="Times New Roman" w:hAnsi="Times New Roman" w:cs="Times New Roman"/>
                <w:color w:val="auto"/>
                <w:kern w:val="0"/>
                <w:sz w:val="24"/>
                <w:szCs w:val="22"/>
                <w:lang w:val="en-US" w:eastAsia="zh-CN"/>
              </w:rPr>
              <w:t>项目主体为垃圾填埋场工程，同时厂区建设</w:t>
            </w:r>
            <w:r>
              <w:rPr>
                <w:rFonts w:hint="default" w:ascii="Times New Roman" w:hAnsi="Times New Roman" w:cs="Times New Roman"/>
                <w:color w:val="auto"/>
                <w:kern w:val="0"/>
                <w:sz w:val="24"/>
                <w:szCs w:val="22"/>
                <w:lang w:val="en-US" w:eastAsia="zh-CN"/>
              </w:rPr>
              <w:t>同江市医疗废物集中处置中心</w:t>
            </w:r>
            <w:r>
              <w:rPr>
                <w:rFonts w:hint="eastAsia" w:ascii="Times New Roman" w:hAnsi="Times New Roman" w:cs="Times New Roman"/>
                <w:color w:val="auto"/>
                <w:kern w:val="0"/>
                <w:sz w:val="24"/>
                <w:szCs w:val="22"/>
                <w:lang w:val="en-US" w:eastAsia="zh-CN"/>
              </w:rPr>
              <w:t>，本次对现有工程组成进行概述。</w:t>
            </w:r>
          </w:p>
          <w:p>
            <w:pPr>
              <w:pStyle w:val="136"/>
              <w:jc w:val="center"/>
              <w:rPr>
                <w:rFonts w:hint="default"/>
                <w:b/>
                <w:bCs/>
                <w:color w:val="auto"/>
                <w:lang w:val="en-US" w:eastAsia="zh-CN"/>
              </w:rPr>
            </w:pPr>
            <w:r>
              <w:rPr>
                <w:rFonts w:hint="eastAsia" w:ascii="Times New Roman" w:hAnsi="Times New Roman" w:cs="Times New Roman"/>
                <w:b/>
                <w:bCs/>
                <w:color w:val="auto"/>
                <w:kern w:val="0"/>
                <w:sz w:val="24"/>
                <w:szCs w:val="22"/>
                <w:lang w:val="en-US" w:eastAsia="zh-CN"/>
              </w:rPr>
              <w:t>表1-4现有工程组成一览表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917"/>
              <w:gridCol w:w="1297"/>
              <w:gridCol w:w="651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25" w:type="pc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项目组成</w:t>
                  </w:r>
                </w:p>
              </w:tc>
              <w:tc>
                <w:tcPr>
                  <w:tcW w:w="4474" w:type="pct"/>
                  <w:gridSpan w:val="2"/>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主要建设内容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15" w:hRule="atLeast"/>
                <w:jc w:val="center"/>
              </w:trPr>
              <w:tc>
                <w:tcPr>
                  <w:tcW w:w="525" w:type="pct"/>
                  <w:vMerge w:val="restar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eastAsia" w:ascii="Times New Roman" w:hAnsi="Times New Roman" w:cs="Times New Roman"/>
                      <w:color w:val="auto"/>
                      <w:kern w:val="2"/>
                      <w:szCs w:val="21"/>
                      <w:lang w:val="en-US" w:eastAsia="zh-CN"/>
                    </w:rPr>
                    <w:t>填埋场</w:t>
                  </w:r>
                  <w:r>
                    <w:rPr>
                      <w:rFonts w:hint="default" w:ascii="Times New Roman" w:hAnsi="Times New Roman" w:cs="Times New Roman"/>
                      <w:color w:val="auto"/>
                      <w:kern w:val="2"/>
                      <w:szCs w:val="21"/>
                    </w:rPr>
                    <w:t>主体工程</w:t>
                  </w:r>
                </w:p>
              </w:tc>
              <w:tc>
                <w:tcPr>
                  <w:tcW w:w="743" w:type="pct"/>
                  <w:vAlign w:val="center"/>
                </w:tcPr>
                <w:p>
                  <w:pPr>
                    <w:adjustRightInd/>
                    <w:spacing w:line="240" w:lineRule="auto"/>
                    <w:jc w:val="center"/>
                    <w:textAlignment w:val="auto"/>
                    <w:rPr>
                      <w:rFonts w:hint="default" w:ascii="Times New Roman" w:hAnsi="Times New Roman" w:eastAsia="宋体" w:cs="Times New Roman"/>
                      <w:color w:val="auto"/>
                      <w:kern w:val="2"/>
                      <w:szCs w:val="21"/>
                      <w:lang w:val="en-US" w:eastAsia="zh-CN"/>
                    </w:rPr>
                  </w:pPr>
                  <w:r>
                    <w:rPr>
                      <w:rFonts w:hint="eastAsia" w:ascii="Times New Roman" w:hAnsi="Times New Roman" w:cs="Times New Roman"/>
                      <w:color w:val="auto"/>
                      <w:kern w:val="2"/>
                      <w:szCs w:val="21"/>
                      <w:lang w:val="en-US" w:eastAsia="zh-CN"/>
                    </w:rPr>
                    <w:t>填埋场主体</w:t>
                  </w:r>
                </w:p>
              </w:tc>
              <w:tc>
                <w:tcPr>
                  <w:tcW w:w="3731" w:type="pct"/>
                  <w:vAlign w:val="center"/>
                </w:tcPr>
                <w:p>
                  <w:pPr>
                    <w:pStyle w:val="114"/>
                    <w:rPr>
                      <w:rFonts w:hint="default" w:ascii="Times New Roman" w:hAnsi="Times New Roman" w:cs="Times New Roman"/>
                      <w:color w:val="auto"/>
                      <w:kern w:val="0"/>
                      <w:lang w:val="en-US"/>
                    </w:rPr>
                  </w:pPr>
                  <w:r>
                    <w:rPr>
                      <w:rFonts w:hint="eastAsia" w:ascii="Times New Roman" w:hAnsi="Times New Roman" w:cs="Times New Roman"/>
                      <w:color w:val="auto"/>
                      <w:kern w:val="2"/>
                      <w:szCs w:val="21"/>
                      <w:lang w:val="en-US" w:eastAsia="zh-CN"/>
                    </w:rPr>
                    <w:t>垃圾坝、截洪沟、场底防渗、边坡防渗、渗滤液筹集导排系统等，填埋，填埋气导排系统、封场系统。设计规模近期处理生活垃圾137t/d，总库容91万m</w:t>
                  </w:r>
                  <w:r>
                    <w:rPr>
                      <w:rFonts w:hint="eastAsia" w:ascii="Times New Roman" w:hAnsi="Times New Roman" w:cs="Times New Roman"/>
                      <w:color w:val="auto"/>
                      <w:kern w:val="2"/>
                      <w:szCs w:val="21"/>
                      <w:vertAlign w:val="superscript"/>
                      <w:lang w:val="en-US" w:eastAsia="zh-CN"/>
                    </w:rPr>
                    <w:t>3</w:t>
                  </w:r>
                  <w:r>
                    <w:rPr>
                      <w:rFonts w:hint="eastAsia" w:ascii="Times New Roman" w:hAnsi="Times New Roman" w:cs="Times New Roman"/>
                      <w:color w:val="auto"/>
                      <w:kern w:val="2"/>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15" w:hRule="atLeast"/>
                <w:jc w:val="center"/>
              </w:trPr>
              <w:tc>
                <w:tcPr>
                  <w:tcW w:w="525" w:type="pct"/>
                  <w:vMerge w:val="continue"/>
                  <w:vAlign w:val="center"/>
                </w:tcPr>
                <w:p>
                  <w:pPr>
                    <w:adjustRightInd/>
                    <w:spacing w:line="240" w:lineRule="auto"/>
                    <w:jc w:val="center"/>
                    <w:textAlignment w:val="auto"/>
                    <w:rPr>
                      <w:rFonts w:hint="default" w:ascii="Times New Roman" w:hAnsi="Times New Roman" w:cs="Times New Roman"/>
                      <w:color w:val="auto"/>
                      <w:kern w:val="2"/>
                      <w:szCs w:val="21"/>
                    </w:rPr>
                  </w:pPr>
                </w:p>
              </w:tc>
              <w:tc>
                <w:tcPr>
                  <w:tcW w:w="743" w:type="pct"/>
                  <w:vAlign w:val="center"/>
                </w:tcPr>
                <w:p>
                  <w:pPr>
                    <w:adjustRightInd/>
                    <w:spacing w:line="240" w:lineRule="auto"/>
                    <w:jc w:val="center"/>
                    <w:textAlignment w:val="auto"/>
                    <w:rPr>
                      <w:rFonts w:hint="default" w:ascii="Times New Roman" w:hAnsi="Times New Roman" w:cs="Times New Roman"/>
                      <w:color w:val="auto"/>
                      <w:kern w:val="2"/>
                      <w:szCs w:val="21"/>
                      <w:lang w:val="en-US" w:eastAsia="zh-CN"/>
                    </w:rPr>
                  </w:pPr>
                  <w:r>
                    <w:rPr>
                      <w:rFonts w:hint="eastAsia" w:ascii="Times New Roman" w:hAnsi="Times New Roman" w:cs="Times New Roman"/>
                      <w:color w:val="auto"/>
                      <w:kern w:val="2"/>
                      <w:szCs w:val="21"/>
                      <w:lang w:val="en-US" w:eastAsia="zh-CN"/>
                    </w:rPr>
                    <w:t>渗滤液调节池</w:t>
                  </w:r>
                </w:p>
              </w:tc>
              <w:tc>
                <w:tcPr>
                  <w:tcW w:w="3731" w:type="pct"/>
                  <w:vAlign w:val="center"/>
                </w:tcPr>
                <w:p>
                  <w:pPr>
                    <w:pStyle w:val="114"/>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调节池位于填埋区北侧，边坡以1:2放坡，最大有效水深为3.6m，池深4.25m。有效容积为9100m3。采用土工膜防渗结构形式，防渗结构从下至上依次为：750mm厚压实黏土防渗层（渗透系数不大于1</w:t>
                  </w:r>
                  <w:r>
                    <w:rPr>
                      <w:rFonts w:hint="default" w:ascii="Arial" w:hAnsi="Arial" w:cs="Arial"/>
                      <w:color w:val="auto"/>
                      <w:kern w:val="0"/>
                      <w:lang w:val="en-US" w:eastAsia="zh-CN"/>
                    </w:rPr>
                    <w:t>×</w:t>
                  </w:r>
                  <w:r>
                    <w:rPr>
                      <w:rFonts w:hint="eastAsia" w:ascii="Times New Roman" w:hAnsi="Times New Roman" w:cs="Times New Roman"/>
                      <w:color w:val="auto"/>
                      <w:kern w:val="0"/>
                      <w:lang w:val="en-US" w:eastAsia="zh-CN"/>
                    </w:rPr>
                    <w:t>10</w:t>
                  </w:r>
                  <w:r>
                    <w:rPr>
                      <w:rFonts w:hint="eastAsia" w:ascii="Times New Roman" w:hAnsi="Times New Roman" w:cs="Times New Roman"/>
                      <w:color w:val="auto"/>
                      <w:kern w:val="0"/>
                      <w:vertAlign w:val="superscript"/>
                      <w:lang w:val="en-US" w:eastAsia="zh-CN"/>
                    </w:rPr>
                    <w:t>-2</w:t>
                  </w:r>
                  <w:r>
                    <w:rPr>
                      <w:rFonts w:hint="eastAsia" w:ascii="Times New Roman" w:hAnsi="Times New Roman" w:cs="Times New Roman"/>
                      <w:color w:val="auto"/>
                      <w:kern w:val="0"/>
                      <w:vertAlign w:val="baseline"/>
                      <w:lang w:val="en-US" w:eastAsia="zh-CN"/>
                    </w:rPr>
                    <w:t>cm/s</w:t>
                  </w:r>
                  <w:r>
                    <w:rPr>
                      <w:rFonts w:hint="eastAsia" w:ascii="Times New Roman" w:hAnsi="Times New Roman" w:cs="Times New Roman"/>
                      <w:color w:val="auto"/>
                      <w:kern w:val="0"/>
                      <w:lang w:val="en-US" w:eastAsia="zh-CN"/>
                    </w:rPr>
                    <w:t>）、1.5mm厚的HDPE土工膜、复核土工排水网、1.5mm厚的HDPE土工膜、600g/m2无纺土工布、100mm厚混凝土方砖保护层。采用覆盖膜的方式对调节池进行加盖防臭处理。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15" w:hRule="atLeast"/>
                <w:jc w:val="center"/>
              </w:trPr>
              <w:tc>
                <w:tcPr>
                  <w:tcW w:w="525" w:type="pct"/>
                  <w:vMerge w:val="continue"/>
                  <w:vAlign w:val="center"/>
                </w:tcPr>
                <w:p>
                  <w:pPr>
                    <w:adjustRightInd/>
                    <w:spacing w:line="240" w:lineRule="auto"/>
                    <w:jc w:val="center"/>
                    <w:textAlignment w:val="auto"/>
                    <w:rPr>
                      <w:rFonts w:hint="default" w:ascii="Times New Roman" w:hAnsi="Times New Roman" w:cs="Times New Roman"/>
                      <w:color w:val="auto"/>
                      <w:kern w:val="2"/>
                      <w:szCs w:val="21"/>
                    </w:rPr>
                  </w:pPr>
                </w:p>
              </w:tc>
              <w:tc>
                <w:tcPr>
                  <w:tcW w:w="743" w:type="pct"/>
                  <w:vAlign w:val="center"/>
                </w:tcPr>
                <w:p>
                  <w:pPr>
                    <w:adjustRightInd/>
                    <w:spacing w:line="240" w:lineRule="auto"/>
                    <w:jc w:val="center"/>
                    <w:textAlignment w:val="auto"/>
                    <w:rPr>
                      <w:rFonts w:hint="default" w:ascii="Times New Roman" w:hAnsi="Times New Roman" w:cs="Times New Roman"/>
                      <w:color w:val="auto"/>
                      <w:kern w:val="2"/>
                      <w:szCs w:val="21"/>
                      <w:lang w:val="en-US" w:eastAsia="zh-CN"/>
                    </w:rPr>
                  </w:pPr>
                  <w:r>
                    <w:rPr>
                      <w:rFonts w:hint="eastAsia" w:ascii="Times New Roman" w:hAnsi="Times New Roman" w:cs="Times New Roman"/>
                      <w:color w:val="auto"/>
                      <w:kern w:val="2"/>
                      <w:szCs w:val="21"/>
                      <w:lang w:val="en-US" w:eastAsia="zh-CN"/>
                    </w:rPr>
                    <w:t>渗滤液回灌系统</w:t>
                  </w:r>
                </w:p>
              </w:tc>
              <w:tc>
                <w:tcPr>
                  <w:tcW w:w="3731" w:type="pct"/>
                  <w:vAlign w:val="center"/>
                </w:tcPr>
                <w:p>
                  <w:pPr>
                    <w:pStyle w:val="114"/>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潜水排污泵作为回灌泵。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15" w:hRule="atLeast"/>
                <w:jc w:val="center"/>
              </w:trPr>
              <w:tc>
                <w:tcPr>
                  <w:tcW w:w="525" w:type="pct"/>
                  <w:vMerge w:val="continue"/>
                  <w:vAlign w:val="center"/>
                </w:tcPr>
                <w:p>
                  <w:pPr>
                    <w:adjustRightInd/>
                    <w:spacing w:line="240" w:lineRule="auto"/>
                    <w:jc w:val="center"/>
                    <w:textAlignment w:val="auto"/>
                    <w:rPr>
                      <w:rFonts w:hint="default" w:ascii="Times New Roman" w:hAnsi="Times New Roman" w:cs="Times New Roman"/>
                      <w:color w:val="auto"/>
                      <w:kern w:val="2"/>
                      <w:szCs w:val="21"/>
                    </w:rPr>
                  </w:pPr>
                </w:p>
              </w:tc>
              <w:tc>
                <w:tcPr>
                  <w:tcW w:w="743" w:type="pct"/>
                  <w:vAlign w:val="center"/>
                </w:tcPr>
                <w:p>
                  <w:pPr>
                    <w:adjustRightInd/>
                    <w:spacing w:line="240" w:lineRule="auto"/>
                    <w:jc w:val="center"/>
                    <w:textAlignment w:val="auto"/>
                    <w:rPr>
                      <w:rFonts w:hint="default" w:ascii="Times New Roman" w:hAnsi="Times New Roman" w:cs="Times New Roman"/>
                      <w:color w:val="auto"/>
                      <w:kern w:val="2"/>
                      <w:szCs w:val="21"/>
                      <w:lang w:val="en-US" w:eastAsia="zh-CN"/>
                    </w:rPr>
                  </w:pPr>
                  <w:r>
                    <w:rPr>
                      <w:rFonts w:hint="eastAsia" w:ascii="Times New Roman" w:hAnsi="Times New Roman" w:cs="Times New Roman"/>
                      <w:color w:val="auto"/>
                      <w:kern w:val="2"/>
                      <w:szCs w:val="21"/>
                      <w:lang w:val="en-US" w:eastAsia="zh-CN"/>
                    </w:rPr>
                    <w:t>渗滤液处理系统</w:t>
                  </w:r>
                </w:p>
              </w:tc>
              <w:tc>
                <w:tcPr>
                  <w:tcW w:w="3731" w:type="pct"/>
                  <w:vAlign w:val="center"/>
                </w:tcPr>
                <w:p>
                  <w:pPr>
                    <w:pStyle w:val="114"/>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设置渗滤液处理车间1座，浓缩液贮池1座，构筑物尺寸10</w:t>
                  </w:r>
                  <w:r>
                    <w:rPr>
                      <w:rFonts w:hint="default" w:ascii="Arial" w:hAnsi="Arial" w:cs="Arial"/>
                      <w:color w:val="auto"/>
                      <w:kern w:val="0"/>
                      <w:lang w:val="en-US" w:eastAsia="zh-CN"/>
                    </w:rPr>
                    <w:t>×</w:t>
                  </w:r>
                  <w:r>
                    <w:rPr>
                      <w:rFonts w:hint="eastAsia" w:ascii="Arial" w:hAnsi="Arial" w:cs="Arial"/>
                      <w:color w:val="auto"/>
                      <w:kern w:val="0"/>
                      <w:lang w:val="en-US" w:eastAsia="zh-CN"/>
                    </w:rPr>
                    <w:t>7.5m。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15" w:hRule="atLeast"/>
                <w:jc w:val="center"/>
              </w:trPr>
              <w:tc>
                <w:tcPr>
                  <w:tcW w:w="525" w:type="pct"/>
                  <w:vAlign w:val="center"/>
                </w:tcPr>
                <w:p>
                  <w:pPr>
                    <w:adjustRightInd/>
                    <w:spacing w:line="240" w:lineRule="auto"/>
                    <w:jc w:val="center"/>
                    <w:textAlignment w:val="auto"/>
                    <w:rPr>
                      <w:rFonts w:hint="default" w:ascii="Times New Roman" w:hAnsi="Times New Roman" w:eastAsia="宋体" w:cs="Times New Roman"/>
                      <w:color w:val="auto"/>
                      <w:kern w:val="2"/>
                      <w:szCs w:val="21"/>
                      <w:lang w:val="en-US" w:eastAsia="zh-CN"/>
                    </w:rPr>
                  </w:pPr>
                  <w:r>
                    <w:rPr>
                      <w:rFonts w:hint="eastAsia" w:ascii="Times New Roman" w:hAnsi="Times New Roman" w:cs="Times New Roman"/>
                      <w:color w:val="auto"/>
                      <w:kern w:val="2"/>
                      <w:szCs w:val="21"/>
                      <w:lang w:val="en-US" w:eastAsia="zh-CN"/>
                    </w:rPr>
                    <w:t>医疗废物集中处置主体工程</w:t>
                  </w:r>
                </w:p>
              </w:tc>
              <w:tc>
                <w:tcPr>
                  <w:tcW w:w="743" w:type="pct"/>
                  <w:vAlign w:val="center"/>
                </w:tcPr>
                <w:p>
                  <w:pPr>
                    <w:adjustRightInd/>
                    <w:spacing w:line="240" w:lineRule="auto"/>
                    <w:jc w:val="center"/>
                    <w:textAlignment w:val="auto"/>
                    <w:rPr>
                      <w:rFonts w:hint="eastAsia" w:ascii="Times New Roman" w:hAnsi="Times New Roman" w:cs="Times New Roman"/>
                      <w:color w:val="auto"/>
                      <w:kern w:val="2"/>
                      <w:szCs w:val="21"/>
                      <w:lang w:val="en-US" w:eastAsia="zh-CN"/>
                    </w:rPr>
                  </w:pPr>
                  <w:r>
                    <w:rPr>
                      <w:rFonts w:hint="eastAsia" w:ascii="Times New Roman" w:hAnsi="Times New Roman" w:cs="Times New Roman"/>
                      <w:color w:val="auto"/>
                      <w:kern w:val="2"/>
                      <w:szCs w:val="21"/>
                      <w:lang w:val="en-US" w:eastAsia="zh-CN"/>
                    </w:rPr>
                    <w:t>医疗废物集中处置</w:t>
                  </w:r>
                </w:p>
              </w:tc>
              <w:tc>
                <w:tcPr>
                  <w:tcW w:w="3731" w:type="pct"/>
                  <w:vAlign w:val="center"/>
                </w:tcPr>
                <w:p>
                  <w:pPr>
                    <w:pStyle w:val="114"/>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年处理感染性、损伤性医疗废物300吨。设置医疗废物高温蒸煮消毒设备。主要包括低温暂存系统，高温蒸汽灭菌系统、蒸汽发生系统、提升破碎系统、废水废气处理排放系统、清洗消毒系统、自动化管理系统等。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15" w:hRule="atLeast"/>
                <w:jc w:val="center"/>
              </w:trPr>
              <w:tc>
                <w:tcPr>
                  <w:tcW w:w="525" w:type="pct"/>
                  <w:vMerge w:val="restar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辅助</w:t>
                  </w:r>
                </w:p>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工程</w:t>
                  </w:r>
                </w:p>
              </w:tc>
              <w:tc>
                <w:tcPr>
                  <w:tcW w:w="743" w:type="pc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消防水池</w:t>
                  </w:r>
                </w:p>
              </w:tc>
              <w:tc>
                <w:tcPr>
                  <w:tcW w:w="3731" w:type="pct"/>
                  <w:vAlign w:val="center"/>
                </w:tcPr>
                <w:p>
                  <w:pPr>
                    <w:pStyle w:val="114"/>
                    <w:rPr>
                      <w:rFonts w:hint="default" w:ascii="Times New Roman" w:hAnsi="Times New Roman" w:cs="Times New Roman"/>
                      <w:color w:val="auto"/>
                    </w:rPr>
                  </w:pPr>
                  <w:r>
                    <w:rPr>
                      <w:rFonts w:hint="default" w:ascii="Times New Roman" w:hAnsi="Times New Roman" w:cs="Times New Roman"/>
                      <w:color w:val="auto"/>
                      <w:kern w:val="0"/>
                    </w:rPr>
                    <w:t>垃在管理区设一座消防水池，以满足消防时的水量要求。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525" w:type="pct"/>
                  <w:vMerge w:val="continue"/>
                  <w:vAlign w:val="center"/>
                </w:tcPr>
                <w:p>
                  <w:pPr>
                    <w:adjustRightInd/>
                    <w:spacing w:line="240" w:lineRule="auto"/>
                    <w:jc w:val="center"/>
                    <w:textAlignment w:val="auto"/>
                    <w:rPr>
                      <w:rFonts w:hint="default" w:ascii="Times New Roman" w:hAnsi="Times New Roman" w:cs="Times New Roman"/>
                      <w:color w:val="auto"/>
                      <w:kern w:val="2"/>
                      <w:szCs w:val="21"/>
                    </w:rPr>
                  </w:pPr>
                </w:p>
              </w:tc>
              <w:tc>
                <w:tcPr>
                  <w:tcW w:w="743" w:type="pc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控制室</w:t>
                  </w:r>
                </w:p>
              </w:tc>
              <w:tc>
                <w:tcPr>
                  <w:tcW w:w="3731" w:type="pct"/>
                  <w:vAlign w:val="center"/>
                </w:tcPr>
                <w:p>
                  <w:pPr>
                    <w:pStyle w:val="114"/>
                    <w:rPr>
                      <w:rFonts w:hint="default" w:ascii="Times New Roman" w:hAnsi="Times New Roman" w:cs="Times New Roman"/>
                      <w:color w:val="auto"/>
                      <w:kern w:val="0"/>
                    </w:rPr>
                  </w:pPr>
                  <w:r>
                    <w:rPr>
                      <w:rFonts w:hint="default" w:ascii="Times New Roman" w:hAnsi="Times New Roman" w:cs="Times New Roman"/>
                      <w:color w:val="auto"/>
                      <w:kern w:val="0"/>
                    </w:rPr>
                    <w:t>位于渗滤液处理车间内，建筑面积20m</w:t>
                  </w:r>
                  <w:r>
                    <w:rPr>
                      <w:rFonts w:hint="default" w:ascii="Times New Roman" w:hAnsi="Times New Roman" w:cs="Times New Roman"/>
                      <w:color w:val="auto"/>
                      <w:kern w:val="0"/>
                      <w:vertAlign w:val="superscript"/>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95" w:hRule="atLeast"/>
                <w:jc w:val="center"/>
              </w:trPr>
              <w:tc>
                <w:tcPr>
                  <w:tcW w:w="525" w:type="pct"/>
                  <w:vMerge w:val="restar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储运工程</w:t>
                  </w:r>
                </w:p>
              </w:tc>
              <w:tc>
                <w:tcPr>
                  <w:tcW w:w="743" w:type="pc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药剂存储</w:t>
                  </w:r>
                </w:p>
              </w:tc>
              <w:tc>
                <w:tcPr>
                  <w:tcW w:w="3731" w:type="pct"/>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化学除磷药剂PAC，絮凝剂采用PAM。</w:t>
                  </w:r>
                  <w:r>
                    <w:rPr>
                      <w:rFonts w:hint="default" w:ascii="Times New Roman" w:hAnsi="Times New Roman" w:cs="Times New Roman"/>
                      <w:color w:val="auto"/>
                      <w:szCs w:val="21"/>
                      <w:lang w:val="en-US" w:eastAsia="zh-CN"/>
                    </w:rPr>
                    <w:t>氢氧化钠储罐200L一个。</w:t>
                  </w:r>
                  <w:r>
                    <w:rPr>
                      <w:rFonts w:hint="default" w:ascii="Times New Roman" w:hAnsi="Times New Roman" w:cs="Times New Roman"/>
                      <w:color w:val="auto"/>
                      <w:szCs w:val="21"/>
                    </w:rPr>
                    <w:t>药剂存储均位于渗滤液处理车间内。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95" w:hRule="atLeast"/>
                <w:jc w:val="center"/>
              </w:trPr>
              <w:tc>
                <w:tcPr>
                  <w:tcW w:w="525" w:type="pct"/>
                  <w:vMerge w:val="continue"/>
                  <w:vAlign w:val="center"/>
                </w:tcPr>
                <w:p>
                  <w:pPr>
                    <w:adjustRightInd/>
                    <w:spacing w:line="240" w:lineRule="auto"/>
                    <w:jc w:val="center"/>
                    <w:textAlignment w:val="auto"/>
                    <w:rPr>
                      <w:rFonts w:hint="default" w:ascii="Times New Roman" w:hAnsi="Times New Roman" w:cs="Times New Roman"/>
                      <w:color w:val="auto"/>
                      <w:kern w:val="2"/>
                      <w:szCs w:val="21"/>
                    </w:rPr>
                  </w:pPr>
                </w:p>
              </w:tc>
              <w:tc>
                <w:tcPr>
                  <w:tcW w:w="743" w:type="pct"/>
                  <w:vAlign w:val="center"/>
                </w:tcPr>
                <w:p>
                  <w:pPr>
                    <w:adjustRightInd/>
                    <w:spacing w:line="240" w:lineRule="auto"/>
                    <w:jc w:val="center"/>
                    <w:textAlignment w:val="auto"/>
                    <w:rPr>
                      <w:rFonts w:hint="default" w:ascii="Times New Roman" w:hAnsi="Times New Roman" w:eastAsia="宋体" w:cs="Times New Roman"/>
                      <w:color w:val="auto"/>
                      <w:kern w:val="2"/>
                      <w:szCs w:val="21"/>
                      <w:lang w:val="en-US" w:eastAsia="zh-CN"/>
                    </w:rPr>
                  </w:pPr>
                  <w:r>
                    <w:rPr>
                      <w:rFonts w:hint="default" w:ascii="Times New Roman" w:hAnsi="Times New Roman" w:cs="Times New Roman"/>
                      <w:color w:val="auto"/>
                      <w:kern w:val="2"/>
                      <w:szCs w:val="21"/>
                      <w:lang w:val="en-US" w:eastAsia="zh-CN"/>
                    </w:rPr>
                    <w:t>硫酸储罐</w:t>
                  </w:r>
                </w:p>
              </w:tc>
              <w:tc>
                <w:tcPr>
                  <w:tcW w:w="3731" w:type="pct"/>
                  <w:vAlign w:val="center"/>
                </w:tcPr>
                <w:p>
                  <w:pP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一个，位于原垃圾渗滤液处理车间，3000L。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525" w:type="pct"/>
                  <w:vMerge w:val="restar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公用</w:t>
                  </w:r>
                </w:p>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工程</w:t>
                  </w:r>
                </w:p>
              </w:tc>
              <w:tc>
                <w:tcPr>
                  <w:tcW w:w="743" w:type="pc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供电系统</w:t>
                  </w:r>
                </w:p>
              </w:tc>
              <w:tc>
                <w:tcPr>
                  <w:tcW w:w="3731" w:type="pct"/>
                  <w:vAlign w:val="center"/>
                </w:tcPr>
                <w:p>
                  <w:pPr>
                    <w:snapToGrid w:val="0"/>
                    <w:spacing w:line="240" w:lineRule="auto"/>
                    <w:rPr>
                      <w:rFonts w:hint="default" w:ascii="Times New Roman" w:hAnsi="Times New Roman" w:cs="Times New Roman"/>
                      <w:color w:val="auto"/>
                      <w:szCs w:val="21"/>
                    </w:rPr>
                  </w:pPr>
                  <w:r>
                    <w:rPr>
                      <w:rFonts w:hint="default" w:ascii="Times New Roman" w:hAnsi="Times New Roman" w:cs="Times New Roman"/>
                      <w:color w:val="auto"/>
                    </w:rPr>
                    <w:t>当地供电公司。</w:t>
                  </w:r>
                  <w:r>
                    <w:rPr>
                      <w:rFonts w:hint="default" w:ascii="Times New Roman" w:hAnsi="Times New Roman" w:cs="Times New Roman"/>
                      <w:color w:val="auto"/>
                      <w:szCs w:val="21"/>
                    </w:rPr>
                    <w:t>备用电源：设置一台油发电机组作为备用电源。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525" w:type="pct"/>
                  <w:vMerge w:val="continue"/>
                  <w:vAlign w:val="center"/>
                </w:tcPr>
                <w:p>
                  <w:pPr>
                    <w:snapToGrid w:val="0"/>
                    <w:spacing w:line="240" w:lineRule="auto"/>
                    <w:jc w:val="center"/>
                    <w:textAlignment w:val="auto"/>
                    <w:rPr>
                      <w:rFonts w:hint="default" w:ascii="Times New Roman" w:hAnsi="Times New Roman" w:cs="Times New Roman"/>
                      <w:color w:val="auto"/>
                      <w:kern w:val="2"/>
                      <w:szCs w:val="21"/>
                    </w:rPr>
                  </w:pPr>
                </w:p>
              </w:tc>
              <w:tc>
                <w:tcPr>
                  <w:tcW w:w="743" w:type="pct"/>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供水系统</w:t>
                  </w:r>
                </w:p>
              </w:tc>
              <w:tc>
                <w:tcPr>
                  <w:tcW w:w="3731" w:type="pct"/>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由</w:t>
                  </w:r>
                  <w:r>
                    <w:rPr>
                      <w:rFonts w:hint="default" w:ascii="Times New Roman" w:hAnsi="Times New Roman" w:cs="Times New Roman"/>
                      <w:color w:val="auto"/>
                    </w:rPr>
                    <w:t>垃圾填埋场厂区深井提供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25" w:type="pct"/>
                  <w:vMerge w:val="continue"/>
                  <w:vAlign w:val="center"/>
                </w:tcPr>
                <w:p>
                  <w:pPr>
                    <w:snapToGrid w:val="0"/>
                    <w:spacing w:line="240" w:lineRule="auto"/>
                    <w:jc w:val="center"/>
                    <w:textAlignment w:val="auto"/>
                    <w:rPr>
                      <w:rFonts w:hint="default" w:ascii="Times New Roman" w:hAnsi="Times New Roman" w:cs="Times New Roman"/>
                      <w:color w:val="auto"/>
                      <w:kern w:val="2"/>
                      <w:szCs w:val="21"/>
                    </w:rPr>
                  </w:pPr>
                </w:p>
              </w:tc>
              <w:tc>
                <w:tcPr>
                  <w:tcW w:w="743" w:type="pct"/>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排水系统</w:t>
                  </w:r>
                </w:p>
              </w:tc>
              <w:tc>
                <w:tcPr>
                  <w:tcW w:w="3731" w:type="pct"/>
                  <w:vAlign w:val="center"/>
                </w:tcPr>
                <w:p>
                  <w:pPr>
                    <w:snapToGrid w:val="0"/>
                    <w:spacing w:line="240" w:lineRule="auto"/>
                    <w:jc w:val="center"/>
                    <w:textAlignment w:val="auto"/>
                    <w:rPr>
                      <w:rFonts w:hint="eastAsia" w:ascii="Times New Roman" w:hAnsi="Times New Roman" w:eastAsia="宋体" w:cs="Times New Roman"/>
                      <w:color w:val="auto"/>
                      <w:kern w:val="2"/>
                      <w:szCs w:val="21"/>
                      <w:lang w:eastAsia="zh-CN"/>
                    </w:rPr>
                  </w:pPr>
                  <w:r>
                    <w:rPr>
                      <w:rFonts w:hint="default" w:ascii="Times New Roman" w:hAnsi="Times New Roman" w:cs="Times New Roman"/>
                      <w:color w:val="auto"/>
                      <w:kern w:val="2"/>
                      <w:szCs w:val="21"/>
                    </w:rPr>
                    <w:t>生活污水、生产废水经渗滤液处理站处理后，运至</w:t>
                  </w:r>
                  <w:r>
                    <w:rPr>
                      <w:rFonts w:hint="eastAsia" w:cs="Times New Roman"/>
                      <w:color w:val="auto"/>
                      <w:kern w:val="2"/>
                      <w:szCs w:val="21"/>
                      <w:lang w:eastAsia="zh-CN"/>
                    </w:rPr>
                    <w:t>同江市洁源污水处理厂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25" w:type="pct"/>
                  <w:vMerge w:val="continue"/>
                  <w:vAlign w:val="center"/>
                </w:tcPr>
                <w:p>
                  <w:pPr>
                    <w:snapToGrid w:val="0"/>
                    <w:spacing w:line="240" w:lineRule="auto"/>
                    <w:jc w:val="center"/>
                    <w:textAlignment w:val="auto"/>
                    <w:rPr>
                      <w:rFonts w:hint="default" w:ascii="Times New Roman" w:hAnsi="Times New Roman" w:cs="Times New Roman"/>
                      <w:color w:val="auto"/>
                      <w:kern w:val="2"/>
                      <w:szCs w:val="21"/>
                    </w:rPr>
                  </w:pPr>
                </w:p>
              </w:tc>
              <w:tc>
                <w:tcPr>
                  <w:tcW w:w="743" w:type="pct"/>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供暖系统</w:t>
                  </w:r>
                </w:p>
              </w:tc>
              <w:tc>
                <w:tcPr>
                  <w:tcW w:w="3731" w:type="pct"/>
                  <w:vAlign w:val="center"/>
                </w:tcPr>
                <w:p>
                  <w:pPr>
                    <w:adjustRightInd/>
                    <w:spacing w:line="240" w:lineRule="auto"/>
                    <w:jc w:val="center"/>
                    <w:textAlignment w:val="auto"/>
                    <w:rPr>
                      <w:rFonts w:hint="default" w:ascii="Times New Roman" w:hAnsi="Times New Roman" w:eastAsia="宋体" w:cs="Times New Roman"/>
                      <w:color w:val="auto"/>
                      <w:kern w:val="2"/>
                      <w:szCs w:val="21"/>
                      <w:lang w:eastAsia="zh-CN"/>
                    </w:rPr>
                  </w:pPr>
                  <w:r>
                    <w:rPr>
                      <w:rFonts w:hint="default" w:ascii="Times New Roman" w:hAnsi="Times New Roman" w:cs="Times New Roman"/>
                      <w:color w:val="auto"/>
                      <w:kern w:val="2"/>
                      <w:szCs w:val="21"/>
                      <w:lang w:val="en-US" w:eastAsia="zh-CN"/>
                    </w:rPr>
                    <w:t>电取暖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85" w:hRule="atLeast"/>
                <w:jc w:val="center"/>
              </w:trPr>
              <w:tc>
                <w:tcPr>
                  <w:tcW w:w="525" w:type="pct"/>
                  <w:vMerge w:val="restart"/>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环保工程</w:t>
                  </w:r>
                </w:p>
              </w:tc>
              <w:tc>
                <w:tcPr>
                  <w:tcW w:w="743" w:type="pct"/>
                  <w:vAlign w:val="center"/>
                </w:tcPr>
                <w:p>
                  <w:pPr>
                    <w:widowControl/>
                    <w:snapToGrid w:val="0"/>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废气</w:t>
                  </w:r>
                </w:p>
              </w:tc>
              <w:tc>
                <w:tcPr>
                  <w:tcW w:w="3731" w:type="pct"/>
                  <w:vAlign w:val="center"/>
                </w:tcPr>
                <w:p>
                  <w:pPr>
                    <w:widowControl/>
                    <w:snapToGrid w:val="0"/>
                    <w:rPr>
                      <w:rFonts w:hint="eastAsia" w:ascii="Times New Roman" w:hAnsi="Times New Roman" w:cs="Times New Roman"/>
                      <w:color w:val="auto"/>
                      <w:szCs w:val="22"/>
                      <w:lang w:val="en-US" w:eastAsia="zh-CN"/>
                    </w:rPr>
                  </w:pPr>
                  <w:r>
                    <w:rPr>
                      <w:rFonts w:hint="eastAsia" w:ascii="Times New Roman" w:hAnsi="Times New Roman" w:cs="Times New Roman"/>
                      <w:color w:val="auto"/>
                      <w:szCs w:val="22"/>
                      <w:lang w:val="en-US" w:eastAsia="zh-CN"/>
                    </w:rPr>
                    <w:t>调节池加盖防护。</w:t>
                  </w:r>
                </w:p>
                <w:p>
                  <w:pPr>
                    <w:widowControl/>
                    <w:snapToGrid w:val="0"/>
                    <w:rPr>
                      <w:rFonts w:hint="default" w:ascii="Times New Roman" w:hAnsi="Times New Roman" w:cs="Times New Roman"/>
                      <w:color w:val="auto"/>
                      <w:szCs w:val="22"/>
                      <w:lang w:val="en-US" w:eastAsia="zh-CN"/>
                    </w:rPr>
                  </w:pPr>
                  <w:r>
                    <w:rPr>
                      <w:rFonts w:hint="eastAsia" w:ascii="Times New Roman" w:hAnsi="Times New Roman" w:cs="Times New Roman"/>
                      <w:color w:val="auto"/>
                      <w:szCs w:val="22"/>
                      <w:lang w:val="en-US" w:eastAsia="zh-CN"/>
                    </w:rPr>
                    <w:t>灭菌车间废气处理：高温蒸汽、破碎产生的废气等集中收集，经紫外线消毒+高效过滤装置+活性炭吸附，通过15m高排气筒排放，净化效率99.999%。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11" w:hRule="atLeast"/>
                <w:jc w:val="center"/>
              </w:trPr>
              <w:tc>
                <w:tcPr>
                  <w:tcW w:w="525" w:type="pct"/>
                  <w:vMerge w:val="continue"/>
                  <w:vAlign w:val="center"/>
                </w:tcPr>
                <w:p>
                  <w:pPr>
                    <w:snapToGrid w:val="0"/>
                    <w:spacing w:line="240" w:lineRule="auto"/>
                    <w:jc w:val="center"/>
                    <w:textAlignment w:val="auto"/>
                    <w:rPr>
                      <w:rFonts w:hint="default" w:ascii="Times New Roman" w:hAnsi="Times New Roman" w:cs="Times New Roman"/>
                      <w:color w:val="auto"/>
                      <w:kern w:val="2"/>
                      <w:szCs w:val="21"/>
                    </w:rPr>
                  </w:pPr>
                </w:p>
              </w:tc>
              <w:tc>
                <w:tcPr>
                  <w:tcW w:w="743" w:type="pct"/>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废水</w:t>
                  </w:r>
                </w:p>
              </w:tc>
              <w:tc>
                <w:tcPr>
                  <w:tcW w:w="3731" w:type="pct"/>
                  <w:vAlign w:val="center"/>
                </w:tcPr>
                <w:p>
                  <w:pPr>
                    <w:widowControl/>
                    <w:snapToGrid w:val="0"/>
                    <w:rPr>
                      <w:rFonts w:hint="eastAsia" w:ascii="Times New Roman" w:hAnsi="Times New Roman" w:cs="Times New Roman"/>
                      <w:color w:val="auto"/>
                      <w:szCs w:val="22"/>
                      <w:lang w:val="en-US" w:eastAsia="zh-CN"/>
                    </w:rPr>
                  </w:pPr>
                  <w:r>
                    <w:rPr>
                      <w:rFonts w:hint="eastAsia" w:ascii="Times New Roman" w:hAnsi="Times New Roman" w:cs="Times New Roman"/>
                      <w:color w:val="auto"/>
                      <w:szCs w:val="22"/>
                      <w:lang w:val="en-US" w:eastAsia="zh-CN"/>
                    </w:rPr>
                    <w:t>渗滤液-调节池-原水罐-一级DTRO-二级DTRO-收集至废水存储池-运送至污同江市洁源污水处理厂。</w:t>
                  </w:r>
                </w:p>
                <w:p>
                  <w:pPr>
                    <w:widowControl/>
                    <w:snapToGrid w:val="0"/>
                    <w:rPr>
                      <w:rFonts w:hint="default"/>
                      <w:color w:val="auto"/>
                      <w:lang w:val="en-US" w:eastAsia="zh-CN"/>
                    </w:rPr>
                  </w:pPr>
                  <w:r>
                    <w:rPr>
                      <w:rFonts w:hint="eastAsia" w:ascii="Times New Roman" w:hAnsi="Times New Roman" w:cs="Times New Roman"/>
                      <w:color w:val="auto"/>
                      <w:szCs w:val="22"/>
                      <w:lang w:val="en-US" w:eastAsia="zh-CN"/>
                    </w:rPr>
                    <w:t>高温蒸汽处理设备内腔中产生的冷凝液，医疗废物的渗滤液及废气处理过程中产生的冷凝液，首先收集进入高温加热废液处理单元进行消毒处理，温度125摄氏度，停留时间0.5h，然后与生活污水、车间冲洗废水、周转箱消毒清洗水、运输车辆消毒清洗水一起，排入厂区污水处理站处理，厂内污水处理站处理规模5t/d，采用预处理+AO+消毒处理工艺，处理达标后，定期外运至同江市污水处理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803" w:hRule="atLeast"/>
                <w:jc w:val="center"/>
              </w:trPr>
              <w:tc>
                <w:tcPr>
                  <w:tcW w:w="525" w:type="pct"/>
                  <w:vMerge w:val="continue"/>
                  <w:vAlign w:val="center"/>
                </w:tcPr>
                <w:p>
                  <w:pPr>
                    <w:snapToGrid w:val="0"/>
                    <w:spacing w:line="240" w:lineRule="auto"/>
                    <w:jc w:val="center"/>
                    <w:textAlignment w:val="auto"/>
                    <w:rPr>
                      <w:rFonts w:hint="default" w:ascii="Times New Roman" w:hAnsi="Times New Roman" w:cs="Times New Roman"/>
                      <w:color w:val="auto"/>
                      <w:kern w:val="2"/>
                      <w:szCs w:val="21"/>
                    </w:rPr>
                  </w:pPr>
                </w:p>
              </w:tc>
              <w:tc>
                <w:tcPr>
                  <w:tcW w:w="743" w:type="pct"/>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地下水</w:t>
                  </w:r>
                </w:p>
              </w:tc>
              <w:tc>
                <w:tcPr>
                  <w:tcW w:w="3731" w:type="pct"/>
                  <w:vAlign w:val="center"/>
                </w:tcPr>
                <w:p>
                  <w:pPr>
                    <w:rPr>
                      <w:rFonts w:hint="eastAsia"/>
                      <w:color w:val="auto"/>
                      <w:lang w:val="en-US" w:eastAsia="zh-CN"/>
                    </w:rPr>
                  </w:pPr>
                  <w:r>
                    <w:rPr>
                      <w:rFonts w:hint="eastAsia"/>
                      <w:color w:val="auto"/>
                      <w:lang w:val="en-US" w:eastAsia="zh-CN"/>
                    </w:rPr>
                    <w:t>布设地下水监测井6眼：本底井，1眼，设在填埋场地下水流向上游30m处，设置在垃圾填埋场东侧；污染扩散井，3眼，分别设在垂直填埋场地下水流向两侧30~50m处，设置在垃圾场东西两侧各1眼及调节池东侧1眼；污染监视井，2眼，分别设在填埋场地下水流向下游30m、50m处，设在垃圾填埋场北侧。</w:t>
                  </w:r>
                </w:p>
                <w:p>
                  <w:pPr>
                    <w:pStyle w:val="136"/>
                    <w:rPr>
                      <w:rFonts w:hint="default"/>
                      <w:color w:val="auto"/>
                      <w:lang w:val="en-US" w:eastAsia="zh-CN"/>
                    </w:rPr>
                  </w:pPr>
                  <w:r>
                    <w:rPr>
                      <w:rFonts w:hint="eastAsia" w:ascii="Times New Roman" w:hAnsi="Times New Roman" w:cs="Times New Roman"/>
                      <w:color w:val="auto"/>
                      <w:szCs w:val="21"/>
                      <w:lang w:val="en-US" w:eastAsia="zh-CN"/>
                    </w:rPr>
                    <w:t>分区防渗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525" w:type="pct"/>
                  <w:vMerge w:val="continue"/>
                  <w:vAlign w:val="center"/>
                </w:tcPr>
                <w:p>
                  <w:pPr>
                    <w:adjustRightInd/>
                    <w:spacing w:line="240" w:lineRule="auto"/>
                    <w:jc w:val="center"/>
                    <w:textAlignment w:val="auto"/>
                    <w:rPr>
                      <w:rFonts w:hint="default" w:ascii="Times New Roman" w:hAnsi="Times New Roman" w:cs="Times New Roman"/>
                      <w:color w:val="auto"/>
                      <w:kern w:val="2"/>
                      <w:szCs w:val="21"/>
                    </w:rPr>
                  </w:pPr>
                </w:p>
              </w:tc>
              <w:tc>
                <w:tcPr>
                  <w:tcW w:w="743" w:type="pc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固废</w:t>
                  </w:r>
                </w:p>
              </w:tc>
              <w:tc>
                <w:tcPr>
                  <w:tcW w:w="3731" w:type="pct"/>
                  <w:vAlign w:val="center"/>
                </w:tcPr>
                <w:p>
                  <w:pPr>
                    <w:jc w:val="left"/>
                    <w:rPr>
                      <w:rFonts w:hint="default"/>
                      <w:color w:val="auto"/>
                      <w:lang w:val="en-US" w:eastAsia="zh-CN"/>
                    </w:rPr>
                  </w:pPr>
                  <w:r>
                    <w:rPr>
                      <w:rFonts w:hint="default"/>
                      <w:color w:val="auto"/>
                    </w:rPr>
                    <w:t>渗滤液采用DTRO工艺，产生的污泥量较小，产生少量的污泥进入垃圾填埋场填埋。</w:t>
                  </w:r>
                  <w:r>
                    <w:rPr>
                      <w:rFonts w:hint="eastAsia"/>
                      <w:color w:val="auto"/>
                      <w:lang w:val="en-US" w:eastAsia="zh-CN"/>
                    </w:rPr>
                    <w:t>生活垃圾进入垃圾填埋场填埋。废膜交由厂家回收处置，在医疗废物处置车间内西侧设置危废暂存间1处，面积10m</w:t>
                  </w:r>
                  <w:r>
                    <w:rPr>
                      <w:rFonts w:hint="eastAsia"/>
                      <w:color w:val="auto"/>
                      <w:vertAlign w:val="superscript"/>
                      <w:lang w:val="en-US" w:eastAsia="zh-CN"/>
                    </w:rPr>
                    <w:t>2</w:t>
                  </w: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525" w:type="pct"/>
                  <w:vMerge w:val="continue"/>
                  <w:vAlign w:val="center"/>
                </w:tcPr>
                <w:p>
                  <w:pPr>
                    <w:adjustRightInd/>
                    <w:spacing w:line="240" w:lineRule="auto"/>
                    <w:jc w:val="center"/>
                    <w:textAlignment w:val="auto"/>
                    <w:rPr>
                      <w:rFonts w:hint="default" w:ascii="Times New Roman" w:hAnsi="Times New Roman" w:cs="Times New Roman"/>
                      <w:color w:val="auto"/>
                      <w:kern w:val="2"/>
                      <w:szCs w:val="21"/>
                    </w:rPr>
                  </w:pPr>
                </w:p>
              </w:tc>
              <w:tc>
                <w:tcPr>
                  <w:tcW w:w="743" w:type="pct"/>
                  <w:vAlign w:val="center"/>
                </w:tcPr>
                <w:p>
                  <w:pPr>
                    <w:adjustRightInd/>
                    <w:spacing w:line="240" w:lineRule="auto"/>
                    <w:jc w:val="center"/>
                    <w:textAlignment w:val="auto"/>
                    <w:rPr>
                      <w:rFonts w:hint="default" w:ascii="Times New Roman" w:hAnsi="Times New Roman" w:eastAsia="宋体" w:cs="Times New Roman"/>
                      <w:color w:val="auto"/>
                      <w:kern w:val="2"/>
                      <w:szCs w:val="21"/>
                      <w:lang w:val="en-US" w:eastAsia="zh-CN"/>
                    </w:rPr>
                  </w:pPr>
                  <w:r>
                    <w:rPr>
                      <w:rFonts w:hint="eastAsia" w:ascii="Times New Roman" w:hAnsi="Times New Roman" w:cs="Times New Roman"/>
                      <w:color w:val="auto"/>
                      <w:kern w:val="2"/>
                      <w:szCs w:val="21"/>
                      <w:lang w:val="en-US" w:eastAsia="zh-CN"/>
                    </w:rPr>
                    <w:t>风险事故池初期雨水池</w:t>
                  </w:r>
                </w:p>
              </w:tc>
              <w:tc>
                <w:tcPr>
                  <w:tcW w:w="3731" w:type="pct"/>
                  <w:vAlign w:val="center"/>
                </w:tcPr>
                <w:p>
                  <w:pPr>
                    <w:jc w:val="left"/>
                    <w:rPr>
                      <w:rFonts w:hint="default" w:eastAsia="宋体"/>
                      <w:color w:val="auto"/>
                      <w:lang w:val="en-US" w:eastAsia="zh-CN"/>
                    </w:rPr>
                  </w:pPr>
                  <w:r>
                    <w:rPr>
                      <w:rFonts w:hint="eastAsia" w:ascii="Times New Roman" w:hAnsi="Times New Roman" w:cs="Times New Roman"/>
                      <w:color w:val="auto"/>
                      <w:kern w:val="2"/>
                      <w:szCs w:val="21"/>
                      <w:lang w:val="en-US" w:eastAsia="zh-CN"/>
                    </w:rPr>
                    <w:t>医疗集中处置中心设置</w:t>
                  </w:r>
                  <w:r>
                    <w:rPr>
                      <w:rFonts w:hint="eastAsia"/>
                      <w:color w:val="auto"/>
                      <w:lang w:val="en-US" w:eastAsia="zh-CN"/>
                    </w:rPr>
                    <w:t>5m3事故贮水池，33m3初期雨水池，合建规模38m3。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525" w:type="pct"/>
                  <w:vMerge w:val="continue"/>
                  <w:vAlign w:val="center"/>
                </w:tcPr>
                <w:p>
                  <w:pPr>
                    <w:adjustRightInd/>
                    <w:spacing w:line="240" w:lineRule="auto"/>
                    <w:jc w:val="center"/>
                    <w:textAlignment w:val="auto"/>
                    <w:rPr>
                      <w:rFonts w:hint="default" w:ascii="Times New Roman" w:hAnsi="Times New Roman" w:cs="Times New Roman"/>
                      <w:color w:val="auto"/>
                      <w:kern w:val="2"/>
                      <w:szCs w:val="21"/>
                    </w:rPr>
                  </w:pPr>
                </w:p>
              </w:tc>
              <w:tc>
                <w:tcPr>
                  <w:tcW w:w="743" w:type="pct"/>
                  <w:vAlign w:val="center"/>
                </w:tcPr>
                <w:p>
                  <w:pPr>
                    <w:adjustRightInd/>
                    <w:spacing w:line="240" w:lineRule="auto"/>
                    <w:jc w:val="center"/>
                    <w:textAlignment w:val="auto"/>
                    <w:rPr>
                      <w:rFonts w:hint="default" w:ascii="Times New Roman" w:hAnsi="Times New Roman" w:cs="Times New Roman"/>
                      <w:color w:val="auto"/>
                      <w:kern w:val="2"/>
                      <w:szCs w:val="21"/>
                      <w:lang w:val="en-US" w:eastAsia="zh-CN"/>
                    </w:rPr>
                  </w:pPr>
                  <w:r>
                    <w:rPr>
                      <w:rFonts w:hint="eastAsia" w:ascii="Times New Roman" w:hAnsi="Times New Roman" w:cs="Times New Roman"/>
                      <w:color w:val="auto"/>
                      <w:kern w:val="2"/>
                      <w:szCs w:val="21"/>
                      <w:lang w:val="en-US" w:eastAsia="zh-CN"/>
                    </w:rPr>
                    <w:t>危废暂存间</w:t>
                  </w:r>
                </w:p>
              </w:tc>
              <w:tc>
                <w:tcPr>
                  <w:tcW w:w="3731" w:type="pct"/>
                  <w:vAlign w:val="center"/>
                </w:tcPr>
                <w:p>
                  <w:pPr>
                    <w:jc w:val="left"/>
                    <w:rPr>
                      <w:rFonts w:hint="default"/>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16" w:hRule="atLeast"/>
                <w:jc w:val="center"/>
              </w:trPr>
              <w:tc>
                <w:tcPr>
                  <w:tcW w:w="525" w:type="pct"/>
                  <w:vMerge w:val="continue"/>
                  <w:vAlign w:val="center"/>
                </w:tcPr>
                <w:p>
                  <w:pPr>
                    <w:adjustRightInd/>
                    <w:spacing w:line="240" w:lineRule="auto"/>
                    <w:jc w:val="center"/>
                    <w:textAlignment w:val="auto"/>
                    <w:rPr>
                      <w:rFonts w:hint="default" w:ascii="Times New Roman" w:hAnsi="Times New Roman" w:cs="Times New Roman"/>
                      <w:color w:val="auto"/>
                      <w:kern w:val="2"/>
                      <w:szCs w:val="21"/>
                    </w:rPr>
                  </w:pPr>
                </w:p>
              </w:tc>
              <w:tc>
                <w:tcPr>
                  <w:tcW w:w="743" w:type="pc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噪声</w:t>
                  </w:r>
                </w:p>
              </w:tc>
              <w:tc>
                <w:tcPr>
                  <w:tcW w:w="3731" w:type="pc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选用低噪声设备、基础减振、绿化降噪</w:t>
                  </w:r>
                </w:p>
              </w:tc>
            </w:tr>
          </w:tbl>
          <w:p>
            <w:pPr>
              <w:pStyle w:val="136"/>
              <w:numPr>
                <w:ilvl w:val="0"/>
                <w:numId w:val="0"/>
              </w:numPr>
              <w:ind w:left="480" w:leftChars="0"/>
              <w:rPr>
                <w:rFonts w:hint="default"/>
                <w:color w:val="auto"/>
                <w:lang w:val="en-US" w:eastAsia="zh-CN"/>
              </w:rPr>
            </w:pPr>
          </w:p>
          <w:p>
            <w:pPr>
              <w:snapToGrid w:val="0"/>
              <w:spacing w:line="360" w:lineRule="auto"/>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3、渗沥液站改造工程</w:t>
            </w:r>
          </w:p>
          <w:p>
            <w:pPr>
              <w:snapToGrid w:val="0"/>
              <w:spacing w:line="360" w:lineRule="auto"/>
              <w:textAlignment w:val="auto"/>
              <w:rPr>
                <w:rFonts w:hint="default" w:ascii="Times New Roman" w:hAnsi="Times New Roman" w:cs="Times New Roman"/>
                <w:b/>
                <w:color w:val="auto"/>
              </w:rPr>
            </w:pPr>
            <w:r>
              <w:rPr>
                <w:rFonts w:hint="default" w:ascii="Times New Roman" w:hAnsi="Times New Roman" w:cs="Times New Roman"/>
                <w:b/>
                <w:color w:val="auto"/>
              </w:rPr>
              <w:t>3.1</w:t>
            </w:r>
            <w:r>
              <w:rPr>
                <w:rFonts w:hint="default" w:ascii="Times New Roman" w:hAnsi="Times New Roman" w:cs="Times New Roman"/>
                <w:b/>
                <w:color w:val="auto"/>
                <w:sz w:val="24"/>
                <w:szCs w:val="24"/>
              </w:rPr>
              <w:t>渗沥液站改造工程</w:t>
            </w:r>
            <w:r>
              <w:rPr>
                <w:rFonts w:hint="default" w:ascii="Times New Roman" w:hAnsi="Times New Roman" w:cs="Times New Roman"/>
                <w:b/>
                <w:color w:val="auto"/>
              </w:rPr>
              <w:t>概况</w:t>
            </w:r>
          </w:p>
          <w:p>
            <w:pPr>
              <w:spacing w:line="360" w:lineRule="auto"/>
              <w:ind w:firstLine="56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项目名称：同江市城市生活垃圾处理场渗沥液站改造工程</w:t>
            </w:r>
          </w:p>
          <w:p>
            <w:pPr>
              <w:spacing w:line="360" w:lineRule="auto"/>
              <w:ind w:firstLine="560"/>
              <w:rPr>
                <w:rFonts w:hint="default" w:ascii="Times New Roman" w:hAnsi="Times New Roman" w:eastAsia="宋体" w:cs="Times New Roman"/>
                <w:color w:val="auto"/>
                <w:sz w:val="24"/>
                <w:szCs w:val="22"/>
                <w:lang w:eastAsia="zh-CN"/>
              </w:rPr>
            </w:pPr>
            <w:r>
              <w:rPr>
                <w:rFonts w:hint="default" w:ascii="Times New Roman" w:hAnsi="Times New Roman" w:cs="Times New Roman"/>
                <w:color w:val="auto"/>
                <w:sz w:val="24"/>
                <w:szCs w:val="22"/>
              </w:rPr>
              <w:t>建设单位：</w:t>
            </w:r>
            <w:r>
              <w:rPr>
                <w:rFonts w:hint="default" w:ascii="Times New Roman" w:hAnsi="Times New Roman" w:cs="Times New Roman"/>
                <w:color w:val="auto"/>
                <w:kern w:val="2"/>
                <w:sz w:val="24"/>
                <w:szCs w:val="24"/>
                <w:lang w:eastAsia="zh-CN"/>
              </w:rPr>
              <w:t>同江市城市生活垃圾处理中心</w:t>
            </w:r>
          </w:p>
          <w:p>
            <w:pPr>
              <w:spacing w:line="360" w:lineRule="auto"/>
              <w:ind w:firstLine="560"/>
              <w:rPr>
                <w:rFonts w:hint="default" w:ascii="Times New Roman" w:hAnsi="Times New Roman" w:eastAsia="宋体" w:cs="Times New Roman"/>
                <w:color w:val="auto"/>
                <w:sz w:val="24"/>
                <w:szCs w:val="22"/>
                <w:lang w:val="en-US" w:eastAsia="zh-CN"/>
              </w:rPr>
            </w:pPr>
            <w:r>
              <w:rPr>
                <w:rFonts w:hint="default" w:ascii="Times New Roman" w:hAnsi="Times New Roman" w:cs="Times New Roman"/>
                <w:color w:val="auto"/>
                <w:sz w:val="24"/>
                <w:szCs w:val="22"/>
              </w:rPr>
              <w:t>建设地点</w:t>
            </w:r>
            <w:r>
              <w:rPr>
                <w:rFonts w:hint="default" w:ascii="Times New Roman" w:hAnsi="Times New Roman" w:cs="Times New Roman"/>
                <w:color w:val="auto"/>
                <w:kern w:val="2"/>
                <w:sz w:val="24"/>
                <w:szCs w:val="24"/>
              </w:rPr>
              <w:t>：项目建设地点位于同秀路7km处路南，同江垃圾处理场内原有渗滤液处理间东侧空地。</w:t>
            </w:r>
            <w:r>
              <w:rPr>
                <w:rFonts w:hint="default" w:ascii="Times New Roman" w:hAnsi="Times New Roman" w:cs="Times New Roman"/>
                <w:color w:val="auto"/>
                <w:sz w:val="24"/>
                <w:szCs w:val="22"/>
              </w:rPr>
              <w:t>经纬度：东经：132°37′54.22″，北纬：47°38′55.64″。占地面积</w:t>
            </w:r>
            <w:r>
              <w:rPr>
                <w:rFonts w:hint="default" w:ascii="Times New Roman" w:hAnsi="Times New Roman" w:cs="Times New Roman"/>
                <w:color w:val="auto"/>
                <w:sz w:val="24"/>
                <w:szCs w:val="22"/>
                <w:lang w:val="en-US" w:eastAsia="zh-CN"/>
              </w:rPr>
              <w:t>326.4m</w:t>
            </w:r>
            <w:r>
              <w:rPr>
                <w:rFonts w:hint="default" w:ascii="Times New Roman" w:hAnsi="Times New Roman" w:cs="Times New Roman"/>
                <w:color w:val="auto"/>
                <w:sz w:val="24"/>
                <w:szCs w:val="22"/>
                <w:vertAlign w:val="superscript"/>
                <w:lang w:val="en-US" w:eastAsia="zh-CN"/>
              </w:rPr>
              <w:t>2</w:t>
            </w:r>
            <w:r>
              <w:rPr>
                <w:rFonts w:hint="default" w:ascii="Times New Roman" w:hAnsi="Times New Roman" w:cs="Times New Roman"/>
                <w:color w:val="auto"/>
                <w:sz w:val="24"/>
                <w:szCs w:val="22"/>
                <w:lang w:val="en-US" w:eastAsia="zh-CN"/>
              </w:rPr>
              <w:t>。</w:t>
            </w:r>
          </w:p>
          <w:p>
            <w:pPr>
              <w:spacing w:line="360" w:lineRule="auto"/>
              <w:ind w:firstLine="56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本项目地理位置图见附图一、总平面布置图见附图</w:t>
            </w:r>
            <w:r>
              <w:rPr>
                <w:rFonts w:hint="eastAsia" w:cs="Times New Roman"/>
                <w:color w:val="auto"/>
                <w:sz w:val="24"/>
                <w:szCs w:val="22"/>
                <w:lang w:val="en-US" w:eastAsia="zh-CN"/>
              </w:rPr>
              <w:t>二、</w:t>
            </w:r>
            <w:r>
              <w:rPr>
                <w:rFonts w:hint="default" w:ascii="Times New Roman" w:hAnsi="Times New Roman" w:cs="Times New Roman"/>
                <w:color w:val="auto"/>
                <w:sz w:val="24"/>
                <w:szCs w:val="22"/>
              </w:rPr>
              <w:t>本项目敏感目标分布图见附图</w:t>
            </w:r>
            <w:r>
              <w:rPr>
                <w:rFonts w:hint="eastAsia" w:cs="Times New Roman"/>
                <w:color w:val="auto"/>
                <w:sz w:val="24"/>
                <w:szCs w:val="22"/>
                <w:lang w:val="en-US" w:eastAsia="zh-CN"/>
              </w:rPr>
              <w:t>三</w:t>
            </w:r>
            <w:r>
              <w:rPr>
                <w:rFonts w:hint="default" w:ascii="Times New Roman" w:hAnsi="Times New Roman" w:cs="Times New Roman"/>
                <w:color w:val="auto"/>
                <w:sz w:val="24"/>
                <w:szCs w:val="22"/>
              </w:rPr>
              <w:t>。</w:t>
            </w:r>
          </w:p>
          <w:p>
            <w:pPr>
              <w:spacing w:line="360" w:lineRule="auto"/>
              <w:ind w:firstLine="56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建设性质：改扩建；</w:t>
            </w:r>
          </w:p>
          <w:p>
            <w:pPr>
              <w:spacing w:line="360" w:lineRule="auto"/>
              <w:ind w:firstLine="56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工程投资：1483.43万元</w:t>
            </w:r>
          </w:p>
          <w:p>
            <w:pPr>
              <w:spacing w:line="360" w:lineRule="auto"/>
              <w:ind w:firstLine="56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处理工艺：</w:t>
            </w:r>
          </w:p>
          <w:p>
            <w:pPr>
              <w:spacing w:line="360" w:lineRule="auto"/>
              <w:ind w:firstLine="56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渗滤液→调节池→气浮设备→原水灌→两级DTRO系统→达标排放。</w:t>
            </w:r>
          </w:p>
          <w:p>
            <w:pPr>
              <w:spacing w:line="360" w:lineRule="auto"/>
              <w:ind w:firstLine="56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工程规模：</w:t>
            </w:r>
            <w:r>
              <w:rPr>
                <w:rFonts w:hint="default" w:ascii="Times New Roman" w:hAnsi="Times New Roman" w:cs="Times New Roman"/>
                <w:color w:val="auto"/>
                <w:sz w:val="24"/>
                <w:szCs w:val="22"/>
                <w:lang w:val="en-US" w:eastAsia="zh-CN"/>
              </w:rPr>
              <w:t>渗滤液</w:t>
            </w:r>
            <w:r>
              <w:rPr>
                <w:rFonts w:hint="default" w:ascii="Times New Roman" w:hAnsi="Times New Roman" w:cs="Times New Roman"/>
                <w:color w:val="auto"/>
                <w:sz w:val="24"/>
                <w:szCs w:val="22"/>
              </w:rPr>
              <w:t>处理200m</w:t>
            </w:r>
            <w:r>
              <w:rPr>
                <w:rFonts w:hint="default" w:ascii="Times New Roman" w:hAnsi="Times New Roman" w:cs="Times New Roman"/>
                <w:color w:val="auto"/>
                <w:sz w:val="24"/>
                <w:szCs w:val="22"/>
                <w:vertAlign w:val="superscript"/>
              </w:rPr>
              <w:t>3</w:t>
            </w:r>
            <w:r>
              <w:rPr>
                <w:rFonts w:hint="default" w:ascii="Times New Roman" w:hAnsi="Times New Roman" w:cs="Times New Roman"/>
                <w:color w:val="auto"/>
                <w:sz w:val="24"/>
                <w:szCs w:val="22"/>
              </w:rPr>
              <w:t>/d。</w:t>
            </w:r>
          </w:p>
          <w:p>
            <w:pPr>
              <w:spacing w:line="360" w:lineRule="auto"/>
              <w:rPr>
                <w:rFonts w:hint="default" w:ascii="Times New Roman" w:hAnsi="Times New Roman" w:cs="Times New Roman"/>
                <w:b/>
                <w:color w:val="auto"/>
                <w:sz w:val="24"/>
                <w:szCs w:val="22"/>
              </w:rPr>
            </w:pPr>
            <w:r>
              <w:rPr>
                <w:rFonts w:hint="default" w:ascii="Times New Roman" w:hAnsi="Times New Roman" w:cs="Times New Roman"/>
                <w:b/>
                <w:color w:val="auto"/>
                <w:sz w:val="24"/>
                <w:szCs w:val="22"/>
              </w:rPr>
              <w:t>3.2建设规模和内容</w:t>
            </w:r>
          </w:p>
          <w:p>
            <w:pPr>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同江市城市生活垃圾处理场渗沥液站改造工程主要包括新建渗滤液处理间1座，增加气浮机、两级DTRO处理设备处理工艺设备。</w:t>
            </w:r>
            <w:r>
              <w:rPr>
                <w:rFonts w:hint="default" w:ascii="Times New Roman" w:hAnsi="Times New Roman" w:cs="Times New Roman"/>
                <w:color w:val="auto"/>
                <w:sz w:val="24"/>
                <w:szCs w:val="22"/>
                <w:lang w:val="en-US" w:eastAsia="zh-CN"/>
              </w:rPr>
              <w:t>原渗滤液处理车间不变，作为事故或设备检修时备用处理车间</w:t>
            </w:r>
            <w:r>
              <w:rPr>
                <w:rFonts w:hint="eastAsia" w:cs="Times New Roman"/>
                <w:color w:val="auto"/>
                <w:sz w:val="24"/>
                <w:szCs w:val="22"/>
                <w:lang w:val="en-US" w:eastAsia="zh-CN"/>
              </w:rPr>
              <w:t>。</w:t>
            </w:r>
            <w:r>
              <w:rPr>
                <w:rFonts w:hint="default" w:ascii="Times New Roman" w:hAnsi="Times New Roman" w:cs="Times New Roman"/>
                <w:color w:val="auto"/>
                <w:sz w:val="24"/>
                <w:szCs w:val="22"/>
              </w:rPr>
              <w:t>扩建项目组成一览表见表1-</w:t>
            </w:r>
            <w:r>
              <w:rPr>
                <w:rFonts w:hint="eastAsia" w:cs="Times New Roman"/>
                <w:color w:val="auto"/>
                <w:sz w:val="24"/>
                <w:szCs w:val="22"/>
                <w:lang w:val="en-US" w:eastAsia="zh-CN"/>
              </w:rPr>
              <w:t>5</w:t>
            </w:r>
            <w:r>
              <w:rPr>
                <w:rFonts w:hint="default" w:ascii="Times New Roman" w:hAnsi="Times New Roman" w:cs="Times New Roman"/>
                <w:color w:val="auto"/>
                <w:sz w:val="24"/>
                <w:szCs w:val="22"/>
              </w:rPr>
              <w:t>。</w:t>
            </w:r>
          </w:p>
          <w:p>
            <w:pPr>
              <w:pStyle w:val="41"/>
              <w:spacing w:line="360" w:lineRule="auto"/>
              <w:ind w:firstLine="482" w:firstLineChars="200"/>
              <w:jc w:val="center"/>
              <w:rPr>
                <w:rFonts w:hint="default" w:ascii="Times New Roman" w:hAnsi="Times New Roman" w:cs="Times New Roman"/>
                <w:b/>
                <w:color w:val="auto"/>
              </w:rPr>
            </w:pPr>
            <w:r>
              <w:rPr>
                <w:rFonts w:hint="default" w:ascii="Times New Roman" w:hAnsi="Times New Roman" w:cs="Times New Roman"/>
                <w:b/>
                <w:color w:val="auto"/>
              </w:rPr>
              <w:t>表1-</w:t>
            </w:r>
            <w:r>
              <w:rPr>
                <w:rFonts w:hint="eastAsia" w:ascii="Times New Roman" w:cs="Times New Roman"/>
                <w:b/>
                <w:color w:val="auto"/>
                <w:lang w:val="en-US" w:eastAsia="zh-CN"/>
              </w:rPr>
              <w:t>5</w:t>
            </w:r>
            <w:r>
              <w:rPr>
                <w:rFonts w:hint="default" w:ascii="Times New Roman" w:hAnsi="Times New Roman" w:cs="Times New Roman"/>
                <w:b/>
                <w:color w:val="auto"/>
              </w:rPr>
              <w:t>项目组成一览表</w:t>
            </w:r>
          </w:p>
          <w:tbl>
            <w:tblPr>
              <w:tblStyle w:val="33"/>
              <w:tblW w:w="873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690"/>
              <w:gridCol w:w="1270"/>
              <w:gridCol w:w="5730"/>
              <w:gridCol w:w="104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95" w:type="pc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项目组成</w:t>
                  </w:r>
                </w:p>
              </w:tc>
              <w:tc>
                <w:tcPr>
                  <w:tcW w:w="4007" w:type="pct"/>
                  <w:gridSpan w:val="2"/>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主要建设内容</w:t>
                  </w:r>
                </w:p>
              </w:tc>
              <w:tc>
                <w:tcPr>
                  <w:tcW w:w="597" w:type="pc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95" w:type="pc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主体工程（渗滤液处理间）</w:t>
                  </w:r>
                </w:p>
              </w:tc>
              <w:tc>
                <w:tcPr>
                  <w:tcW w:w="4007" w:type="pct"/>
                  <w:gridSpan w:val="2"/>
                  <w:vAlign w:val="center"/>
                </w:tcPr>
                <w:p>
                  <w:pPr>
                    <w:widowControl/>
                    <w:snapToGrid w:val="0"/>
                    <w:rPr>
                      <w:rFonts w:hint="default" w:ascii="Times New Roman" w:hAnsi="Times New Roman" w:eastAsia="宋体" w:cs="Times New Roman"/>
                      <w:color w:val="auto"/>
                      <w:kern w:val="2"/>
                      <w:szCs w:val="21"/>
                      <w:lang w:val="en-US" w:eastAsia="zh-CN"/>
                    </w:rPr>
                  </w:pPr>
                  <w:r>
                    <w:rPr>
                      <w:rFonts w:hint="default" w:ascii="Times New Roman" w:hAnsi="Times New Roman" w:cs="Times New Roman"/>
                      <w:color w:val="auto"/>
                      <w:szCs w:val="28"/>
                    </w:rPr>
                    <w:t>新建渗滤液处理间1座（与原渗滤液处理间贴建）</w:t>
                  </w:r>
                  <w:r>
                    <w:rPr>
                      <w:rFonts w:hint="default" w:ascii="Times New Roman" w:hAnsi="Times New Roman" w:cs="Times New Roman"/>
                      <w:color w:val="auto"/>
                      <w:szCs w:val="28"/>
                      <w:lang w:val="en-US" w:eastAsia="zh-CN"/>
                    </w:rPr>
                    <w:t>配套渗滤液处理设备</w:t>
                  </w:r>
                  <w:r>
                    <w:rPr>
                      <w:rFonts w:hint="default" w:ascii="Times New Roman" w:hAnsi="Times New Roman" w:cs="Times New Roman"/>
                      <w:color w:val="auto"/>
                      <w:szCs w:val="28"/>
                    </w:rPr>
                    <w:t>，</w:t>
                  </w:r>
                  <w:r>
                    <w:rPr>
                      <w:rFonts w:hint="default" w:ascii="Times New Roman" w:hAnsi="Times New Roman" w:cs="Times New Roman"/>
                      <w:color w:val="auto"/>
                      <w:kern w:val="2"/>
                      <w:szCs w:val="21"/>
                    </w:rPr>
                    <w:t>建筑面积</w:t>
                  </w:r>
                  <w:r>
                    <w:rPr>
                      <w:rFonts w:hint="default" w:ascii="Times New Roman" w:hAnsi="Times New Roman" w:cs="Times New Roman"/>
                      <w:color w:val="auto"/>
                      <w:szCs w:val="21"/>
                    </w:rPr>
                    <w:t>326.4m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，高度7.89m。</w:t>
                  </w:r>
                  <w:r>
                    <w:rPr>
                      <w:rFonts w:hint="default" w:ascii="Times New Roman" w:hAnsi="Times New Roman" w:cs="Times New Roman"/>
                      <w:color w:val="auto"/>
                      <w:szCs w:val="28"/>
                    </w:rPr>
                    <w:t>将原渗滤液处理间的一处窗户(C1518)拆除，改为门(M1524)</w:t>
                  </w:r>
                  <w:r>
                    <w:rPr>
                      <w:rFonts w:hint="default" w:ascii="Times New Roman" w:hAnsi="Times New Roman" w:cs="Times New Roman"/>
                      <w:color w:val="auto"/>
                      <w:szCs w:val="28"/>
                      <w:lang w:eastAsia="zh-CN"/>
                    </w:rPr>
                    <w:t>。</w:t>
                  </w:r>
                  <w:r>
                    <w:rPr>
                      <w:rFonts w:hint="default" w:ascii="Times New Roman" w:hAnsi="Times New Roman" w:cs="Times New Roman"/>
                      <w:color w:val="auto"/>
                      <w:szCs w:val="28"/>
                      <w:lang w:val="en-US" w:eastAsia="zh-CN"/>
                    </w:rPr>
                    <w:t>调节池，浓缩液储池均利用原有设备。</w:t>
                  </w:r>
                </w:p>
              </w:tc>
              <w:tc>
                <w:tcPr>
                  <w:tcW w:w="597" w:type="pc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15" w:hRule="atLeast"/>
                <w:jc w:val="center"/>
              </w:trPr>
              <w:tc>
                <w:tcPr>
                  <w:tcW w:w="395" w:type="pct"/>
                  <w:vMerge w:val="restar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辅助</w:t>
                  </w:r>
                </w:p>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工程</w:t>
                  </w:r>
                </w:p>
              </w:tc>
              <w:tc>
                <w:tcPr>
                  <w:tcW w:w="727" w:type="pc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消防水池</w:t>
                  </w:r>
                </w:p>
              </w:tc>
              <w:tc>
                <w:tcPr>
                  <w:tcW w:w="3280" w:type="pct"/>
                  <w:vAlign w:val="center"/>
                </w:tcPr>
                <w:p>
                  <w:pPr>
                    <w:pStyle w:val="114"/>
                    <w:rPr>
                      <w:rFonts w:hint="default" w:ascii="Times New Roman" w:hAnsi="Times New Roman" w:cs="Times New Roman"/>
                      <w:color w:val="auto"/>
                    </w:rPr>
                  </w:pPr>
                  <w:r>
                    <w:rPr>
                      <w:rFonts w:hint="default" w:ascii="Times New Roman" w:hAnsi="Times New Roman" w:cs="Times New Roman"/>
                      <w:color w:val="auto"/>
                      <w:kern w:val="0"/>
                    </w:rPr>
                    <w:t>垃在管理区设一座消防水池，以满足消防时的水量要求。</w:t>
                  </w:r>
                </w:p>
              </w:tc>
              <w:tc>
                <w:tcPr>
                  <w:tcW w:w="597" w:type="pct"/>
                  <w:vAlign w:val="center"/>
                </w:tcPr>
                <w:p>
                  <w:pPr>
                    <w:pStyle w:val="15"/>
                    <w:spacing w:line="240" w:lineRule="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依托原有工程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395" w:type="pct"/>
                  <w:vMerge w:val="continue"/>
                  <w:vAlign w:val="center"/>
                </w:tcPr>
                <w:p>
                  <w:pPr>
                    <w:adjustRightInd/>
                    <w:spacing w:line="240" w:lineRule="auto"/>
                    <w:jc w:val="center"/>
                    <w:textAlignment w:val="auto"/>
                    <w:rPr>
                      <w:rFonts w:hint="default" w:ascii="Times New Roman" w:hAnsi="Times New Roman" w:cs="Times New Roman"/>
                      <w:color w:val="auto"/>
                      <w:kern w:val="2"/>
                      <w:szCs w:val="21"/>
                    </w:rPr>
                  </w:pPr>
                </w:p>
              </w:tc>
              <w:tc>
                <w:tcPr>
                  <w:tcW w:w="727" w:type="pc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控制室</w:t>
                  </w:r>
                </w:p>
              </w:tc>
              <w:tc>
                <w:tcPr>
                  <w:tcW w:w="3280" w:type="pct"/>
                  <w:vAlign w:val="center"/>
                </w:tcPr>
                <w:p>
                  <w:pPr>
                    <w:pStyle w:val="114"/>
                    <w:rPr>
                      <w:rFonts w:hint="default" w:ascii="Times New Roman" w:hAnsi="Times New Roman" w:cs="Times New Roman"/>
                      <w:color w:val="auto"/>
                      <w:kern w:val="0"/>
                    </w:rPr>
                  </w:pPr>
                  <w:r>
                    <w:rPr>
                      <w:rFonts w:hint="default" w:ascii="Times New Roman" w:hAnsi="Times New Roman" w:cs="Times New Roman"/>
                      <w:color w:val="auto"/>
                      <w:kern w:val="0"/>
                    </w:rPr>
                    <w:t>位于渗滤液处理车间内，建筑面积20m</w:t>
                  </w:r>
                  <w:r>
                    <w:rPr>
                      <w:rFonts w:hint="default" w:ascii="Times New Roman" w:hAnsi="Times New Roman" w:cs="Times New Roman"/>
                      <w:color w:val="auto"/>
                      <w:kern w:val="0"/>
                      <w:vertAlign w:val="superscript"/>
                    </w:rPr>
                    <w:t>2</w:t>
                  </w:r>
                </w:p>
              </w:tc>
              <w:tc>
                <w:tcPr>
                  <w:tcW w:w="597" w:type="pct"/>
                  <w:vAlign w:val="center"/>
                </w:tcPr>
                <w:p>
                  <w:pPr>
                    <w:pStyle w:val="15"/>
                    <w:spacing w:line="240" w:lineRule="auto"/>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95" w:hRule="atLeast"/>
                <w:jc w:val="center"/>
              </w:trPr>
              <w:tc>
                <w:tcPr>
                  <w:tcW w:w="395" w:type="pct"/>
                  <w:vMerge w:val="restar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储运工程</w:t>
                  </w:r>
                </w:p>
              </w:tc>
              <w:tc>
                <w:tcPr>
                  <w:tcW w:w="727" w:type="pc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药剂存储</w:t>
                  </w:r>
                </w:p>
              </w:tc>
              <w:tc>
                <w:tcPr>
                  <w:tcW w:w="3280" w:type="pct"/>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化学除磷药剂PAC，絮凝剂采用PAM。</w:t>
                  </w:r>
                  <w:r>
                    <w:rPr>
                      <w:rFonts w:hint="default" w:ascii="Times New Roman" w:hAnsi="Times New Roman" w:cs="Times New Roman"/>
                      <w:color w:val="auto"/>
                      <w:szCs w:val="21"/>
                      <w:lang w:val="en-US" w:eastAsia="zh-CN"/>
                    </w:rPr>
                    <w:t>氢氧化钠储罐200L一个。</w:t>
                  </w:r>
                  <w:r>
                    <w:rPr>
                      <w:rFonts w:hint="default" w:ascii="Times New Roman" w:hAnsi="Times New Roman" w:cs="Times New Roman"/>
                      <w:color w:val="auto"/>
                      <w:szCs w:val="21"/>
                    </w:rPr>
                    <w:t>药剂存储均位于渗滤液处理车间内。</w:t>
                  </w:r>
                </w:p>
              </w:tc>
              <w:tc>
                <w:tcPr>
                  <w:tcW w:w="597"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2"/>
                      <w:szCs w:val="21"/>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95" w:hRule="atLeast"/>
                <w:jc w:val="center"/>
              </w:trPr>
              <w:tc>
                <w:tcPr>
                  <w:tcW w:w="395" w:type="pct"/>
                  <w:vMerge w:val="continue"/>
                  <w:vAlign w:val="center"/>
                </w:tcPr>
                <w:p>
                  <w:pPr>
                    <w:adjustRightInd/>
                    <w:spacing w:line="240" w:lineRule="auto"/>
                    <w:jc w:val="center"/>
                    <w:textAlignment w:val="auto"/>
                    <w:rPr>
                      <w:rFonts w:hint="default" w:ascii="Times New Roman" w:hAnsi="Times New Roman" w:cs="Times New Roman"/>
                      <w:color w:val="auto"/>
                      <w:kern w:val="2"/>
                      <w:szCs w:val="21"/>
                    </w:rPr>
                  </w:pPr>
                </w:p>
              </w:tc>
              <w:tc>
                <w:tcPr>
                  <w:tcW w:w="727" w:type="pct"/>
                  <w:vAlign w:val="center"/>
                </w:tcPr>
                <w:p>
                  <w:pPr>
                    <w:adjustRightInd/>
                    <w:spacing w:line="240" w:lineRule="auto"/>
                    <w:jc w:val="center"/>
                    <w:textAlignment w:val="auto"/>
                    <w:rPr>
                      <w:rFonts w:hint="default" w:ascii="Times New Roman" w:hAnsi="Times New Roman" w:eastAsia="宋体" w:cs="Times New Roman"/>
                      <w:color w:val="auto"/>
                      <w:kern w:val="2"/>
                      <w:szCs w:val="21"/>
                      <w:lang w:val="en-US" w:eastAsia="zh-CN"/>
                    </w:rPr>
                  </w:pPr>
                  <w:r>
                    <w:rPr>
                      <w:rFonts w:hint="default" w:ascii="Times New Roman" w:hAnsi="Times New Roman" w:cs="Times New Roman"/>
                      <w:color w:val="auto"/>
                      <w:kern w:val="2"/>
                      <w:szCs w:val="21"/>
                      <w:lang w:val="en-US" w:eastAsia="zh-CN"/>
                    </w:rPr>
                    <w:t>硫酸储罐</w:t>
                  </w:r>
                </w:p>
              </w:tc>
              <w:tc>
                <w:tcPr>
                  <w:tcW w:w="3280" w:type="pct"/>
                  <w:vAlign w:val="center"/>
                </w:tcPr>
                <w:p>
                  <w:pP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一个，位于原垃圾渗滤液处理车间，3000L。</w:t>
                  </w:r>
                </w:p>
              </w:tc>
              <w:tc>
                <w:tcPr>
                  <w:tcW w:w="597" w:type="pct"/>
                  <w:vAlign w:val="center"/>
                </w:tcPr>
                <w:p>
                  <w:pPr>
                    <w:jc w:val="center"/>
                    <w:rPr>
                      <w:rFonts w:hint="default" w:ascii="Times New Roman" w:hAnsi="Times New Roman" w:cs="Times New Roman"/>
                      <w:color w:val="auto"/>
                      <w:kern w:val="2"/>
                      <w:szCs w:val="21"/>
                    </w:rPr>
                  </w:pPr>
                  <w:r>
                    <w:rPr>
                      <w:rFonts w:hint="default" w:ascii="Times New Roman" w:hAnsi="Times New Roman" w:cs="Times New Roman"/>
                      <w:color w:val="auto"/>
                      <w:szCs w:val="21"/>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395" w:type="pct"/>
                  <w:vMerge w:val="restar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公用</w:t>
                  </w:r>
                </w:p>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工程</w:t>
                  </w:r>
                </w:p>
              </w:tc>
              <w:tc>
                <w:tcPr>
                  <w:tcW w:w="727" w:type="pc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供电系统</w:t>
                  </w:r>
                </w:p>
              </w:tc>
              <w:tc>
                <w:tcPr>
                  <w:tcW w:w="3280" w:type="pct"/>
                  <w:vAlign w:val="center"/>
                </w:tcPr>
                <w:p>
                  <w:pPr>
                    <w:snapToGrid w:val="0"/>
                    <w:spacing w:line="240" w:lineRule="auto"/>
                    <w:rPr>
                      <w:rFonts w:hint="default" w:ascii="Times New Roman" w:hAnsi="Times New Roman" w:cs="Times New Roman"/>
                      <w:color w:val="auto"/>
                      <w:szCs w:val="21"/>
                    </w:rPr>
                  </w:pPr>
                  <w:r>
                    <w:rPr>
                      <w:rFonts w:hint="default" w:ascii="Times New Roman" w:hAnsi="Times New Roman" w:cs="Times New Roman"/>
                      <w:color w:val="auto"/>
                    </w:rPr>
                    <w:t>当地供电公司。</w:t>
                  </w:r>
                  <w:r>
                    <w:rPr>
                      <w:rFonts w:hint="default" w:ascii="Times New Roman" w:hAnsi="Times New Roman" w:cs="Times New Roman"/>
                      <w:color w:val="auto"/>
                      <w:szCs w:val="21"/>
                    </w:rPr>
                    <w:t>备用电源：设置一台油发电机组作为备用电源。</w:t>
                  </w:r>
                </w:p>
              </w:tc>
              <w:tc>
                <w:tcPr>
                  <w:tcW w:w="597" w:type="pct"/>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395" w:type="pct"/>
                  <w:vMerge w:val="continue"/>
                  <w:vAlign w:val="center"/>
                </w:tcPr>
                <w:p>
                  <w:pPr>
                    <w:snapToGrid w:val="0"/>
                    <w:spacing w:line="240" w:lineRule="auto"/>
                    <w:jc w:val="center"/>
                    <w:textAlignment w:val="auto"/>
                    <w:rPr>
                      <w:rFonts w:hint="default" w:ascii="Times New Roman" w:hAnsi="Times New Roman" w:cs="Times New Roman"/>
                      <w:color w:val="auto"/>
                      <w:kern w:val="2"/>
                      <w:szCs w:val="21"/>
                    </w:rPr>
                  </w:pPr>
                </w:p>
              </w:tc>
              <w:tc>
                <w:tcPr>
                  <w:tcW w:w="727" w:type="pct"/>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供水系统</w:t>
                  </w:r>
                </w:p>
              </w:tc>
              <w:tc>
                <w:tcPr>
                  <w:tcW w:w="3280" w:type="pct"/>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由</w:t>
                  </w:r>
                  <w:r>
                    <w:rPr>
                      <w:rFonts w:hint="default" w:ascii="Times New Roman" w:hAnsi="Times New Roman" w:cs="Times New Roman"/>
                      <w:color w:val="auto"/>
                    </w:rPr>
                    <w:t>垃圾填埋场厂区深井提供</w:t>
                  </w:r>
                </w:p>
              </w:tc>
              <w:tc>
                <w:tcPr>
                  <w:tcW w:w="597" w:type="pct"/>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395" w:type="pct"/>
                  <w:vMerge w:val="continue"/>
                  <w:vAlign w:val="center"/>
                </w:tcPr>
                <w:p>
                  <w:pPr>
                    <w:snapToGrid w:val="0"/>
                    <w:spacing w:line="240" w:lineRule="auto"/>
                    <w:jc w:val="center"/>
                    <w:textAlignment w:val="auto"/>
                    <w:rPr>
                      <w:rFonts w:hint="default" w:ascii="Times New Roman" w:hAnsi="Times New Roman" w:cs="Times New Roman"/>
                      <w:color w:val="auto"/>
                      <w:kern w:val="2"/>
                      <w:szCs w:val="21"/>
                    </w:rPr>
                  </w:pPr>
                </w:p>
              </w:tc>
              <w:tc>
                <w:tcPr>
                  <w:tcW w:w="727" w:type="pct"/>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排水系统</w:t>
                  </w:r>
                </w:p>
              </w:tc>
              <w:tc>
                <w:tcPr>
                  <w:tcW w:w="3280" w:type="pct"/>
                  <w:vAlign w:val="center"/>
                </w:tcPr>
                <w:p>
                  <w:pPr>
                    <w:snapToGrid w:val="0"/>
                    <w:spacing w:line="240" w:lineRule="auto"/>
                    <w:jc w:val="center"/>
                    <w:textAlignment w:val="auto"/>
                    <w:rPr>
                      <w:rFonts w:hint="eastAsia" w:ascii="Times New Roman" w:hAnsi="Times New Roman" w:eastAsia="宋体" w:cs="Times New Roman"/>
                      <w:color w:val="auto"/>
                      <w:kern w:val="2"/>
                      <w:szCs w:val="21"/>
                      <w:lang w:eastAsia="zh-CN"/>
                    </w:rPr>
                  </w:pPr>
                  <w:r>
                    <w:rPr>
                      <w:rFonts w:hint="default" w:ascii="Times New Roman" w:hAnsi="Times New Roman" w:cs="Times New Roman"/>
                      <w:color w:val="auto"/>
                      <w:kern w:val="2"/>
                      <w:szCs w:val="21"/>
                    </w:rPr>
                    <w:t>生活污水、生产废水经渗滤液处理站处理后，运至</w:t>
                  </w:r>
                  <w:r>
                    <w:rPr>
                      <w:rFonts w:hint="eastAsia" w:cs="Times New Roman"/>
                      <w:color w:val="auto"/>
                      <w:kern w:val="2"/>
                      <w:szCs w:val="21"/>
                      <w:lang w:eastAsia="zh-CN"/>
                    </w:rPr>
                    <w:t>同江市洁源污水处理厂</w:t>
                  </w:r>
                </w:p>
              </w:tc>
              <w:tc>
                <w:tcPr>
                  <w:tcW w:w="597" w:type="pct"/>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szCs w:val="21"/>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395" w:type="pct"/>
                  <w:vMerge w:val="continue"/>
                  <w:vAlign w:val="center"/>
                </w:tcPr>
                <w:p>
                  <w:pPr>
                    <w:snapToGrid w:val="0"/>
                    <w:spacing w:line="240" w:lineRule="auto"/>
                    <w:jc w:val="center"/>
                    <w:textAlignment w:val="auto"/>
                    <w:rPr>
                      <w:rFonts w:hint="default" w:ascii="Times New Roman" w:hAnsi="Times New Roman" w:cs="Times New Roman"/>
                      <w:color w:val="auto"/>
                      <w:kern w:val="2"/>
                      <w:szCs w:val="21"/>
                    </w:rPr>
                  </w:pPr>
                </w:p>
              </w:tc>
              <w:tc>
                <w:tcPr>
                  <w:tcW w:w="727" w:type="pct"/>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供暖系统</w:t>
                  </w:r>
                </w:p>
              </w:tc>
              <w:tc>
                <w:tcPr>
                  <w:tcW w:w="3280" w:type="pct"/>
                  <w:vAlign w:val="center"/>
                </w:tcPr>
                <w:p>
                  <w:pPr>
                    <w:adjustRightInd/>
                    <w:spacing w:line="240" w:lineRule="auto"/>
                    <w:jc w:val="center"/>
                    <w:textAlignment w:val="auto"/>
                    <w:rPr>
                      <w:rFonts w:hint="default" w:ascii="Times New Roman" w:hAnsi="Times New Roman" w:eastAsia="宋体" w:cs="Times New Roman"/>
                      <w:color w:val="auto"/>
                      <w:kern w:val="2"/>
                      <w:szCs w:val="21"/>
                      <w:lang w:eastAsia="zh-CN"/>
                    </w:rPr>
                  </w:pPr>
                  <w:r>
                    <w:rPr>
                      <w:rFonts w:hint="default" w:ascii="Times New Roman" w:hAnsi="Times New Roman" w:cs="Times New Roman"/>
                      <w:color w:val="auto"/>
                      <w:kern w:val="2"/>
                      <w:szCs w:val="21"/>
                      <w:lang w:val="en-US" w:eastAsia="zh-CN"/>
                    </w:rPr>
                    <w:t>电取暖</w:t>
                  </w:r>
                </w:p>
              </w:tc>
              <w:tc>
                <w:tcPr>
                  <w:tcW w:w="597" w:type="pc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85" w:hRule="atLeast"/>
                <w:jc w:val="center"/>
              </w:trPr>
              <w:tc>
                <w:tcPr>
                  <w:tcW w:w="395" w:type="pct"/>
                  <w:vMerge w:val="restart"/>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环保工程</w:t>
                  </w:r>
                </w:p>
              </w:tc>
              <w:tc>
                <w:tcPr>
                  <w:tcW w:w="727" w:type="pct"/>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废气</w:t>
                  </w:r>
                </w:p>
              </w:tc>
              <w:tc>
                <w:tcPr>
                  <w:tcW w:w="3280" w:type="pct"/>
                  <w:vAlign w:val="center"/>
                </w:tcPr>
                <w:p>
                  <w:pPr>
                    <w:widowControl/>
                    <w:snapToGrid w:val="0"/>
                    <w:rPr>
                      <w:rFonts w:hint="default" w:ascii="Times New Roman" w:hAnsi="Times New Roman" w:cs="Times New Roman"/>
                      <w:color w:val="auto"/>
                    </w:rPr>
                  </w:pPr>
                  <w:r>
                    <w:rPr>
                      <w:rFonts w:hint="default" w:ascii="Times New Roman" w:hAnsi="Times New Roman" w:cs="Times New Roman"/>
                      <w:color w:val="auto"/>
                    </w:rPr>
                    <w:t>厂区加强绿化，渗滤液处理车间产生的恶臭统一收集经高能光量子除臭装置处置后经15m高排气筒排放。</w:t>
                  </w:r>
                  <w:r>
                    <w:rPr>
                      <w:rFonts w:hint="default" w:ascii="Times New Roman" w:hAnsi="Times New Roman" w:cs="Times New Roman"/>
                      <w:color w:val="auto"/>
                      <w:kern w:val="2"/>
                      <w:szCs w:val="21"/>
                    </w:rPr>
                    <w:t>高能光量子除臭系统: Q=3000m3/h，N=1.5 Kw</w:t>
                  </w:r>
                  <w:r>
                    <w:rPr>
                      <w:rFonts w:hint="default" w:ascii="Times New Roman" w:hAnsi="Times New Roman" w:cs="Times New Roman"/>
                      <w:color w:val="auto"/>
                      <w:kern w:val="2"/>
                      <w:szCs w:val="21"/>
                      <w:lang w:eastAsia="zh-CN"/>
                    </w:rPr>
                    <w:t>，</w:t>
                  </w:r>
                  <w:r>
                    <w:rPr>
                      <w:rFonts w:hint="default" w:ascii="Times New Roman" w:hAnsi="Times New Roman" w:cs="Times New Roman"/>
                      <w:color w:val="auto"/>
                      <w:kern w:val="2"/>
                      <w:szCs w:val="21"/>
                    </w:rPr>
                    <w:t>1套；</w:t>
                  </w:r>
                </w:p>
              </w:tc>
              <w:tc>
                <w:tcPr>
                  <w:tcW w:w="597" w:type="pct"/>
                  <w:vAlign w:val="center"/>
                </w:tcPr>
                <w:p>
                  <w:pPr>
                    <w:pStyle w:val="117"/>
                    <w:jc w:val="center"/>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11" w:hRule="atLeast"/>
                <w:jc w:val="center"/>
              </w:trPr>
              <w:tc>
                <w:tcPr>
                  <w:tcW w:w="395" w:type="pct"/>
                  <w:vMerge w:val="continue"/>
                  <w:vAlign w:val="center"/>
                </w:tcPr>
                <w:p>
                  <w:pPr>
                    <w:snapToGrid w:val="0"/>
                    <w:spacing w:line="240" w:lineRule="auto"/>
                    <w:jc w:val="center"/>
                    <w:textAlignment w:val="auto"/>
                    <w:rPr>
                      <w:rFonts w:hint="default" w:ascii="Times New Roman" w:hAnsi="Times New Roman" w:cs="Times New Roman"/>
                      <w:color w:val="auto"/>
                      <w:kern w:val="2"/>
                      <w:szCs w:val="21"/>
                    </w:rPr>
                  </w:pPr>
                </w:p>
              </w:tc>
              <w:tc>
                <w:tcPr>
                  <w:tcW w:w="727" w:type="pct"/>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废水</w:t>
                  </w:r>
                </w:p>
              </w:tc>
              <w:tc>
                <w:tcPr>
                  <w:tcW w:w="3280" w:type="pct"/>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szCs w:val="22"/>
                    </w:rPr>
                    <w:t>生活污水、生产废水经厂区渗滤液处理车间处理达标运至同江市城市污水处理厂。</w:t>
                  </w:r>
                </w:p>
              </w:tc>
              <w:tc>
                <w:tcPr>
                  <w:tcW w:w="597" w:type="pct"/>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803" w:hRule="atLeast"/>
                <w:jc w:val="center"/>
              </w:trPr>
              <w:tc>
                <w:tcPr>
                  <w:tcW w:w="395" w:type="pct"/>
                  <w:vMerge w:val="continue"/>
                  <w:vAlign w:val="center"/>
                </w:tcPr>
                <w:p>
                  <w:pPr>
                    <w:snapToGrid w:val="0"/>
                    <w:spacing w:line="240" w:lineRule="auto"/>
                    <w:jc w:val="center"/>
                    <w:textAlignment w:val="auto"/>
                    <w:rPr>
                      <w:rFonts w:hint="default" w:ascii="Times New Roman" w:hAnsi="Times New Roman" w:cs="Times New Roman"/>
                      <w:color w:val="auto"/>
                      <w:kern w:val="2"/>
                      <w:szCs w:val="21"/>
                    </w:rPr>
                  </w:pPr>
                </w:p>
              </w:tc>
              <w:tc>
                <w:tcPr>
                  <w:tcW w:w="727" w:type="pct"/>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地下水</w:t>
                  </w:r>
                </w:p>
              </w:tc>
              <w:tc>
                <w:tcPr>
                  <w:tcW w:w="3280" w:type="pct"/>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重点防渗区域防渗措施采用防渗混凝土，防渗技术要求达到等效粘土防渗层 Mb≥6.0m，K≤1×10</w:t>
                  </w:r>
                  <w:r>
                    <w:rPr>
                      <w:rFonts w:hint="default" w:ascii="Times New Roman" w:hAnsi="Times New Roman" w:cs="Times New Roman"/>
                      <w:color w:val="auto"/>
                      <w:szCs w:val="21"/>
                      <w:vertAlign w:val="superscript"/>
                    </w:rPr>
                    <w:t>-7</w:t>
                  </w:r>
                  <w:r>
                    <w:rPr>
                      <w:rFonts w:hint="default" w:ascii="Times New Roman" w:hAnsi="Times New Roman" w:cs="Times New Roman"/>
                      <w:color w:val="auto"/>
                      <w:szCs w:val="21"/>
                    </w:rPr>
                    <w:t>cm/s。监测井利用垃圾填埋场原有。</w:t>
                  </w:r>
                </w:p>
              </w:tc>
              <w:tc>
                <w:tcPr>
                  <w:tcW w:w="597"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395" w:type="pct"/>
                  <w:vMerge w:val="continue"/>
                  <w:vAlign w:val="center"/>
                </w:tcPr>
                <w:p>
                  <w:pPr>
                    <w:adjustRightInd/>
                    <w:spacing w:line="240" w:lineRule="auto"/>
                    <w:jc w:val="center"/>
                    <w:textAlignment w:val="auto"/>
                    <w:rPr>
                      <w:rFonts w:hint="default" w:ascii="Times New Roman" w:hAnsi="Times New Roman" w:cs="Times New Roman"/>
                      <w:color w:val="auto"/>
                      <w:kern w:val="2"/>
                      <w:szCs w:val="21"/>
                    </w:rPr>
                  </w:pPr>
                </w:p>
              </w:tc>
              <w:tc>
                <w:tcPr>
                  <w:tcW w:w="727" w:type="pc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固废</w:t>
                  </w:r>
                </w:p>
              </w:tc>
              <w:tc>
                <w:tcPr>
                  <w:tcW w:w="3280" w:type="pct"/>
                  <w:vAlign w:val="center"/>
                </w:tcPr>
                <w:p>
                  <w:pPr>
                    <w:jc w:val="left"/>
                    <w:rPr>
                      <w:rFonts w:hint="default"/>
                      <w:color w:val="auto"/>
                      <w:lang w:val="en-US" w:eastAsia="zh-CN"/>
                    </w:rPr>
                  </w:pPr>
                  <w:r>
                    <w:rPr>
                      <w:rFonts w:hint="default"/>
                      <w:color w:val="auto"/>
                    </w:rPr>
                    <w:t>渗滤液采用DTRO工艺，产生的污泥量较小，产生少量的污泥进入垃圾填埋场填埋。</w:t>
                  </w:r>
                  <w:r>
                    <w:rPr>
                      <w:rFonts w:hint="eastAsia"/>
                      <w:color w:val="auto"/>
                      <w:lang w:val="en-US" w:eastAsia="zh-CN"/>
                    </w:rPr>
                    <w:t>生活垃圾进入垃圾填埋场填埋。废膜交由厂家回收处置，废机油</w:t>
                  </w:r>
                  <w:r>
                    <w:rPr>
                      <w:rFonts w:hint="eastAsia"/>
                      <w:color w:val="auto"/>
                      <w:szCs w:val="22"/>
                      <w:lang w:val="en-US" w:eastAsia="zh-CN"/>
                    </w:rPr>
                    <w:t>、废离子交换树脂暂存依托</w:t>
                  </w:r>
                  <w:r>
                    <w:rPr>
                      <w:rFonts w:hint="default"/>
                      <w:color w:val="auto"/>
                      <w:szCs w:val="22"/>
                      <w:lang w:val="en-US" w:eastAsia="zh-CN"/>
                    </w:rPr>
                    <w:t>医疗废物集中处置中心</w:t>
                  </w:r>
                  <w:r>
                    <w:rPr>
                      <w:rFonts w:hint="eastAsia"/>
                      <w:color w:val="auto"/>
                      <w:szCs w:val="22"/>
                      <w:lang w:val="en-US" w:eastAsia="zh-CN"/>
                    </w:rPr>
                    <w:t>的危险废物暂存间（已通过验收）。</w:t>
                  </w:r>
                </w:p>
              </w:tc>
              <w:tc>
                <w:tcPr>
                  <w:tcW w:w="597"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16" w:hRule="atLeast"/>
                <w:jc w:val="center"/>
              </w:trPr>
              <w:tc>
                <w:tcPr>
                  <w:tcW w:w="395" w:type="pct"/>
                  <w:vMerge w:val="continue"/>
                  <w:vAlign w:val="center"/>
                </w:tcPr>
                <w:p>
                  <w:pPr>
                    <w:adjustRightInd/>
                    <w:spacing w:line="240" w:lineRule="auto"/>
                    <w:jc w:val="center"/>
                    <w:textAlignment w:val="auto"/>
                    <w:rPr>
                      <w:rFonts w:hint="default" w:ascii="Times New Roman" w:hAnsi="Times New Roman" w:cs="Times New Roman"/>
                      <w:color w:val="auto"/>
                      <w:kern w:val="2"/>
                      <w:szCs w:val="21"/>
                    </w:rPr>
                  </w:pPr>
                </w:p>
              </w:tc>
              <w:tc>
                <w:tcPr>
                  <w:tcW w:w="727" w:type="pc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噪声</w:t>
                  </w:r>
                </w:p>
              </w:tc>
              <w:tc>
                <w:tcPr>
                  <w:tcW w:w="3280" w:type="pct"/>
                  <w:vAlign w:val="center"/>
                </w:tcPr>
                <w:p>
                  <w:pPr>
                    <w:adjustRightInd/>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选用低噪声设备、基础减振、绿化降噪</w:t>
                  </w:r>
                </w:p>
              </w:tc>
              <w:tc>
                <w:tcPr>
                  <w:tcW w:w="597" w:type="pct"/>
                  <w:vAlign w:val="center"/>
                </w:tcPr>
                <w:p>
                  <w:pPr>
                    <w:adjustRightInd/>
                    <w:spacing w:line="240" w:lineRule="auto"/>
                    <w:jc w:val="center"/>
                    <w:textAlignment w:val="auto"/>
                    <w:rPr>
                      <w:rFonts w:hint="default" w:ascii="Times New Roman" w:hAnsi="Times New Roman" w:cs="Times New Roman"/>
                      <w:color w:val="auto"/>
                      <w:kern w:val="2"/>
                      <w:szCs w:val="21"/>
                    </w:rPr>
                  </w:pPr>
                </w:p>
              </w:tc>
            </w:tr>
          </w:tbl>
          <w:p>
            <w:pPr>
              <w:snapToGrid w:val="0"/>
              <w:spacing w:line="360" w:lineRule="auto"/>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4、进出水水质水量</w:t>
            </w:r>
          </w:p>
          <w:p>
            <w:pPr>
              <w:pStyle w:val="41"/>
              <w:spacing w:line="360" w:lineRule="auto"/>
              <w:rPr>
                <w:rFonts w:hint="default" w:ascii="Times New Roman" w:hAnsi="Times New Roman" w:cs="Times New Roman"/>
                <w:b/>
                <w:color w:val="auto"/>
              </w:rPr>
            </w:pPr>
            <w:r>
              <w:rPr>
                <w:rFonts w:hint="default" w:ascii="Times New Roman" w:hAnsi="Times New Roman" w:cs="Times New Roman"/>
                <w:b/>
                <w:color w:val="auto"/>
              </w:rPr>
              <w:t>4.1、进出水质</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本次设计参照实测资料，确定垃圾渗滤液处理站的设计进水水质如下表：</w:t>
            </w:r>
          </w:p>
          <w:p>
            <w:pPr>
              <w:spacing w:line="360" w:lineRule="auto"/>
              <w:ind w:firstLine="482" w:firstLineChars="20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表1-</w:t>
            </w:r>
            <w:r>
              <w:rPr>
                <w:rFonts w:hint="eastAsia" w:cs="Times New Roman"/>
                <w:b/>
                <w:bCs/>
                <w:color w:val="auto"/>
                <w:sz w:val="24"/>
                <w:szCs w:val="24"/>
                <w:lang w:val="en-US" w:eastAsia="zh-CN"/>
              </w:rPr>
              <w:t>6</w:t>
            </w:r>
            <w:r>
              <w:rPr>
                <w:rFonts w:hint="default" w:ascii="Times New Roman" w:hAnsi="Times New Roman" w:cs="Times New Roman"/>
                <w:b/>
                <w:bCs/>
                <w:color w:val="auto"/>
                <w:sz w:val="24"/>
                <w:szCs w:val="24"/>
              </w:rPr>
              <w:t>渗滤液处理站改造设计进水水质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1404"/>
              <w:gridCol w:w="1416"/>
              <w:gridCol w:w="1513"/>
              <w:gridCol w:w="1163"/>
              <w:gridCol w:w="1259"/>
              <w:gridCol w:w="7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74" w:type="pct"/>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项目</w:t>
                  </w:r>
                </w:p>
              </w:tc>
              <w:tc>
                <w:tcPr>
                  <w:tcW w:w="804" w:type="pct"/>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CODcr</w:t>
                  </w:r>
                  <w:r>
                    <w:rPr>
                      <w:rFonts w:hint="default" w:ascii="Times New Roman" w:hAnsi="Times New Roman" w:cs="Times New Roman"/>
                      <w:b/>
                      <w:bCs/>
                      <w:color w:val="auto"/>
                      <w:szCs w:val="21"/>
                    </w:rPr>
                    <w:br w:type="textWrapping"/>
                  </w:r>
                  <w:r>
                    <w:rPr>
                      <w:rFonts w:hint="default" w:ascii="Times New Roman" w:hAnsi="Times New Roman" w:cs="Times New Roman"/>
                      <w:b/>
                      <w:bCs/>
                      <w:color w:val="auto"/>
                      <w:szCs w:val="21"/>
                    </w:rPr>
                    <w:t>(mg/L)</w:t>
                  </w:r>
                </w:p>
              </w:tc>
              <w:tc>
                <w:tcPr>
                  <w:tcW w:w="811" w:type="pct"/>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BOD</w:t>
                  </w:r>
                  <w:r>
                    <w:rPr>
                      <w:rFonts w:hint="default" w:ascii="Times New Roman" w:hAnsi="Times New Roman" w:cs="Times New Roman"/>
                      <w:b/>
                      <w:bCs/>
                      <w:color w:val="auto"/>
                      <w:szCs w:val="21"/>
                      <w:vertAlign w:val="subscript"/>
                    </w:rPr>
                    <w:t>5</w:t>
                  </w:r>
                  <w:r>
                    <w:rPr>
                      <w:rFonts w:hint="default" w:ascii="Times New Roman" w:hAnsi="Times New Roman" w:cs="Times New Roman"/>
                      <w:b/>
                      <w:bCs/>
                      <w:color w:val="auto"/>
                      <w:szCs w:val="21"/>
                    </w:rPr>
                    <w:br w:type="textWrapping"/>
                  </w:r>
                  <w:r>
                    <w:rPr>
                      <w:rFonts w:hint="default" w:ascii="Times New Roman" w:hAnsi="Times New Roman" w:cs="Times New Roman"/>
                      <w:b/>
                      <w:bCs/>
                      <w:color w:val="auto"/>
                      <w:szCs w:val="21"/>
                    </w:rPr>
                    <w:t>(mg/L)</w:t>
                  </w:r>
                </w:p>
              </w:tc>
              <w:tc>
                <w:tcPr>
                  <w:tcW w:w="866" w:type="pct"/>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NH</w:t>
                  </w:r>
                  <w:r>
                    <w:rPr>
                      <w:rFonts w:hint="default" w:ascii="Times New Roman" w:hAnsi="Times New Roman" w:cs="Times New Roman"/>
                      <w:b/>
                      <w:bCs/>
                      <w:color w:val="auto"/>
                      <w:szCs w:val="21"/>
                      <w:vertAlign w:val="subscript"/>
                    </w:rPr>
                    <w:t>3</w:t>
                  </w:r>
                  <w:r>
                    <w:rPr>
                      <w:rFonts w:hint="default" w:ascii="Times New Roman" w:hAnsi="Times New Roman" w:cs="Times New Roman"/>
                      <w:b/>
                      <w:bCs/>
                      <w:color w:val="auto"/>
                      <w:szCs w:val="21"/>
                    </w:rPr>
                    <w:t>-N</w:t>
                  </w:r>
                  <w:r>
                    <w:rPr>
                      <w:rFonts w:hint="default" w:ascii="Times New Roman" w:hAnsi="Times New Roman" w:cs="Times New Roman"/>
                      <w:b/>
                      <w:bCs/>
                      <w:color w:val="auto"/>
                      <w:szCs w:val="21"/>
                    </w:rPr>
                    <w:br w:type="textWrapping"/>
                  </w:r>
                  <w:r>
                    <w:rPr>
                      <w:rFonts w:hint="default" w:ascii="Times New Roman" w:hAnsi="Times New Roman" w:cs="Times New Roman"/>
                      <w:b/>
                      <w:bCs/>
                      <w:color w:val="auto"/>
                      <w:szCs w:val="21"/>
                    </w:rPr>
                    <w:t>(mg/L)</w:t>
                  </w:r>
                </w:p>
              </w:tc>
              <w:tc>
                <w:tcPr>
                  <w:tcW w:w="666" w:type="pct"/>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TN</w:t>
                  </w:r>
                  <w:r>
                    <w:rPr>
                      <w:rFonts w:hint="default" w:ascii="Times New Roman" w:hAnsi="Times New Roman" w:cs="Times New Roman"/>
                      <w:b/>
                      <w:bCs/>
                      <w:color w:val="auto"/>
                      <w:szCs w:val="21"/>
                    </w:rPr>
                    <w:br w:type="textWrapping"/>
                  </w:r>
                  <w:r>
                    <w:rPr>
                      <w:rFonts w:hint="default" w:ascii="Times New Roman" w:hAnsi="Times New Roman" w:cs="Times New Roman"/>
                      <w:b/>
                      <w:bCs/>
                      <w:color w:val="auto"/>
                      <w:szCs w:val="21"/>
                    </w:rPr>
                    <w:t>(mg/L)</w:t>
                  </w:r>
                </w:p>
              </w:tc>
              <w:tc>
                <w:tcPr>
                  <w:tcW w:w="721" w:type="pct"/>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SS</w:t>
                  </w:r>
                  <w:r>
                    <w:rPr>
                      <w:rFonts w:hint="default" w:ascii="Times New Roman" w:hAnsi="Times New Roman" w:cs="Times New Roman"/>
                      <w:b/>
                      <w:bCs/>
                      <w:color w:val="auto"/>
                      <w:szCs w:val="21"/>
                    </w:rPr>
                    <w:br w:type="textWrapping"/>
                  </w:r>
                  <w:r>
                    <w:rPr>
                      <w:rFonts w:hint="default" w:ascii="Times New Roman" w:hAnsi="Times New Roman" w:cs="Times New Roman"/>
                      <w:b/>
                      <w:bCs/>
                      <w:color w:val="auto"/>
                      <w:szCs w:val="21"/>
                    </w:rPr>
                    <w:t>(mg/L)</w:t>
                  </w:r>
                </w:p>
              </w:tc>
              <w:tc>
                <w:tcPr>
                  <w:tcW w:w="454" w:type="pct"/>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pH值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674" w:type="pct"/>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进水</w:t>
                  </w:r>
                </w:p>
              </w:tc>
              <w:tc>
                <w:tcPr>
                  <w:tcW w:w="804" w:type="pct"/>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≤20000</w:t>
                  </w:r>
                </w:p>
              </w:tc>
              <w:tc>
                <w:tcPr>
                  <w:tcW w:w="811" w:type="pct"/>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≤12000</w:t>
                  </w:r>
                </w:p>
              </w:tc>
              <w:tc>
                <w:tcPr>
                  <w:tcW w:w="866" w:type="pct"/>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≤1500</w:t>
                  </w:r>
                </w:p>
              </w:tc>
              <w:tc>
                <w:tcPr>
                  <w:tcW w:w="666" w:type="pct"/>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≤2000</w:t>
                  </w:r>
                </w:p>
              </w:tc>
              <w:tc>
                <w:tcPr>
                  <w:tcW w:w="721" w:type="pct"/>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≤500</w:t>
                  </w:r>
                </w:p>
              </w:tc>
              <w:tc>
                <w:tcPr>
                  <w:tcW w:w="454" w:type="pct"/>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6-9</w:t>
                  </w:r>
                </w:p>
              </w:tc>
            </w:tr>
          </w:tbl>
          <w:p>
            <w:pPr>
              <w:pStyle w:val="41"/>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根据建设单位提供资料，本工程原设计渗滤液经处理后排至场区清水池，最终由罐车运至</w:t>
            </w:r>
            <w:r>
              <w:rPr>
                <w:rFonts w:hint="eastAsia" w:ascii="Times New Roman" w:cs="Times New Roman"/>
                <w:color w:val="auto"/>
                <w:lang w:eastAsia="zh-CN"/>
              </w:rPr>
              <w:t>同江市洁源污水处理厂</w:t>
            </w:r>
            <w:r>
              <w:rPr>
                <w:rFonts w:hint="default" w:ascii="Times New Roman" w:hAnsi="Times New Roman" w:cs="Times New Roman"/>
                <w:color w:val="auto"/>
              </w:rPr>
              <w:t>进行处理。渗滤液处理站原设计出水水质达到《生活垃圾填埋场污染控制标准》（GB 16889-2008)中表2的规定的排放浓度限制。本次设计渗滤液处理站出水水质仍采用《生活垃圾填埋场污染控制标准》（GB 16889-2008)中表2的规定的排放浓度限制。渗滤液处理站设计出水水质主要要求如下表：</w:t>
            </w:r>
          </w:p>
          <w:p>
            <w:pPr>
              <w:ind w:firstLine="482" w:firstLineChars="20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eastAsia"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w:t>
            </w:r>
            <w:r>
              <w:rPr>
                <w:rFonts w:hint="eastAsia" w:cs="Times New Roman"/>
                <w:b/>
                <w:bCs/>
                <w:color w:val="auto"/>
                <w:sz w:val="24"/>
                <w:szCs w:val="24"/>
                <w:lang w:val="en-US" w:eastAsia="zh-CN"/>
              </w:rPr>
              <w:t>7</w:t>
            </w:r>
            <w:r>
              <w:rPr>
                <w:rFonts w:hint="default" w:ascii="Times New Roman" w:hAnsi="Times New Roman" w:cs="Times New Roman"/>
                <w:b/>
                <w:bCs/>
                <w:color w:val="auto"/>
                <w:sz w:val="24"/>
                <w:szCs w:val="24"/>
              </w:rPr>
              <w:t>渗滤液处理站原设计出水水质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32"/>
              <w:gridCol w:w="1205"/>
              <w:gridCol w:w="1205"/>
              <w:gridCol w:w="1108"/>
              <w:gridCol w:w="1095"/>
              <w:gridCol w:w="1095"/>
              <w:gridCol w:w="10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06" w:type="pct"/>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项目</w:t>
                  </w:r>
                </w:p>
              </w:tc>
              <w:tc>
                <w:tcPr>
                  <w:tcW w:w="690" w:type="pct"/>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CODcr</w:t>
                  </w:r>
                  <w:r>
                    <w:rPr>
                      <w:rFonts w:hint="default" w:ascii="Times New Roman" w:hAnsi="Times New Roman" w:cs="Times New Roman"/>
                      <w:b/>
                      <w:bCs/>
                      <w:color w:val="auto"/>
                      <w:szCs w:val="21"/>
                    </w:rPr>
                    <w:br w:type="textWrapping"/>
                  </w:r>
                  <w:r>
                    <w:rPr>
                      <w:rFonts w:hint="default" w:ascii="Times New Roman" w:hAnsi="Times New Roman" w:cs="Times New Roman"/>
                      <w:b/>
                      <w:bCs/>
                      <w:color w:val="auto"/>
                      <w:szCs w:val="21"/>
                    </w:rPr>
                    <w:t>(mg/L)</w:t>
                  </w:r>
                </w:p>
              </w:tc>
              <w:tc>
                <w:tcPr>
                  <w:tcW w:w="690" w:type="pct"/>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BOD</w:t>
                  </w:r>
                  <w:r>
                    <w:rPr>
                      <w:rFonts w:hint="default" w:ascii="Times New Roman" w:hAnsi="Times New Roman" w:cs="Times New Roman"/>
                      <w:b/>
                      <w:bCs/>
                      <w:color w:val="auto"/>
                      <w:szCs w:val="21"/>
                      <w:vertAlign w:val="subscript"/>
                    </w:rPr>
                    <w:t>5</w:t>
                  </w:r>
                  <w:r>
                    <w:rPr>
                      <w:rFonts w:hint="default" w:ascii="Times New Roman" w:hAnsi="Times New Roman" w:cs="Times New Roman"/>
                      <w:b/>
                      <w:bCs/>
                      <w:color w:val="auto"/>
                      <w:szCs w:val="21"/>
                    </w:rPr>
                    <w:br w:type="textWrapping"/>
                  </w:r>
                  <w:r>
                    <w:rPr>
                      <w:rFonts w:hint="default" w:ascii="Times New Roman" w:hAnsi="Times New Roman" w:cs="Times New Roman"/>
                      <w:b/>
                      <w:bCs/>
                      <w:color w:val="auto"/>
                      <w:szCs w:val="21"/>
                    </w:rPr>
                    <w:t>(mg/L)</w:t>
                  </w:r>
                </w:p>
              </w:tc>
              <w:tc>
                <w:tcPr>
                  <w:tcW w:w="634" w:type="pct"/>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NH</w:t>
                  </w:r>
                  <w:r>
                    <w:rPr>
                      <w:rFonts w:hint="default" w:ascii="Times New Roman" w:hAnsi="Times New Roman" w:cs="Times New Roman"/>
                      <w:b/>
                      <w:bCs/>
                      <w:color w:val="auto"/>
                      <w:szCs w:val="21"/>
                      <w:vertAlign w:val="subscript"/>
                    </w:rPr>
                    <w:t>3</w:t>
                  </w:r>
                  <w:r>
                    <w:rPr>
                      <w:rFonts w:hint="default" w:ascii="Times New Roman" w:hAnsi="Times New Roman" w:cs="Times New Roman"/>
                      <w:b/>
                      <w:bCs/>
                      <w:color w:val="auto"/>
                      <w:szCs w:val="21"/>
                    </w:rPr>
                    <w:t>-N</w:t>
                  </w:r>
                  <w:r>
                    <w:rPr>
                      <w:rFonts w:hint="default" w:ascii="Times New Roman" w:hAnsi="Times New Roman" w:cs="Times New Roman"/>
                      <w:b/>
                      <w:bCs/>
                      <w:color w:val="auto"/>
                      <w:szCs w:val="21"/>
                    </w:rPr>
                    <w:br w:type="textWrapping"/>
                  </w:r>
                  <w:r>
                    <w:rPr>
                      <w:rFonts w:hint="default" w:ascii="Times New Roman" w:hAnsi="Times New Roman" w:cs="Times New Roman"/>
                      <w:b/>
                      <w:bCs/>
                      <w:color w:val="auto"/>
                      <w:szCs w:val="21"/>
                    </w:rPr>
                    <w:t>(mg/L)</w:t>
                  </w:r>
                </w:p>
              </w:tc>
              <w:tc>
                <w:tcPr>
                  <w:tcW w:w="627" w:type="pct"/>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TN</w:t>
                  </w:r>
                  <w:r>
                    <w:rPr>
                      <w:rFonts w:hint="default" w:ascii="Times New Roman" w:hAnsi="Times New Roman" w:cs="Times New Roman"/>
                      <w:b/>
                      <w:bCs/>
                      <w:color w:val="auto"/>
                      <w:szCs w:val="21"/>
                    </w:rPr>
                    <w:br w:type="textWrapping"/>
                  </w:r>
                  <w:r>
                    <w:rPr>
                      <w:rFonts w:hint="default" w:ascii="Times New Roman" w:hAnsi="Times New Roman" w:cs="Times New Roman"/>
                      <w:b/>
                      <w:bCs/>
                      <w:color w:val="auto"/>
                      <w:szCs w:val="21"/>
                    </w:rPr>
                    <w:t>(mg/L)</w:t>
                  </w:r>
                </w:p>
              </w:tc>
              <w:tc>
                <w:tcPr>
                  <w:tcW w:w="627" w:type="pct"/>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SS</w:t>
                  </w:r>
                  <w:r>
                    <w:rPr>
                      <w:rFonts w:hint="default" w:ascii="Times New Roman" w:hAnsi="Times New Roman" w:cs="Times New Roman"/>
                      <w:b/>
                      <w:bCs/>
                      <w:color w:val="auto"/>
                      <w:szCs w:val="21"/>
                    </w:rPr>
                    <w:br w:type="textWrapping"/>
                  </w:r>
                  <w:r>
                    <w:rPr>
                      <w:rFonts w:hint="default" w:ascii="Times New Roman" w:hAnsi="Times New Roman" w:cs="Times New Roman"/>
                      <w:b/>
                      <w:bCs/>
                      <w:color w:val="auto"/>
                      <w:szCs w:val="21"/>
                    </w:rPr>
                    <w:t>(mg/L)</w:t>
                  </w:r>
                </w:p>
              </w:tc>
              <w:tc>
                <w:tcPr>
                  <w:tcW w:w="622" w:type="pct"/>
                  <w:noWrap/>
                  <w:vAlign w:val="center"/>
                </w:tcPr>
                <w:p>
                  <w:pPr>
                    <w:widowControl/>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pH值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106" w:type="pct"/>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进水</w:t>
                  </w:r>
                </w:p>
              </w:tc>
              <w:tc>
                <w:tcPr>
                  <w:tcW w:w="690" w:type="pct"/>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690" w:type="pct"/>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634" w:type="pct"/>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627" w:type="pct"/>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627" w:type="pct"/>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622" w:type="pct"/>
                  <w:noWrap/>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6-9</w:t>
                  </w:r>
                </w:p>
              </w:tc>
            </w:tr>
          </w:tbl>
          <w:p>
            <w:pPr>
              <w:pStyle w:val="41"/>
              <w:spacing w:line="360" w:lineRule="auto"/>
              <w:rPr>
                <w:rFonts w:hint="default" w:ascii="Times New Roman" w:hAnsi="Times New Roman" w:cs="Times New Roman"/>
                <w:b/>
                <w:color w:val="auto"/>
              </w:rPr>
            </w:pPr>
            <w:r>
              <w:rPr>
                <w:rFonts w:hint="default" w:ascii="Times New Roman" w:hAnsi="Times New Roman" w:cs="Times New Roman"/>
                <w:b/>
                <w:color w:val="auto"/>
              </w:rPr>
              <w:t>4.2、设计规模</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Style w:val="137"/>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sz w:val="24"/>
                <w:szCs w:val="24"/>
                <w:lang w:val="en-US" w:eastAsia="zh-CN"/>
              </w:rPr>
              <w:t xml:space="preserve"> </w:t>
            </w:r>
            <w:r>
              <w:rPr>
                <w:rStyle w:val="137"/>
                <w:rFonts w:hint="default" w:ascii="Times New Roman" w:hAnsi="Times New Roman" w:cs="Times New Roman"/>
                <w:color w:val="auto"/>
                <w:kern w:val="2"/>
                <w:sz w:val="24"/>
                <w:szCs w:val="24"/>
                <w:lang w:val="en-US" w:eastAsia="zh-CN" w:bidi="ar-SA"/>
              </w:rPr>
              <w:t>同江市垃圾处理场</w:t>
            </w:r>
            <w:r>
              <w:rPr>
                <w:rStyle w:val="137"/>
                <w:rFonts w:hint="default" w:ascii="Times New Roman" w:hAnsi="Times New Roman" w:eastAsia="宋体" w:cs="Times New Roman"/>
                <w:color w:val="auto"/>
                <w:kern w:val="2"/>
                <w:sz w:val="24"/>
                <w:szCs w:val="24"/>
                <w:lang w:val="en-US" w:eastAsia="zh-CN" w:bidi="ar-SA"/>
              </w:rPr>
              <w:t>渗沥液主要包括两部分：一是</w:t>
            </w:r>
            <w:r>
              <w:rPr>
                <w:rStyle w:val="137"/>
                <w:rFonts w:hint="default" w:ascii="Times New Roman" w:hAnsi="Times New Roman" w:eastAsia="宋体" w:cs="Times New Roman"/>
                <w:color w:val="auto"/>
                <w:kern w:val="0"/>
                <w:sz w:val="24"/>
                <w:szCs w:val="24"/>
                <w:lang w:val="en-US" w:eastAsia="zh-CN"/>
              </w:rPr>
              <w:t>场地内现存渗沥液，二是</w:t>
            </w:r>
            <w:r>
              <w:rPr>
                <w:rStyle w:val="137"/>
                <w:rFonts w:hint="default" w:ascii="Times New Roman" w:hAnsi="Times New Roman" w:cs="Times New Roman"/>
                <w:color w:val="auto"/>
                <w:kern w:val="0"/>
                <w:sz w:val="24"/>
                <w:szCs w:val="24"/>
                <w:lang w:val="en-US" w:eastAsia="zh-CN"/>
              </w:rPr>
              <w:t>每天</w:t>
            </w:r>
            <w:r>
              <w:rPr>
                <w:rStyle w:val="137"/>
                <w:rFonts w:hint="default" w:ascii="Times New Roman" w:hAnsi="Times New Roman" w:eastAsia="宋体" w:cs="Times New Roman"/>
                <w:color w:val="auto"/>
                <w:kern w:val="0"/>
                <w:sz w:val="24"/>
                <w:szCs w:val="24"/>
                <w:lang w:val="en-US" w:eastAsia="zh-CN"/>
              </w:rPr>
              <w:t>产生的新增渗沥液。</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firstLine="480" w:firstLineChars="200"/>
              <w:jc w:val="both"/>
              <w:textAlignment w:val="auto"/>
              <w:rPr>
                <w:rStyle w:val="137"/>
                <w:rFonts w:hint="default" w:ascii="Times New Roman" w:hAnsi="Times New Roman" w:eastAsia="宋体" w:cs="Times New Roman"/>
                <w:color w:val="auto"/>
                <w:kern w:val="0"/>
                <w:sz w:val="24"/>
                <w:szCs w:val="24"/>
                <w:lang w:val="en-US" w:eastAsia="zh-CN"/>
              </w:rPr>
            </w:pPr>
            <w:r>
              <w:rPr>
                <w:rStyle w:val="137"/>
                <w:rFonts w:hint="default" w:ascii="Times New Roman" w:hAnsi="Times New Roman" w:eastAsia="宋体" w:cs="Times New Roman"/>
                <w:color w:val="auto"/>
                <w:kern w:val="0"/>
                <w:sz w:val="24"/>
                <w:szCs w:val="24"/>
                <w:lang w:val="en-US" w:eastAsia="zh-CN"/>
              </w:rPr>
              <w:t>现存渗沥液（存量）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根据《生活垃圾卫生填埋场岩土工程技术规范》（CJJ 176-2012），垃圾渗沥液的日均产量一般包括降雨入渗量和垃圾本身降解或压缩产生渗沥液量两大部分。降雨入渗量可参照《生活垃圾卫生填埋处理技术规范》（GB 50869-2013）渗出系数法进行计算。垃圾本身降解或压缩产生渗沥液量取决于垃圾的含水率与填埋场降解或压缩后的田间持水量之间的差异。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渗沥液产量按照以下公式进行计算：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color w:val="auto"/>
                <w:sz w:val="24"/>
                <w:szCs w:val="24"/>
              </w:rPr>
            </w:pPr>
            <w:r>
              <w:rPr>
                <w:rFonts w:hint="eastAsia"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Q= I·（C</w:t>
            </w:r>
            <w:r>
              <w:rPr>
                <w:rFonts w:hint="default" w:ascii="Times New Roman" w:hAnsi="Times New Roman" w:eastAsia="宋体" w:cs="Times New Roman"/>
                <w:color w:val="auto"/>
                <w:sz w:val="24"/>
                <w:szCs w:val="24"/>
                <w:vertAlign w:val="subscript"/>
              </w:rPr>
              <w:t>1</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vertAlign w:val="subscript"/>
              </w:rPr>
              <w:t>1</w:t>
            </w:r>
            <w:r>
              <w:rPr>
                <w:rFonts w:hint="default" w:ascii="Times New Roman" w:hAnsi="Times New Roman" w:eastAsia="宋体" w:cs="Times New Roman"/>
                <w:color w:val="auto"/>
                <w:sz w:val="24"/>
                <w:szCs w:val="24"/>
              </w:rPr>
              <w:t>+ C</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 C</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 C</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1000</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bscript"/>
                <w:lang w:val="en-US" w:eastAsia="zh-CN"/>
              </w:rPr>
              <w:t>d</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（W</w:t>
            </w:r>
            <w:r>
              <w:rPr>
                <w:rFonts w:hint="default" w:ascii="Times New Roman" w:hAnsi="Times New Roman" w:eastAsia="宋体" w:cs="Times New Roman"/>
                <w:color w:val="auto"/>
                <w:sz w:val="24"/>
                <w:szCs w:val="24"/>
                <w:vertAlign w:val="subscript"/>
                <w:lang w:val="en-US" w:eastAsia="zh-CN"/>
              </w:rPr>
              <w:t>c</w:t>
            </w:r>
            <w:r>
              <w:rPr>
                <w:rFonts w:hint="default" w:ascii="Times New Roman" w:hAnsi="Times New Roman" w:eastAsia="宋体" w:cs="Times New Roman"/>
                <w:color w:val="auto"/>
                <w:sz w:val="24"/>
                <w:szCs w:val="24"/>
                <w:lang w:val="en-US" w:eastAsia="zh-CN"/>
              </w:rPr>
              <w:t>-F</w:t>
            </w:r>
            <w:r>
              <w:rPr>
                <w:rFonts w:hint="default" w:ascii="Times New Roman" w:hAnsi="Times New Roman" w:eastAsia="宋体" w:cs="Times New Roman"/>
                <w:color w:val="auto"/>
                <w:sz w:val="24"/>
                <w:szCs w:val="24"/>
                <w:vertAlign w:val="subscript"/>
                <w:lang w:val="en-US" w:eastAsia="zh-CN"/>
              </w:rPr>
              <w:t>c</w:t>
            </w:r>
            <w:r>
              <w:rPr>
                <w:rFonts w:hint="default" w:ascii="Times New Roman" w:hAnsi="Times New Roman" w:eastAsia="宋体" w:cs="Times New Roman"/>
                <w:color w:val="auto"/>
                <w:sz w:val="24"/>
                <w:szCs w:val="24"/>
                <w:lang w:val="en-US" w:eastAsia="zh-CN"/>
              </w:rPr>
              <w:t>）/ρ</w:t>
            </w:r>
            <w:r>
              <w:rPr>
                <w:rFonts w:hint="eastAsia" w:ascii="Times New Roman" w:hAnsi="Times New Roman" w:eastAsia="宋体" w:cs="Times New Roman"/>
                <w:color w:val="auto"/>
                <w:sz w:val="24"/>
                <w:szCs w:val="24"/>
                <w:vertAlign w:val="subscript"/>
                <w:lang w:val="en-US" w:eastAsia="zh-CN"/>
              </w:rPr>
              <w:t>w</w:t>
            </w:r>
            <w:r>
              <w:rPr>
                <w:rFonts w:hint="eastAsia" w:eastAsia="宋体" w:cs="Times New Roman"/>
                <w:color w:val="auto"/>
                <w:sz w:val="24"/>
                <w:szCs w:val="24"/>
                <w:vertAlign w:val="subscript"/>
                <w:lang w:val="en-US" w:eastAsia="zh-CN"/>
              </w:rPr>
              <w:t xml:space="preserve">   </w:t>
            </w:r>
            <w:r>
              <w:rPr>
                <w:rFonts w:hint="eastAsia" w:eastAsia="宋体" w:cs="Times New Roman"/>
                <w:color w:val="auto"/>
                <w:sz w:val="24"/>
                <w:szCs w:val="24"/>
                <w:vertAlign w:val="baseline"/>
                <w:lang w:val="en-US" w:eastAsia="zh-CN"/>
              </w:rPr>
              <w:t>（1）</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auto"/>
                <w:sz w:val="24"/>
                <w:szCs w:val="24"/>
              </w:rPr>
            </w:pPr>
            <w:r>
              <w:rPr>
                <w:rFonts w:hint="eastAsia" w:eastAsia="宋体"/>
                <w:color w:val="auto"/>
                <w:sz w:val="24"/>
                <w:szCs w:val="24"/>
                <w:lang w:val="en-US" w:eastAsia="zh-CN"/>
              </w:rPr>
              <w:t>公</w:t>
            </w:r>
            <w:r>
              <w:rPr>
                <w:rFonts w:eastAsia="宋体"/>
                <w:color w:val="auto"/>
                <w:sz w:val="24"/>
                <w:szCs w:val="24"/>
              </w:rPr>
              <w:t>式</w:t>
            </w:r>
            <w:r>
              <w:rPr>
                <w:rFonts w:hint="eastAsia" w:eastAsia="宋体"/>
                <w:color w:val="auto"/>
                <w:sz w:val="24"/>
                <w:szCs w:val="24"/>
                <w:lang w:eastAsia="zh-CN"/>
              </w:rPr>
              <w:t>（</w:t>
            </w:r>
            <w:r>
              <w:rPr>
                <w:rFonts w:hint="eastAsia" w:eastAsia="宋体"/>
                <w:color w:val="auto"/>
                <w:sz w:val="24"/>
                <w:szCs w:val="24"/>
                <w:lang w:val="en-US" w:eastAsia="zh-CN"/>
              </w:rPr>
              <w:t>1</w:t>
            </w:r>
            <w:r>
              <w:rPr>
                <w:rFonts w:hint="eastAsia" w:eastAsia="宋体"/>
                <w:color w:val="auto"/>
                <w:sz w:val="24"/>
                <w:szCs w:val="24"/>
                <w:lang w:eastAsia="zh-CN"/>
              </w:rPr>
              <w:t>）</w:t>
            </w:r>
            <w:r>
              <w:rPr>
                <w:rFonts w:eastAsia="宋体"/>
                <w:color w:val="auto"/>
                <w:sz w:val="24"/>
                <w:szCs w:val="24"/>
              </w:rPr>
              <w:t>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olor w:val="auto"/>
                <w:sz w:val="24"/>
                <w:szCs w:val="24"/>
              </w:rPr>
            </w:pPr>
            <w:r>
              <w:rPr>
                <w:rFonts w:eastAsia="宋体"/>
                <w:color w:val="auto"/>
                <w:sz w:val="24"/>
                <w:szCs w:val="24"/>
              </w:rPr>
              <w:t>Q——垃圾渗沥液平均年产量（m</w:t>
            </w:r>
            <w:r>
              <w:rPr>
                <w:rFonts w:eastAsia="宋体"/>
                <w:color w:val="auto"/>
                <w:sz w:val="24"/>
                <w:szCs w:val="24"/>
                <w:vertAlign w:val="superscript"/>
              </w:rPr>
              <w:t>3</w:t>
            </w:r>
            <w:r>
              <w:rPr>
                <w:rFonts w:hint="eastAsia" w:eastAsia="宋体"/>
                <w:color w:val="auto"/>
                <w:sz w:val="24"/>
                <w:szCs w:val="24"/>
                <w:vertAlign w:val="baseline"/>
                <w:lang w:val="en-US" w:eastAsia="zh-CN"/>
              </w:rPr>
              <w:t>/a</w:t>
            </w:r>
            <w:r>
              <w:rPr>
                <w:rFonts w:eastAsia="宋体"/>
                <w:color w:val="auto"/>
                <w:sz w:val="24"/>
                <w:szCs w:val="24"/>
              </w:rPr>
              <w:t>）</w:t>
            </w:r>
            <w:r>
              <w:rPr>
                <w:rFonts w:hint="eastAsia" w:eastAsia="宋体"/>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olor w:val="auto"/>
                <w:sz w:val="24"/>
                <w:szCs w:val="24"/>
              </w:rPr>
            </w:pPr>
            <w:r>
              <w:rPr>
                <w:rFonts w:hint="eastAsia" w:eastAsia="宋体"/>
                <w:color w:val="auto"/>
                <w:sz w:val="24"/>
                <w:szCs w:val="24"/>
              </w:rPr>
              <w:t>I：</w:t>
            </w:r>
            <w:r>
              <w:rPr>
                <w:rFonts w:eastAsia="宋体"/>
                <w:color w:val="auto"/>
                <w:sz w:val="24"/>
                <w:szCs w:val="24"/>
                <w:lang w:val="en-US" w:eastAsia="zh-CN"/>
              </w:rPr>
              <w:t>多年平均降</w:t>
            </w:r>
            <w:r>
              <w:rPr>
                <w:rFonts w:hint="eastAsia" w:eastAsia="宋体"/>
                <w:color w:val="auto"/>
                <w:sz w:val="24"/>
                <w:szCs w:val="24"/>
                <w:lang w:val="en-US" w:eastAsia="zh-CN"/>
              </w:rPr>
              <w:t>水</w:t>
            </w:r>
            <w:r>
              <w:rPr>
                <w:rFonts w:eastAsia="宋体"/>
                <w:color w:val="auto"/>
                <w:sz w:val="24"/>
                <w:szCs w:val="24"/>
                <w:lang w:val="en-US" w:eastAsia="zh-CN"/>
              </w:rPr>
              <w:t>量（mm</w:t>
            </w:r>
            <w:r>
              <w:rPr>
                <w:rFonts w:hint="eastAsia" w:eastAsia="宋体"/>
                <w:color w:val="auto"/>
                <w:sz w:val="24"/>
                <w:szCs w:val="24"/>
                <w:lang w:val="en-US" w:eastAsia="zh-CN"/>
              </w:rPr>
              <w:t>/a</w:t>
            </w:r>
            <w:r>
              <w:rPr>
                <w:rFonts w:eastAsia="宋体"/>
                <w:color w:val="auto"/>
                <w:sz w:val="24"/>
                <w:szCs w:val="24"/>
                <w:lang w:val="en-US" w:eastAsia="zh-CN"/>
              </w:rPr>
              <w:t>），本次取</w:t>
            </w:r>
            <w:r>
              <w:rPr>
                <w:rFonts w:hint="eastAsia" w:eastAsia="宋体"/>
                <w:color w:val="auto"/>
                <w:sz w:val="24"/>
                <w:szCs w:val="24"/>
                <w:lang w:val="en-US" w:eastAsia="zh-CN"/>
              </w:rPr>
              <w:t>6</w:t>
            </w:r>
            <w:r>
              <w:rPr>
                <w:rFonts w:eastAsia="宋体"/>
                <w:color w:val="auto"/>
                <w:sz w:val="24"/>
                <w:szCs w:val="24"/>
                <w:lang w:val="en-US" w:eastAsia="zh-CN"/>
              </w:rPr>
              <w:t>00</w:t>
            </w:r>
            <w:r>
              <w:rPr>
                <w:rFonts w:hint="eastAsia" w:eastAsia="宋体"/>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olor w:val="auto"/>
                <w:sz w:val="24"/>
                <w:szCs w:val="24"/>
              </w:rPr>
            </w:pPr>
            <w:r>
              <w:rPr>
                <w:rFonts w:hint="eastAsia" w:eastAsia="宋体"/>
                <w:color w:val="auto"/>
                <w:sz w:val="24"/>
                <w:szCs w:val="24"/>
              </w:rPr>
              <w:t>A</w:t>
            </w:r>
            <w:r>
              <w:rPr>
                <w:rFonts w:hint="eastAsia" w:eastAsia="宋体"/>
                <w:color w:val="auto"/>
                <w:sz w:val="24"/>
                <w:szCs w:val="24"/>
                <w:vertAlign w:val="subscript"/>
              </w:rPr>
              <w:t>1</w:t>
            </w:r>
            <w:r>
              <w:rPr>
                <w:rFonts w:hint="eastAsia" w:eastAsia="宋体"/>
                <w:color w:val="auto"/>
                <w:sz w:val="24"/>
                <w:szCs w:val="24"/>
              </w:rPr>
              <w:t>：作业单元汇水面积</w:t>
            </w:r>
            <w:r>
              <w:rPr>
                <w:rFonts w:hint="eastAsia" w:eastAsia="宋体"/>
                <w:color w:val="auto"/>
                <w:sz w:val="24"/>
                <w:szCs w:val="24"/>
                <w:lang w:eastAsia="zh-CN"/>
              </w:rPr>
              <w:t>（</w:t>
            </w:r>
            <w:r>
              <w:rPr>
                <w:rFonts w:hint="default" w:eastAsia="宋体"/>
                <w:color w:val="auto"/>
                <w:sz w:val="24"/>
                <w:szCs w:val="24"/>
                <w:highlight w:val="none"/>
                <w:lang w:val="en-US" w:eastAsia="zh-CN"/>
              </w:rPr>
              <w:t>m</w:t>
            </w:r>
            <w:r>
              <w:rPr>
                <w:rFonts w:hint="eastAsia" w:eastAsia="宋体"/>
                <w:color w:val="auto"/>
                <w:sz w:val="24"/>
                <w:szCs w:val="24"/>
                <w:highlight w:val="none"/>
                <w:vertAlign w:val="superscript"/>
                <w:lang w:val="en-US" w:eastAsia="zh-CN"/>
              </w:rPr>
              <w:t>2</w:t>
            </w:r>
            <w:r>
              <w:rPr>
                <w:rFonts w:hint="eastAsia" w:eastAsia="宋体"/>
                <w:color w:val="auto"/>
                <w:sz w:val="24"/>
                <w:szCs w:val="24"/>
                <w:highlight w:val="none"/>
                <w:vertAlign w:val="baseline"/>
                <w:lang w:val="en-US" w:eastAsia="zh-CN"/>
              </w:rPr>
              <w:t>）</w:t>
            </w:r>
            <w:r>
              <w:rPr>
                <w:rFonts w:hint="eastAsia" w:eastAsia="宋体"/>
                <w:color w:val="auto"/>
                <w:sz w:val="24"/>
                <w:szCs w:val="24"/>
              </w:rPr>
              <w:t>，</w:t>
            </w:r>
            <w:r>
              <w:rPr>
                <w:rFonts w:eastAsia="宋体"/>
                <w:color w:val="auto"/>
                <w:sz w:val="24"/>
                <w:szCs w:val="24"/>
                <w:lang w:val="en-US" w:eastAsia="zh-CN"/>
              </w:rPr>
              <w:t>本次取</w:t>
            </w:r>
            <w:r>
              <w:rPr>
                <w:rFonts w:hint="eastAsia" w:eastAsia="宋体"/>
                <w:color w:val="auto"/>
                <w:sz w:val="24"/>
                <w:szCs w:val="24"/>
                <w:highlight w:val="none"/>
              </w:rPr>
              <w:t>10</w:t>
            </w:r>
            <w:r>
              <w:rPr>
                <w:rFonts w:hint="eastAsia" w:eastAsia="宋体"/>
                <w:color w:val="auto"/>
                <w:sz w:val="24"/>
                <w:szCs w:val="24"/>
                <w:highlight w:val="none"/>
                <w:lang w:val="en-US" w:eastAsia="zh-CN"/>
              </w:rPr>
              <w:t>250</w:t>
            </w:r>
            <w:r>
              <w:rPr>
                <w:rFonts w:hint="eastAsia" w:ascii="宋体" w:hAnsi="宋体" w:eastAsia="宋体" w:cs="宋体"/>
                <w:color w:val="auto"/>
                <w:sz w:val="24"/>
                <w:szCs w:val="24"/>
                <w:highlight w:val="none"/>
                <w:vertAlign w:val="superscript"/>
                <w:lang w:val="en-US" w:eastAsia="zh-CN"/>
              </w:rPr>
              <w:t>①</w:t>
            </w:r>
            <w:r>
              <w:rPr>
                <w:rFonts w:hint="eastAsia" w:eastAsia="宋体"/>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olor w:val="auto"/>
                <w:sz w:val="24"/>
                <w:szCs w:val="24"/>
              </w:rPr>
            </w:pPr>
            <w:r>
              <w:rPr>
                <w:rFonts w:hint="eastAsia" w:eastAsia="宋体"/>
                <w:color w:val="auto"/>
                <w:sz w:val="24"/>
                <w:szCs w:val="24"/>
              </w:rPr>
              <w:t>C</w:t>
            </w:r>
            <w:r>
              <w:rPr>
                <w:rFonts w:hint="eastAsia" w:eastAsia="宋体"/>
                <w:color w:val="auto"/>
                <w:sz w:val="24"/>
                <w:szCs w:val="24"/>
                <w:vertAlign w:val="subscript"/>
              </w:rPr>
              <w:t>1</w:t>
            </w:r>
            <w:r>
              <w:rPr>
                <w:rFonts w:hint="eastAsia" w:eastAsia="宋体"/>
                <w:color w:val="auto"/>
                <w:sz w:val="24"/>
                <w:szCs w:val="24"/>
              </w:rPr>
              <w:t>：作业单元渗出系数，</w:t>
            </w:r>
            <w:r>
              <w:rPr>
                <w:rFonts w:eastAsia="宋体"/>
                <w:color w:val="auto"/>
                <w:sz w:val="24"/>
                <w:szCs w:val="24"/>
                <w:lang w:val="en-US" w:eastAsia="zh-CN"/>
              </w:rPr>
              <w:t>本次取0.</w:t>
            </w:r>
            <w:r>
              <w:rPr>
                <w:rFonts w:hint="eastAsia" w:eastAsia="宋体"/>
                <w:color w:val="auto"/>
                <w:sz w:val="24"/>
                <w:szCs w:val="24"/>
                <w:lang w:val="en-US" w:eastAsia="zh-CN"/>
              </w:rPr>
              <w:t>7</w:t>
            </w:r>
            <w:r>
              <w:rPr>
                <w:rFonts w:hint="eastAsia" w:ascii="宋体" w:hAnsi="宋体" w:eastAsia="宋体" w:cs="宋体"/>
                <w:color w:val="auto"/>
                <w:sz w:val="24"/>
                <w:szCs w:val="24"/>
                <w:vertAlign w:val="superscript"/>
                <w:lang w:val="en-US" w:eastAsia="zh-CN"/>
              </w:rPr>
              <w:t>②</w:t>
            </w:r>
            <w:r>
              <w:rPr>
                <w:rFonts w:hint="eastAsia" w:eastAsia="宋体"/>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olor w:val="auto"/>
                <w:sz w:val="24"/>
                <w:szCs w:val="24"/>
              </w:rPr>
            </w:pPr>
            <w:r>
              <w:rPr>
                <w:rFonts w:hint="eastAsia" w:eastAsia="宋体"/>
                <w:color w:val="auto"/>
                <w:sz w:val="24"/>
                <w:szCs w:val="24"/>
              </w:rPr>
              <w:t>A</w:t>
            </w:r>
            <w:r>
              <w:rPr>
                <w:rFonts w:hint="eastAsia" w:eastAsia="宋体"/>
                <w:color w:val="auto"/>
                <w:sz w:val="24"/>
                <w:szCs w:val="24"/>
                <w:vertAlign w:val="subscript"/>
              </w:rPr>
              <w:t>2</w:t>
            </w:r>
            <w:r>
              <w:rPr>
                <w:rFonts w:hint="eastAsia" w:eastAsia="宋体"/>
                <w:color w:val="auto"/>
                <w:sz w:val="24"/>
                <w:szCs w:val="24"/>
              </w:rPr>
              <w:t>：中间覆盖单元汇水面积</w:t>
            </w:r>
            <w:r>
              <w:rPr>
                <w:rFonts w:hint="eastAsia" w:eastAsia="宋体"/>
                <w:color w:val="auto"/>
                <w:sz w:val="24"/>
                <w:szCs w:val="24"/>
                <w:lang w:eastAsia="zh-CN"/>
              </w:rPr>
              <w:t>（</w:t>
            </w:r>
            <w:r>
              <w:rPr>
                <w:rFonts w:hint="default" w:eastAsia="宋体"/>
                <w:color w:val="auto"/>
                <w:sz w:val="24"/>
                <w:szCs w:val="24"/>
                <w:highlight w:val="none"/>
                <w:lang w:val="en-US" w:eastAsia="zh-CN"/>
              </w:rPr>
              <w:t>m</w:t>
            </w:r>
            <w:r>
              <w:rPr>
                <w:rFonts w:hint="eastAsia" w:eastAsia="宋体"/>
                <w:color w:val="auto"/>
                <w:sz w:val="24"/>
                <w:szCs w:val="24"/>
                <w:highlight w:val="none"/>
                <w:vertAlign w:val="superscript"/>
                <w:lang w:val="en-US" w:eastAsia="zh-CN"/>
              </w:rPr>
              <w:t>2</w:t>
            </w:r>
            <w:r>
              <w:rPr>
                <w:rFonts w:hint="eastAsia" w:eastAsia="宋体"/>
                <w:color w:val="auto"/>
                <w:sz w:val="24"/>
                <w:szCs w:val="24"/>
                <w:highlight w:val="none"/>
                <w:vertAlign w:val="baseline"/>
                <w:lang w:val="en-US" w:eastAsia="zh-CN"/>
              </w:rPr>
              <w:t>）</w:t>
            </w:r>
            <w:r>
              <w:rPr>
                <w:rFonts w:hint="eastAsia" w:eastAsia="宋体"/>
                <w:color w:val="auto"/>
                <w:sz w:val="24"/>
                <w:szCs w:val="24"/>
              </w:rPr>
              <w:t>，</w:t>
            </w:r>
            <w:r>
              <w:rPr>
                <w:rFonts w:eastAsia="宋体"/>
                <w:color w:val="auto"/>
                <w:sz w:val="24"/>
                <w:szCs w:val="24"/>
                <w:lang w:val="en-US" w:eastAsia="zh-CN"/>
              </w:rPr>
              <w:t>本次取</w:t>
            </w:r>
            <w:r>
              <w:rPr>
                <w:rFonts w:hint="eastAsia" w:eastAsia="宋体"/>
                <w:color w:val="auto"/>
                <w:sz w:val="24"/>
                <w:szCs w:val="24"/>
                <w:highlight w:val="none"/>
                <w:lang w:val="en-US" w:eastAsia="zh-CN"/>
              </w:rPr>
              <w:t>30750</w:t>
            </w:r>
            <w:r>
              <w:rPr>
                <w:rFonts w:hint="eastAsia" w:ascii="宋体" w:hAnsi="宋体" w:eastAsia="宋体" w:cs="宋体"/>
                <w:color w:val="auto"/>
                <w:sz w:val="24"/>
                <w:szCs w:val="24"/>
                <w:highlight w:val="none"/>
                <w:vertAlign w:val="superscript"/>
                <w:lang w:val="en-US" w:eastAsia="zh-CN"/>
              </w:rPr>
              <w:t>①</w:t>
            </w:r>
            <w:r>
              <w:rPr>
                <w:rFonts w:hint="eastAsia" w:eastAsia="宋体"/>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olor w:val="auto"/>
                <w:sz w:val="24"/>
                <w:szCs w:val="24"/>
              </w:rPr>
            </w:pPr>
            <w:r>
              <w:rPr>
                <w:rFonts w:hint="eastAsia" w:eastAsia="宋体"/>
                <w:color w:val="auto"/>
                <w:sz w:val="24"/>
                <w:szCs w:val="24"/>
              </w:rPr>
              <w:t>C</w:t>
            </w:r>
            <w:r>
              <w:rPr>
                <w:rFonts w:hint="eastAsia" w:eastAsia="宋体"/>
                <w:color w:val="auto"/>
                <w:sz w:val="24"/>
                <w:szCs w:val="24"/>
                <w:vertAlign w:val="subscript"/>
              </w:rPr>
              <w:t>2</w:t>
            </w:r>
            <w:r>
              <w:rPr>
                <w:rFonts w:hint="eastAsia" w:eastAsia="宋体"/>
                <w:color w:val="auto"/>
                <w:sz w:val="24"/>
                <w:szCs w:val="24"/>
              </w:rPr>
              <w:t>：中间覆盖单元渗出系数，</w:t>
            </w:r>
            <w:r>
              <w:rPr>
                <w:rFonts w:eastAsia="宋体"/>
                <w:color w:val="auto"/>
                <w:sz w:val="24"/>
                <w:szCs w:val="24"/>
                <w:lang w:val="en-US" w:eastAsia="zh-CN"/>
              </w:rPr>
              <w:t>本次取0.</w:t>
            </w:r>
            <w:r>
              <w:rPr>
                <w:rFonts w:hint="eastAsia" w:eastAsia="宋体"/>
                <w:color w:val="auto"/>
                <w:sz w:val="24"/>
                <w:szCs w:val="24"/>
                <w:lang w:val="en-US" w:eastAsia="zh-CN"/>
              </w:rPr>
              <w:t>28</w:t>
            </w:r>
            <w:r>
              <w:rPr>
                <w:rFonts w:hint="eastAsia" w:ascii="宋体" w:hAnsi="宋体" w:eastAsia="宋体" w:cs="宋体"/>
                <w:color w:val="auto"/>
                <w:sz w:val="24"/>
                <w:szCs w:val="24"/>
                <w:vertAlign w:val="superscript"/>
                <w:lang w:val="en-US" w:eastAsia="zh-CN"/>
              </w:rPr>
              <w:t>②</w:t>
            </w:r>
            <w:r>
              <w:rPr>
                <w:rFonts w:hint="eastAsia" w:eastAsia="宋体"/>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auto"/>
                <w:sz w:val="24"/>
                <w:szCs w:val="24"/>
              </w:rPr>
            </w:pPr>
            <w:r>
              <w:rPr>
                <w:rFonts w:hint="eastAsia" w:eastAsia="宋体"/>
                <w:color w:val="auto"/>
                <w:sz w:val="24"/>
                <w:szCs w:val="24"/>
              </w:rPr>
              <w:t>A</w:t>
            </w:r>
            <w:r>
              <w:rPr>
                <w:rFonts w:hint="eastAsia" w:eastAsia="宋体"/>
                <w:color w:val="auto"/>
                <w:sz w:val="24"/>
                <w:szCs w:val="24"/>
                <w:vertAlign w:val="subscript"/>
              </w:rPr>
              <w:t>3</w:t>
            </w:r>
            <w:r>
              <w:rPr>
                <w:rFonts w:hint="eastAsia" w:eastAsia="宋体"/>
                <w:color w:val="auto"/>
                <w:sz w:val="24"/>
                <w:szCs w:val="24"/>
              </w:rPr>
              <w:t>：终场覆盖单元汇水面积</w:t>
            </w:r>
            <w:r>
              <w:rPr>
                <w:rFonts w:hint="eastAsia" w:eastAsia="宋体"/>
                <w:color w:val="auto"/>
                <w:sz w:val="24"/>
                <w:szCs w:val="24"/>
                <w:lang w:eastAsia="zh-CN"/>
              </w:rPr>
              <w:t>（</w:t>
            </w:r>
            <w:r>
              <w:rPr>
                <w:rFonts w:hint="default" w:eastAsia="宋体"/>
                <w:color w:val="auto"/>
                <w:sz w:val="24"/>
                <w:szCs w:val="24"/>
                <w:lang w:val="en-US" w:eastAsia="zh-CN"/>
              </w:rPr>
              <w:t>m</w:t>
            </w:r>
            <w:r>
              <w:rPr>
                <w:rFonts w:hint="eastAsia" w:eastAsia="宋体"/>
                <w:color w:val="auto"/>
                <w:sz w:val="24"/>
                <w:szCs w:val="24"/>
                <w:vertAlign w:val="superscript"/>
                <w:lang w:val="en-US" w:eastAsia="zh-CN"/>
              </w:rPr>
              <w:t>2</w:t>
            </w:r>
            <w:r>
              <w:rPr>
                <w:rFonts w:hint="eastAsia" w:eastAsia="宋体"/>
                <w:color w:val="auto"/>
                <w:sz w:val="24"/>
                <w:szCs w:val="24"/>
                <w:highlight w:val="none"/>
                <w:vertAlign w:val="baseline"/>
                <w:lang w:val="en-US" w:eastAsia="zh-CN"/>
              </w:rPr>
              <w:t>）</w:t>
            </w:r>
            <w:r>
              <w:rPr>
                <w:rFonts w:hint="eastAsia" w:eastAsia="宋体"/>
                <w:color w:val="auto"/>
                <w:sz w:val="24"/>
                <w:szCs w:val="24"/>
              </w:rPr>
              <w:t>，</w:t>
            </w:r>
            <w:r>
              <w:rPr>
                <w:rFonts w:eastAsia="宋体"/>
                <w:color w:val="auto"/>
                <w:sz w:val="24"/>
                <w:szCs w:val="24"/>
                <w:lang w:val="en-US" w:eastAsia="zh-CN"/>
              </w:rPr>
              <w:t>本次取</w:t>
            </w:r>
            <w:r>
              <w:rPr>
                <w:rFonts w:hint="eastAsia" w:eastAsia="宋体"/>
                <w:color w:val="auto"/>
                <w:sz w:val="24"/>
                <w:szCs w:val="24"/>
              </w:rPr>
              <w:t>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olor w:val="auto"/>
                <w:sz w:val="24"/>
                <w:szCs w:val="24"/>
              </w:rPr>
            </w:pPr>
            <w:r>
              <w:rPr>
                <w:rFonts w:hint="eastAsia" w:eastAsia="宋体"/>
                <w:color w:val="auto"/>
                <w:sz w:val="24"/>
                <w:szCs w:val="24"/>
              </w:rPr>
              <w:t>C</w:t>
            </w:r>
            <w:r>
              <w:rPr>
                <w:rFonts w:hint="eastAsia" w:eastAsia="宋体"/>
                <w:color w:val="auto"/>
                <w:sz w:val="24"/>
                <w:szCs w:val="24"/>
                <w:vertAlign w:val="subscript"/>
                <w:lang w:val="en-US" w:eastAsia="zh-CN"/>
              </w:rPr>
              <w:t>3</w:t>
            </w:r>
            <w:r>
              <w:rPr>
                <w:rFonts w:hint="eastAsia" w:eastAsia="宋体"/>
                <w:color w:val="auto"/>
                <w:sz w:val="24"/>
                <w:szCs w:val="24"/>
              </w:rPr>
              <w:t>：终场覆盖单元渗出系数，</w:t>
            </w:r>
            <w:r>
              <w:rPr>
                <w:rFonts w:hint="eastAsia" w:eastAsia="宋体"/>
                <w:color w:val="auto"/>
                <w:sz w:val="24"/>
                <w:szCs w:val="24"/>
                <w:lang w:val="en-US" w:eastAsia="zh-CN"/>
              </w:rPr>
              <w:t>本次</w:t>
            </w:r>
            <w:r>
              <w:rPr>
                <w:rFonts w:hint="eastAsia" w:eastAsia="宋体"/>
                <w:color w:val="auto"/>
                <w:sz w:val="24"/>
                <w:szCs w:val="24"/>
              </w:rPr>
              <w:t>取0.1。</w:t>
            </w:r>
          </w:p>
          <w:p>
            <w:pPr>
              <w:pStyle w:val="136"/>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baseline"/>
              <w:rPr>
                <w:rFonts w:hint="eastAsia" w:eastAsia="宋体"/>
                <w:color w:val="auto"/>
                <w:sz w:val="24"/>
                <w:szCs w:val="24"/>
              </w:rPr>
            </w:pPr>
            <w:r>
              <w:rPr>
                <w:rFonts w:hint="eastAsia" w:eastAsia="宋体"/>
                <w:color w:val="auto"/>
                <w:sz w:val="24"/>
                <w:szCs w:val="24"/>
                <w:lang w:val="en-US" w:eastAsia="zh-CN"/>
              </w:rPr>
              <w:t>A</w:t>
            </w:r>
            <w:r>
              <w:rPr>
                <w:rFonts w:hint="eastAsia" w:eastAsia="宋体"/>
                <w:color w:val="auto"/>
                <w:sz w:val="24"/>
                <w:szCs w:val="24"/>
                <w:vertAlign w:val="subscript"/>
                <w:lang w:val="en-US" w:eastAsia="zh-CN"/>
              </w:rPr>
              <w:t>4</w:t>
            </w:r>
            <w:r>
              <w:rPr>
                <w:rFonts w:hint="eastAsia" w:eastAsia="宋体"/>
                <w:color w:val="auto"/>
                <w:sz w:val="24"/>
                <w:szCs w:val="24"/>
                <w:lang w:val="en-US" w:eastAsia="zh-CN"/>
              </w:rPr>
              <w:t>—调节池汇水面积，</w:t>
            </w:r>
            <w:r>
              <w:rPr>
                <w:rFonts w:hint="default" w:eastAsia="宋体"/>
                <w:color w:val="auto"/>
                <w:sz w:val="24"/>
                <w:szCs w:val="24"/>
                <w:lang w:val="en-US" w:eastAsia="zh-CN"/>
              </w:rPr>
              <w:t>m</w:t>
            </w:r>
            <w:r>
              <w:rPr>
                <w:rFonts w:hint="eastAsia" w:eastAsia="宋体"/>
                <w:color w:val="auto"/>
                <w:sz w:val="24"/>
                <w:szCs w:val="24"/>
                <w:vertAlign w:val="superscript"/>
                <w:lang w:val="en-US" w:eastAsia="zh-CN"/>
              </w:rPr>
              <w:t>2</w:t>
            </w:r>
            <w:r>
              <w:rPr>
                <w:rFonts w:hint="eastAsia" w:eastAsia="宋体"/>
                <w:color w:val="auto"/>
                <w:sz w:val="24"/>
                <w:szCs w:val="24"/>
                <w:lang w:val="en-US" w:eastAsia="zh-CN"/>
              </w:rPr>
              <w:t xml:space="preserve">； </w:t>
            </w:r>
          </w:p>
          <w:p>
            <w:pPr>
              <w:pStyle w:val="136"/>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baseline"/>
              <w:rPr>
                <w:rFonts w:hint="eastAsia" w:eastAsia="宋体"/>
                <w:color w:val="auto"/>
                <w:sz w:val="24"/>
                <w:szCs w:val="24"/>
              </w:rPr>
            </w:pPr>
            <w:r>
              <w:rPr>
                <w:rFonts w:hint="eastAsia" w:eastAsia="宋体"/>
                <w:color w:val="auto"/>
                <w:sz w:val="24"/>
                <w:szCs w:val="24"/>
                <w:lang w:val="en-US" w:eastAsia="zh-CN"/>
              </w:rPr>
              <w:t>C</w:t>
            </w:r>
            <w:r>
              <w:rPr>
                <w:rFonts w:hint="eastAsia" w:eastAsia="宋体"/>
                <w:color w:val="auto"/>
                <w:sz w:val="24"/>
                <w:szCs w:val="24"/>
                <w:vertAlign w:val="subscript"/>
                <w:lang w:val="en-US" w:eastAsia="zh-CN"/>
              </w:rPr>
              <w:t>4</w:t>
            </w:r>
            <w:r>
              <w:rPr>
                <w:rFonts w:hint="eastAsia" w:eastAsia="宋体"/>
                <w:color w:val="auto"/>
                <w:sz w:val="24"/>
                <w:szCs w:val="24"/>
                <w:lang w:val="en-US" w:eastAsia="zh-CN"/>
              </w:rPr>
              <w:t>—调节池渗出系数，本</w:t>
            </w:r>
            <w:r>
              <w:rPr>
                <w:rFonts w:hint="eastAsia"/>
                <w:color w:val="auto"/>
                <w:sz w:val="24"/>
                <w:szCs w:val="24"/>
                <w:lang w:val="en-US" w:eastAsia="zh-CN"/>
              </w:rPr>
              <w:t>次</w:t>
            </w:r>
            <w:r>
              <w:rPr>
                <w:rFonts w:hint="eastAsia" w:eastAsia="宋体"/>
                <w:color w:val="auto"/>
                <w:sz w:val="24"/>
                <w:szCs w:val="24"/>
                <w:lang w:val="en-US" w:eastAsia="zh-CN"/>
              </w:rPr>
              <w:t>取0。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auto"/>
                <w:sz w:val="24"/>
                <w:szCs w:val="24"/>
              </w:rPr>
            </w:pPr>
            <w:r>
              <w:rPr>
                <w:rFonts w:hint="default" w:eastAsia="宋体"/>
                <w:color w:val="auto"/>
                <w:sz w:val="24"/>
                <w:szCs w:val="24"/>
                <w:lang w:val="en-US" w:eastAsia="zh-CN"/>
              </w:rPr>
              <w:t>M</w:t>
            </w:r>
            <w:r>
              <w:rPr>
                <w:rFonts w:hint="default" w:eastAsia="宋体"/>
                <w:color w:val="auto"/>
                <w:sz w:val="24"/>
                <w:szCs w:val="24"/>
                <w:vertAlign w:val="subscript"/>
                <w:lang w:val="en-US" w:eastAsia="zh-CN"/>
              </w:rPr>
              <w:t>d</w:t>
            </w:r>
            <w:r>
              <w:rPr>
                <w:rFonts w:hint="eastAsia" w:eastAsia="宋体"/>
                <w:color w:val="auto"/>
                <w:sz w:val="24"/>
                <w:szCs w:val="24"/>
                <w:lang w:val="en-US" w:eastAsia="zh-CN"/>
              </w:rPr>
              <w:t>—</w:t>
            </w:r>
            <w:r>
              <w:rPr>
                <w:rFonts w:hint="eastAsia" w:eastAsia="宋体"/>
                <w:color w:val="auto"/>
                <w:sz w:val="24"/>
                <w:szCs w:val="24"/>
                <w:highlight w:val="none"/>
                <w:lang w:val="en-US" w:eastAsia="zh-CN"/>
              </w:rPr>
              <w:t>垃圾日处理规模（t/d）</w:t>
            </w:r>
            <w:r>
              <w:rPr>
                <w:rFonts w:hint="eastAsia" w:eastAsia="宋体"/>
                <w:color w:val="auto"/>
                <w:sz w:val="24"/>
                <w:szCs w:val="24"/>
                <w:lang w:val="en-US" w:eastAsia="zh-CN"/>
              </w:rPr>
              <w:t>，本</w:t>
            </w:r>
            <w:r>
              <w:rPr>
                <w:rFonts w:hint="eastAsia"/>
                <w:color w:val="auto"/>
                <w:sz w:val="24"/>
                <w:szCs w:val="24"/>
                <w:lang w:val="en-US" w:eastAsia="zh-CN"/>
              </w:rPr>
              <w:t>次</w:t>
            </w:r>
            <w:r>
              <w:rPr>
                <w:rFonts w:hint="eastAsia" w:eastAsia="宋体"/>
                <w:color w:val="auto"/>
                <w:sz w:val="24"/>
                <w:szCs w:val="24"/>
                <w:lang w:val="en-US" w:eastAsia="zh-CN"/>
              </w:rPr>
              <w:t>取187</w:t>
            </w:r>
            <w:r>
              <w:rPr>
                <w:rFonts w:hint="eastAsia" w:ascii="宋体" w:hAnsi="宋体" w:eastAsia="宋体" w:cs="宋体"/>
                <w:color w:val="auto"/>
                <w:sz w:val="24"/>
                <w:szCs w:val="24"/>
                <w:vertAlign w:val="superscript"/>
                <w:lang w:val="en-US" w:eastAsia="zh-CN"/>
              </w:rPr>
              <w:t>③</w:t>
            </w:r>
            <w:r>
              <w:rPr>
                <w:rFonts w:hint="eastAsia" w:eastAsia="宋体"/>
                <w:color w:val="auto"/>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auto"/>
                <w:sz w:val="24"/>
                <w:szCs w:val="24"/>
              </w:rPr>
            </w:pPr>
            <w:r>
              <w:rPr>
                <w:rFonts w:hint="default" w:eastAsia="宋体"/>
                <w:color w:val="auto"/>
                <w:sz w:val="24"/>
                <w:szCs w:val="24"/>
                <w:lang w:val="en-US" w:eastAsia="zh-CN"/>
              </w:rPr>
              <w:t>W</w:t>
            </w:r>
            <w:r>
              <w:rPr>
                <w:rFonts w:hint="eastAsia" w:eastAsia="宋体"/>
                <w:color w:val="auto"/>
                <w:sz w:val="24"/>
                <w:szCs w:val="24"/>
                <w:vertAlign w:val="subscript"/>
                <w:lang w:val="en-US" w:eastAsia="zh-CN"/>
              </w:rPr>
              <w:t>c</w:t>
            </w:r>
            <w:r>
              <w:rPr>
                <w:rFonts w:hint="eastAsia" w:eastAsia="宋体"/>
                <w:color w:val="auto"/>
                <w:sz w:val="24"/>
                <w:szCs w:val="24"/>
                <w:lang w:val="en-US" w:eastAsia="zh-CN"/>
              </w:rPr>
              <w:t>—垃圾初始含水率，本次取</w:t>
            </w:r>
            <w:r>
              <w:rPr>
                <w:rFonts w:hint="default" w:eastAsia="宋体"/>
                <w:color w:val="auto"/>
                <w:sz w:val="24"/>
                <w:szCs w:val="24"/>
                <w:lang w:val="en-US" w:eastAsia="zh-CN"/>
              </w:rPr>
              <w:t>40%</w:t>
            </w:r>
            <w:r>
              <w:rPr>
                <w:rFonts w:hint="eastAsia" w:ascii="宋体" w:hAnsi="宋体" w:eastAsia="宋体" w:cs="宋体"/>
                <w:color w:val="auto"/>
                <w:sz w:val="24"/>
                <w:szCs w:val="24"/>
                <w:vertAlign w:val="superscript"/>
                <w:lang w:val="en-US" w:eastAsia="zh-CN"/>
              </w:rPr>
              <w:t>④</w:t>
            </w:r>
            <w:r>
              <w:rPr>
                <w:rFonts w:hint="eastAsia" w:eastAsia="宋体"/>
                <w:color w:val="auto"/>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宋体"/>
                <w:color w:val="auto"/>
                <w:sz w:val="24"/>
                <w:szCs w:val="24"/>
              </w:rPr>
            </w:pPr>
            <w:r>
              <w:rPr>
                <w:rFonts w:hint="default" w:eastAsia="宋体"/>
                <w:color w:val="auto"/>
                <w:sz w:val="24"/>
                <w:szCs w:val="24"/>
                <w:lang w:val="en-US" w:eastAsia="zh-CN"/>
              </w:rPr>
              <w:t>F</w:t>
            </w:r>
            <w:r>
              <w:rPr>
                <w:rFonts w:hint="eastAsia" w:eastAsia="宋体"/>
                <w:color w:val="auto"/>
                <w:sz w:val="24"/>
                <w:szCs w:val="24"/>
                <w:vertAlign w:val="subscript"/>
                <w:lang w:val="en-US" w:eastAsia="zh-CN"/>
              </w:rPr>
              <w:t>c</w:t>
            </w:r>
            <w:r>
              <w:rPr>
                <w:rFonts w:hint="eastAsia" w:eastAsia="宋体"/>
                <w:color w:val="auto"/>
                <w:sz w:val="24"/>
                <w:szCs w:val="24"/>
                <w:lang w:val="en-US" w:eastAsia="zh-CN"/>
              </w:rPr>
              <w:t>—完全降解垃圾田间持水率，本次取</w:t>
            </w:r>
            <w:r>
              <w:rPr>
                <w:rFonts w:hint="default" w:eastAsia="宋体"/>
                <w:color w:val="auto"/>
                <w:sz w:val="24"/>
                <w:szCs w:val="24"/>
                <w:lang w:val="en-US" w:eastAsia="zh-CN"/>
              </w:rPr>
              <w:t>3</w:t>
            </w:r>
            <w:r>
              <w:rPr>
                <w:rFonts w:hint="eastAsia" w:eastAsia="宋体"/>
                <w:color w:val="auto"/>
                <w:sz w:val="24"/>
                <w:szCs w:val="24"/>
                <w:lang w:val="en-US" w:eastAsia="zh-CN"/>
              </w:rPr>
              <w:t>2</w:t>
            </w:r>
            <w:r>
              <w:rPr>
                <w:rFonts w:hint="default" w:eastAsia="宋体"/>
                <w:color w:val="auto"/>
                <w:sz w:val="24"/>
                <w:szCs w:val="24"/>
                <w:lang w:val="en-US" w:eastAsia="zh-CN"/>
              </w:rPr>
              <w:t>%</w:t>
            </w:r>
            <w:r>
              <w:rPr>
                <w:rFonts w:hint="eastAsia" w:ascii="宋体" w:hAnsi="宋体" w:eastAsia="宋体" w:cs="宋体"/>
                <w:color w:val="auto"/>
                <w:sz w:val="24"/>
                <w:szCs w:val="24"/>
                <w:vertAlign w:val="superscript"/>
                <w:lang w:val="en-US" w:eastAsia="zh-CN"/>
              </w:rPr>
              <w:t>④</w:t>
            </w:r>
            <w:r>
              <w:rPr>
                <w:rFonts w:hint="eastAsia" w:eastAsia="宋体"/>
                <w:color w:val="auto"/>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auto"/>
              </w:rPr>
            </w:pPr>
            <w:r>
              <w:rPr>
                <w:rFonts w:hint="default" w:eastAsia="宋体"/>
                <w:color w:val="auto"/>
                <w:sz w:val="24"/>
                <w:szCs w:val="24"/>
                <w:lang w:val="en-US" w:eastAsia="zh-CN"/>
              </w:rPr>
              <w:t>ρ</w:t>
            </w:r>
            <w:r>
              <w:rPr>
                <w:rFonts w:hint="eastAsia" w:eastAsia="宋体"/>
                <w:color w:val="auto"/>
                <w:sz w:val="24"/>
                <w:szCs w:val="24"/>
                <w:vertAlign w:val="subscript"/>
                <w:lang w:val="en-US" w:eastAsia="zh-CN"/>
              </w:rPr>
              <w:t>w</w:t>
            </w:r>
            <w:r>
              <w:rPr>
                <w:rFonts w:hint="default" w:eastAsia="宋体"/>
                <w:color w:val="auto"/>
                <w:sz w:val="24"/>
                <w:szCs w:val="24"/>
                <w:lang w:val="en-US" w:eastAsia="zh-CN"/>
              </w:rPr>
              <w:t>—</w:t>
            </w:r>
            <w:r>
              <w:rPr>
                <w:rFonts w:hint="eastAsia" w:eastAsia="宋体"/>
                <w:color w:val="auto"/>
                <w:sz w:val="24"/>
                <w:szCs w:val="24"/>
                <w:lang w:val="en-US" w:eastAsia="zh-CN"/>
              </w:rPr>
              <w:t>水的密度（</w:t>
            </w:r>
            <w:r>
              <w:rPr>
                <w:rFonts w:hint="default" w:eastAsia="宋体"/>
                <w:color w:val="auto"/>
                <w:sz w:val="24"/>
                <w:szCs w:val="24"/>
                <w:lang w:val="en-US" w:eastAsia="zh-CN"/>
              </w:rPr>
              <w:t>t/m</w:t>
            </w:r>
            <w:r>
              <w:rPr>
                <w:rFonts w:hint="eastAsia" w:eastAsia="宋体"/>
                <w:color w:val="auto"/>
                <w:sz w:val="24"/>
                <w:szCs w:val="24"/>
                <w:vertAlign w:val="superscript"/>
                <w:lang w:val="en-US" w:eastAsia="zh-CN"/>
              </w:rPr>
              <w:t>3</w:t>
            </w:r>
            <w:r>
              <w:rPr>
                <w:rFonts w:hint="eastAsia" w:eastAsia="宋体"/>
                <w:color w:val="auto"/>
                <w:sz w:val="24"/>
                <w:szCs w:val="24"/>
                <w:vertAlign w:val="baseline"/>
                <w:lang w:val="en-US" w:eastAsia="zh-CN"/>
              </w:rPr>
              <w:t>）</w:t>
            </w:r>
            <w:r>
              <w:rPr>
                <w:rFonts w:hint="eastAsia" w:eastAsia="宋体"/>
                <w:color w:val="auto"/>
                <w:sz w:val="24"/>
                <w:szCs w:val="24"/>
                <w:lang w:val="en-US" w:eastAsia="zh-CN"/>
              </w:rPr>
              <w:t>，</w:t>
            </w:r>
            <w:r>
              <w:rPr>
                <w:rFonts w:hint="default" w:eastAsia="宋体"/>
                <w:color w:val="auto"/>
                <w:sz w:val="24"/>
                <w:szCs w:val="24"/>
                <w:lang w:val="en-US" w:eastAsia="zh-CN"/>
              </w:rPr>
              <w:t>1.0</w:t>
            </w:r>
            <w:r>
              <w:rPr>
                <w:rFonts w:hint="eastAsia" w:eastAsia="宋体"/>
                <w:color w:val="auto"/>
                <w:sz w:val="24"/>
                <w:szCs w:val="24"/>
                <w:lang w:val="en-US" w:eastAsia="zh-CN"/>
              </w:rPr>
              <w:t>。</w:t>
            </w:r>
          </w:p>
          <w:p>
            <w:pPr>
              <w:pStyle w:val="136"/>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注：</w:t>
            </w:r>
          </w:p>
          <w:p>
            <w:pPr>
              <w:pStyle w:val="136"/>
              <w:spacing w:line="360" w:lineRule="auto"/>
              <w:ind w:firstLine="480" w:firstLineChars="200"/>
              <w:rPr>
                <w:rFonts w:hint="default" w:eastAsia="宋体"/>
                <w:color w:val="auto"/>
                <w:sz w:val="24"/>
                <w:szCs w:val="24"/>
                <w:vertAlign w:val="baseline"/>
                <w:lang w:val="en-US" w:eastAsia="zh-CN"/>
              </w:rPr>
            </w:pPr>
            <w:r>
              <w:rPr>
                <w:rFonts w:hint="eastAsia" w:ascii="宋体" w:hAnsi="宋体" w:eastAsia="宋体" w:cs="宋体"/>
                <w:color w:val="auto"/>
                <w:sz w:val="24"/>
                <w:szCs w:val="24"/>
                <w:highlight w:val="none"/>
                <w:vertAlign w:val="baseline"/>
                <w:lang w:val="en-US" w:eastAsia="zh-CN"/>
              </w:rPr>
              <w:t>①</w:t>
            </w:r>
            <w:r>
              <w:rPr>
                <w:rFonts w:hint="default" w:ascii="Times New Roman" w:hAnsi="Times New Roman" w:eastAsia="宋体" w:cs="Times New Roman"/>
                <w:color w:val="auto"/>
                <w:sz w:val="24"/>
                <w:szCs w:val="24"/>
                <w:lang w:val="en-US" w:eastAsia="zh-CN"/>
              </w:rPr>
              <w:t>通过理论计算，同时结合垃圾场实际情况，填埋垃圾压实后的量与填埋覆土量比例约为5：1，现存垃圾量41万m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，则所需覆土量8.2万m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，目前所占库容49.2万m</w:t>
            </w:r>
            <w:r>
              <w:rPr>
                <w:rFonts w:hint="default"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根据</w:t>
            </w:r>
            <w:r>
              <w:rPr>
                <w:rFonts w:hint="eastAsia" w:cs="Times New Roman"/>
                <w:color w:val="auto"/>
                <w:sz w:val="24"/>
                <w:szCs w:val="24"/>
                <w:lang w:val="en-US" w:eastAsia="zh-CN"/>
              </w:rPr>
              <w:t>项目环评报告查得场地垃圾</w:t>
            </w:r>
            <w:r>
              <w:rPr>
                <w:rFonts w:hint="default" w:ascii="Times New Roman" w:hAnsi="Times New Roman" w:eastAsia="宋体" w:cs="Times New Roman"/>
                <w:color w:val="auto"/>
                <w:sz w:val="24"/>
                <w:szCs w:val="24"/>
                <w:lang w:val="en-US" w:eastAsia="zh-CN"/>
              </w:rPr>
              <w:t>填埋深度</w:t>
            </w:r>
            <w:r>
              <w:rPr>
                <w:rFonts w:hint="eastAsia" w:cs="Times New Roman"/>
                <w:color w:val="auto"/>
                <w:sz w:val="24"/>
                <w:szCs w:val="24"/>
                <w:lang w:val="en-US" w:eastAsia="zh-CN"/>
              </w:rPr>
              <w:t>为</w:t>
            </w:r>
            <w:r>
              <w:rPr>
                <w:rFonts w:hint="default" w:ascii="Times New Roman" w:hAnsi="Times New Roman" w:eastAsia="宋体" w:cs="Times New Roman"/>
                <w:color w:val="auto"/>
                <w:sz w:val="24"/>
                <w:szCs w:val="24"/>
                <w:lang w:val="en-US" w:eastAsia="zh-CN"/>
              </w:rPr>
              <w:t>12m</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则</w:t>
            </w:r>
            <w:r>
              <w:rPr>
                <w:rFonts w:hint="eastAsia" w:cs="Times New Roman"/>
                <w:color w:val="auto"/>
                <w:sz w:val="24"/>
                <w:szCs w:val="24"/>
                <w:lang w:val="en-US" w:eastAsia="zh-CN"/>
              </w:rPr>
              <w:t>计算可得</w:t>
            </w:r>
            <w:r>
              <w:rPr>
                <w:rFonts w:hint="default" w:ascii="Times New Roman" w:hAnsi="Times New Roman" w:eastAsia="宋体" w:cs="Times New Roman"/>
                <w:color w:val="auto"/>
                <w:sz w:val="24"/>
                <w:szCs w:val="24"/>
                <w:lang w:val="en-US" w:eastAsia="zh-CN"/>
              </w:rPr>
              <w:t>近期填埋场占地面积为4.1万m</w:t>
            </w:r>
            <w:r>
              <w:rPr>
                <w:rFonts w:hint="default" w:ascii="Times New Roman" w:hAnsi="Times New Roman" w:eastAsia="宋体" w:cs="Times New Roman"/>
                <w:color w:val="auto"/>
                <w:sz w:val="24"/>
                <w:szCs w:val="24"/>
                <w:vertAlign w:val="superscript"/>
                <w:lang w:val="en-US" w:eastAsia="zh-CN"/>
              </w:rPr>
              <w:t>2</w:t>
            </w:r>
            <w:r>
              <w:rPr>
                <w:rFonts w:hint="eastAsia" w:cs="Times New Roman"/>
                <w:color w:val="auto"/>
                <w:sz w:val="24"/>
                <w:szCs w:val="24"/>
                <w:lang w:val="en-US" w:eastAsia="zh-CN"/>
              </w:rPr>
              <w:t>。按照</w:t>
            </w:r>
            <w:r>
              <w:rPr>
                <w:rFonts w:hint="eastAsia" w:eastAsia="宋体" w:cs="Times New Roman"/>
                <w:color w:val="auto"/>
                <w:sz w:val="24"/>
                <w:szCs w:val="24"/>
                <w:lang w:val="en-US" w:eastAsia="zh-CN"/>
              </w:rPr>
              <w:t>场地</w:t>
            </w:r>
            <w:r>
              <w:rPr>
                <w:rFonts w:hint="default" w:eastAsia="宋体"/>
                <w:color w:val="auto"/>
                <w:sz w:val="24"/>
                <w:szCs w:val="24"/>
                <w:lang w:val="en-US" w:eastAsia="zh-CN"/>
              </w:rPr>
              <w:t>作业单元</w:t>
            </w:r>
            <w:r>
              <w:rPr>
                <w:rFonts w:hint="eastAsia" w:eastAsia="宋体"/>
                <w:color w:val="auto"/>
                <w:sz w:val="24"/>
                <w:szCs w:val="24"/>
                <w:lang w:val="en-US" w:eastAsia="zh-CN"/>
              </w:rPr>
              <w:t>与</w:t>
            </w:r>
            <w:r>
              <w:rPr>
                <w:rFonts w:hint="default" w:eastAsia="宋体"/>
                <w:color w:val="auto"/>
                <w:sz w:val="24"/>
                <w:szCs w:val="24"/>
                <w:lang w:val="en-US" w:eastAsia="zh-CN"/>
              </w:rPr>
              <w:t>中间覆盖单元</w:t>
            </w:r>
            <w:r>
              <w:rPr>
                <w:rFonts w:hint="eastAsia" w:eastAsia="宋体"/>
                <w:color w:val="auto"/>
                <w:sz w:val="24"/>
                <w:szCs w:val="24"/>
                <w:lang w:val="en-US" w:eastAsia="zh-CN"/>
              </w:rPr>
              <w:t>比例约为1：</w:t>
            </w:r>
            <w:r>
              <w:rPr>
                <w:rFonts w:hint="eastAsia"/>
                <w:color w:val="auto"/>
                <w:sz w:val="24"/>
                <w:szCs w:val="24"/>
                <w:lang w:val="en-US" w:eastAsia="zh-CN"/>
              </w:rPr>
              <w:t>3</w:t>
            </w:r>
            <w:r>
              <w:rPr>
                <w:rFonts w:hint="eastAsia" w:eastAsia="宋体"/>
                <w:color w:val="auto"/>
                <w:sz w:val="24"/>
                <w:szCs w:val="24"/>
                <w:lang w:val="en-US" w:eastAsia="zh-CN"/>
              </w:rPr>
              <w:t>，则作业单元面积</w:t>
            </w:r>
            <w:r>
              <w:rPr>
                <w:rFonts w:hint="eastAsia" w:eastAsia="宋体"/>
                <w:color w:val="auto"/>
                <w:sz w:val="24"/>
                <w:szCs w:val="24"/>
              </w:rPr>
              <w:t>A</w:t>
            </w:r>
            <w:r>
              <w:rPr>
                <w:rFonts w:hint="eastAsia" w:eastAsia="宋体"/>
                <w:color w:val="auto"/>
                <w:sz w:val="24"/>
                <w:szCs w:val="24"/>
                <w:vertAlign w:val="subscript"/>
              </w:rPr>
              <w:t>1</w:t>
            </w:r>
            <w:r>
              <w:rPr>
                <w:rFonts w:hint="eastAsia" w:eastAsia="宋体"/>
                <w:color w:val="auto"/>
                <w:sz w:val="24"/>
                <w:szCs w:val="24"/>
                <w:lang w:val="en-US" w:eastAsia="zh-CN"/>
              </w:rPr>
              <w:t>为10250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eastAsia" w:eastAsia="宋体"/>
                <w:color w:val="auto"/>
                <w:sz w:val="24"/>
                <w:szCs w:val="24"/>
                <w:lang w:val="en-US" w:eastAsia="zh-CN"/>
              </w:rPr>
              <w:t>，</w:t>
            </w:r>
            <w:r>
              <w:rPr>
                <w:rFonts w:hint="default" w:eastAsia="宋体"/>
                <w:color w:val="auto"/>
                <w:sz w:val="24"/>
                <w:szCs w:val="24"/>
                <w:lang w:val="en-US" w:eastAsia="zh-CN"/>
              </w:rPr>
              <w:t>中间覆盖单元</w:t>
            </w:r>
            <w:r>
              <w:rPr>
                <w:rFonts w:hint="eastAsia" w:eastAsia="宋体"/>
                <w:color w:val="auto"/>
                <w:sz w:val="24"/>
                <w:szCs w:val="24"/>
                <w:lang w:val="en-US" w:eastAsia="zh-CN"/>
              </w:rPr>
              <w:t>面积</w:t>
            </w:r>
            <w:r>
              <w:rPr>
                <w:rFonts w:hint="eastAsia" w:eastAsia="宋体"/>
                <w:color w:val="auto"/>
                <w:sz w:val="24"/>
                <w:szCs w:val="24"/>
              </w:rPr>
              <w:t>A</w:t>
            </w:r>
            <w:r>
              <w:rPr>
                <w:rFonts w:hint="eastAsia" w:eastAsia="宋体"/>
                <w:color w:val="auto"/>
                <w:sz w:val="24"/>
                <w:szCs w:val="24"/>
                <w:vertAlign w:val="subscript"/>
              </w:rPr>
              <w:t>2</w:t>
            </w:r>
            <w:r>
              <w:rPr>
                <w:rFonts w:hint="eastAsia" w:eastAsia="宋体"/>
                <w:color w:val="auto"/>
                <w:sz w:val="24"/>
                <w:szCs w:val="24"/>
                <w:lang w:val="en-US" w:eastAsia="zh-CN"/>
              </w:rPr>
              <w:t>为30750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eastAsia" w:eastAsia="宋体" w:cs="Times New Roman"/>
                <w:color w:val="auto"/>
                <w:sz w:val="24"/>
                <w:szCs w:val="24"/>
                <w:vertAlign w:val="baseline"/>
                <w:lang w:val="en-US" w:eastAsia="zh-CN"/>
              </w:rPr>
              <w:t>。</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②根据《生活垃圾卫生填埋处理技术规范》（GB 50869-2013）附录B表中B.0.1，结合同江市实际情况</w:t>
            </w:r>
            <w:r>
              <w:rPr>
                <w:rFonts w:hint="eastAsia" w:ascii="Times New Roman" w:hAnsi="Times New Roman" w:eastAsia="宋体" w:cs="Times New Roman"/>
                <w:color w:val="auto"/>
                <w:sz w:val="24"/>
                <w:szCs w:val="24"/>
                <w:lang w:val="en-US" w:eastAsia="zh-CN"/>
              </w:rPr>
              <w:t>有机物含量≤70%等因素，</w:t>
            </w:r>
            <w:r>
              <w:rPr>
                <w:rFonts w:hint="default" w:ascii="Times New Roman" w:hAnsi="Times New Roman" w:eastAsia="宋体" w:cs="Times New Roman"/>
                <w:color w:val="auto"/>
                <w:sz w:val="24"/>
                <w:szCs w:val="24"/>
                <w:lang w:val="en-US" w:eastAsia="zh-CN"/>
              </w:rPr>
              <w:t>选取渗出系数参数取值</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见表1</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w:t>
            </w:r>
          </w:p>
          <w:p>
            <w:pPr>
              <w:pStyle w:val="136"/>
              <w:rPr>
                <w:rFonts w:hint="default"/>
                <w:color w:val="auto"/>
                <w:lang w:val="en-US" w:eastAsia="zh-CN"/>
              </w:rPr>
            </w:pPr>
          </w:p>
          <w:p>
            <w:pPr>
              <w:pStyle w:val="136"/>
              <w:keepNext w:val="0"/>
              <w:keepLines w:val="0"/>
              <w:pageBreakBefore w:val="0"/>
              <w:widowControl w:val="0"/>
              <w:kinsoku/>
              <w:wordWrap/>
              <w:overflowPunct/>
              <w:topLinePunct w:val="0"/>
              <w:autoSpaceDE/>
              <w:autoSpaceDN/>
              <w:bidi w:val="0"/>
              <w:adjustRightInd/>
              <w:snapToGrid w:val="0"/>
              <w:spacing w:before="157" w:beforeLines="50" w:line="360" w:lineRule="auto"/>
              <w:jc w:val="center"/>
              <w:textAlignment w:val="baseline"/>
              <w:rPr>
                <w:rFonts w:hint="default"/>
                <w:b/>
                <w:bCs/>
                <w:color w:val="auto"/>
                <w:lang w:val="en-US" w:eastAsia="zh-CN"/>
              </w:rPr>
            </w:pPr>
            <w:r>
              <w:rPr>
                <w:rFonts w:hint="eastAsia"/>
                <w:b/>
                <w:bCs/>
                <w:color w:val="auto"/>
                <w:sz w:val="24"/>
                <w:szCs w:val="24"/>
                <w:lang w:val="en-US" w:eastAsia="zh-CN"/>
              </w:rPr>
              <w:t>表1-8 渗出系数法部分参数取值</w:t>
            </w:r>
          </w:p>
          <w:tbl>
            <w:tblPr>
              <w:tblStyle w:val="33"/>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60"/>
              <w:gridCol w:w="260"/>
              <w:gridCol w:w="381"/>
              <w:gridCol w:w="78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43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序号</w:t>
                  </w:r>
                </w:p>
              </w:tc>
              <w:tc>
                <w:tcPr>
                  <w:tcW w:w="36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参数</w:t>
                  </w:r>
                </w:p>
              </w:tc>
              <w:tc>
                <w:tcPr>
                  <w:tcW w:w="696"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取值</w:t>
                  </w:r>
                </w:p>
              </w:tc>
              <w:tc>
                <w:tcPr>
                  <w:tcW w:w="3502"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参数取值依据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43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36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2"/>
                      <w:sz w:val="21"/>
                      <w:szCs w:val="21"/>
                      <w:u w:val="none"/>
                      <w:lang w:val="en-US" w:eastAsia="zh-CN" w:bidi="ar-SA"/>
                    </w:rPr>
                    <w:t>I</w:t>
                  </w:r>
                </w:p>
              </w:tc>
              <w:tc>
                <w:tcPr>
                  <w:tcW w:w="696"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color w:val="auto"/>
                      <w:sz w:val="21"/>
                      <w:szCs w:val="21"/>
                      <w:lang w:val="en-US" w:eastAsia="zh-CN"/>
                    </w:rPr>
                    <w:t>600mm</w:t>
                  </w:r>
                </w:p>
              </w:tc>
              <w:tc>
                <w:tcPr>
                  <w:tcW w:w="3502"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根据气象资料，查得同江多年平均降</w:t>
                  </w:r>
                  <w:r>
                    <w:rPr>
                      <w:rFonts w:hint="eastAsia" w:eastAsia="宋体" w:cs="Times New Roman"/>
                      <w:i w:val="0"/>
                      <w:color w:val="auto"/>
                      <w:kern w:val="0"/>
                      <w:sz w:val="21"/>
                      <w:szCs w:val="21"/>
                      <w:u w:val="none"/>
                      <w:lang w:val="en-US" w:eastAsia="zh-CN" w:bidi="ar"/>
                    </w:rPr>
                    <w:t>水</w:t>
                  </w:r>
                  <w:r>
                    <w:rPr>
                      <w:rFonts w:hint="default" w:ascii="Times New Roman" w:hAnsi="Times New Roman" w:eastAsia="宋体" w:cs="Times New Roman"/>
                      <w:i w:val="0"/>
                      <w:color w:val="auto"/>
                      <w:kern w:val="0"/>
                      <w:sz w:val="21"/>
                      <w:szCs w:val="21"/>
                      <w:u w:val="none"/>
                      <w:lang w:val="en-US" w:eastAsia="zh-CN" w:bidi="ar"/>
                    </w:rPr>
                    <w:t>量</w:t>
                  </w:r>
                  <w:r>
                    <w:rPr>
                      <w:rFonts w:hint="eastAsia" w:eastAsia="宋体" w:cs="Times New Roman"/>
                      <w:i w:val="0"/>
                      <w:color w:val="auto"/>
                      <w:kern w:val="0"/>
                      <w:sz w:val="21"/>
                      <w:szCs w:val="21"/>
                      <w:u w:val="none"/>
                      <w:lang w:val="en-US" w:eastAsia="zh-CN" w:bidi="ar"/>
                    </w:rPr>
                    <w:t>为600mm</w:t>
                  </w:r>
                  <w:r>
                    <w:rPr>
                      <w:rFonts w:hint="default" w:ascii="Times New Roman" w:hAnsi="Times New Roman" w:eastAsia="宋体" w:cs="Times New Roman"/>
                      <w:i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43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c>
                <w:tcPr>
                  <w:tcW w:w="36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color w:val="auto"/>
                      <w:sz w:val="21"/>
                      <w:szCs w:val="21"/>
                      <w:lang w:val="en-US" w:eastAsia="zh-CN"/>
                    </w:rPr>
                    <w:t>C</w:t>
                  </w:r>
                  <w:r>
                    <w:rPr>
                      <w:rFonts w:hint="default" w:ascii="Times New Roman" w:hAnsi="Times New Roman" w:eastAsia="宋体" w:cs="Times New Roman"/>
                      <w:color w:val="auto"/>
                      <w:sz w:val="21"/>
                      <w:szCs w:val="21"/>
                      <w:vertAlign w:val="subscript"/>
                      <w:lang w:val="en-US" w:eastAsia="zh-CN"/>
                    </w:rPr>
                    <w:t>1</w:t>
                  </w:r>
                </w:p>
              </w:tc>
              <w:tc>
                <w:tcPr>
                  <w:tcW w:w="696"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color w:val="auto"/>
                      <w:sz w:val="21"/>
                      <w:szCs w:val="21"/>
                      <w:lang w:val="en-US" w:eastAsia="zh-CN"/>
                    </w:rPr>
                    <w:t>0.7</w:t>
                  </w:r>
                </w:p>
              </w:tc>
              <w:tc>
                <w:tcPr>
                  <w:tcW w:w="3502"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C</w:t>
                  </w:r>
                  <w:r>
                    <w:rPr>
                      <w:rFonts w:hint="default" w:ascii="Times New Roman" w:hAnsi="Times New Roman" w:eastAsia="宋体" w:cs="Times New Roman"/>
                      <w:color w:val="auto"/>
                      <w:sz w:val="21"/>
                      <w:szCs w:val="21"/>
                      <w:vertAlign w:val="subscript"/>
                      <w:lang w:val="en-US" w:eastAsia="zh-CN"/>
                    </w:rPr>
                    <w:t>1</w:t>
                  </w:r>
                  <w:r>
                    <w:rPr>
                      <w:rFonts w:hint="default" w:ascii="Times New Roman" w:hAnsi="Times New Roman" w:eastAsia="宋体" w:cs="Times New Roman"/>
                      <w:color w:val="auto"/>
                      <w:sz w:val="21"/>
                      <w:szCs w:val="21"/>
                    </w:rPr>
                    <w:t>取</w:t>
                  </w:r>
                  <w:r>
                    <w:rPr>
                      <w:rFonts w:hint="default" w:ascii="Times New Roman" w:hAnsi="Times New Roman" w:eastAsia="宋体" w:cs="Times New Roman"/>
                      <w:color w:val="auto"/>
                      <w:sz w:val="21"/>
                      <w:szCs w:val="21"/>
                      <w:lang w:val="en-US" w:eastAsia="zh-CN"/>
                    </w:rPr>
                    <w:t>值范围为</w:t>
                  </w:r>
                  <w:r>
                    <w:rPr>
                      <w:rFonts w:hint="default" w:ascii="Times New Roman" w:hAnsi="Times New Roman" w:eastAsia="宋体" w:cs="Times New Roman"/>
                      <w:color w:val="auto"/>
                      <w:sz w:val="21"/>
                      <w:szCs w:val="21"/>
                    </w:rPr>
                    <w:t>0.5~0.</w:t>
                  </w:r>
                  <w:r>
                    <w:rPr>
                      <w:rFonts w:hint="default" w:ascii="Times New Roman" w:hAnsi="Times New Roman" w:eastAsia="宋体" w:cs="Times New Roman"/>
                      <w:color w:val="auto"/>
                      <w:sz w:val="21"/>
                      <w:szCs w:val="21"/>
                      <w:lang w:val="en-US" w:eastAsia="zh-CN"/>
                    </w:rPr>
                    <w:t>7，由于该填埋场所处地区气候干旱、进场生活垃圾中有机物含量低、生活垃圾降解程度低及埋深小时，C</w:t>
                  </w:r>
                  <w:r>
                    <w:rPr>
                      <w:rFonts w:hint="default" w:ascii="Times New Roman" w:hAnsi="Times New Roman" w:eastAsia="宋体" w:cs="Times New Roman"/>
                      <w:color w:val="auto"/>
                      <w:sz w:val="21"/>
                      <w:szCs w:val="21"/>
                      <w:vertAlign w:val="subscript"/>
                      <w:lang w:val="en-US" w:eastAsia="zh-CN"/>
                    </w:rPr>
                    <w:t>1</w:t>
                  </w:r>
                  <w:r>
                    <w:rPr>
                      <w:rFonts w:hint="default" w:ascii="Times New Roman" w:hAnsi="Times New Roman" w:eastAsia="宋体" w:cs="Times New Roman"/>
                      <w:color w:val="auto"/>
                      <w:sz w:val="21"/>
                      <w:szCs w:val="21"/>
                      <w:lang w:val="en-US" w:eastAsia="zh-CN"/>
                    </w:rPr>
                    <w:t>宜取高值，故取0.7</w:t>
                  </w: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43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w:t>
                  </w:r>
                </w:p>
              </w:tc>
              <w:tc>
                <w:tcPr>
                  <w:tcW w:w="36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rPr>
                    <w:t>2</w:t>
                  </w:r>
                </w:p>
              </w:tc>
              <w:tc>
                <w:tcPr>
                  <w:tcW w:w="696"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color w:val="auto"/>
                      <w:sz w:val="21"/>
                      <w:szCs w:val="21"/>
                      <w:vertAlign w:val="baseline"/>
                      <w:lang w:val="en-US" w:eastAsia="zh-CN"/>
                    </w:rPr>
                    <w:t>0.28</w:t>
                  </w:r>
                </w:p>
              </w:tc>
              <w:tc>
                <w:tcPr>
                  <w:tcW w:w="3502"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垃圾场采用土覆盖时，C</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宜取（0.4~0.6）C</w:t>
                  </w:r>
                  <w:r>
                    <w:rPr>
                      <w:rFonts w:hint="default" w:ascii="Times New Roman" w:hAnsi="Times New Roman" w:eastAsia="宋体" w:cs="Times New Roman"/>
                      <w:color w:val="auto"/>
                      <w:sz w:val="21"/>
                      <w:szCs w:val="21"/>
                      <w:vertAlign w:val="subscript"/>
                      <w:lang w:val="en-US" w:eastAsia="zh-CN"/>
                    </w:rPr>
                    <w:t>1</w:t>
                  </w:r>
                  <w:r>
                    <w:rPr>
                      <w:rFonts w:hint="default" w:ascii="Times New Roman" w:hAnsi="Times New Roman" w:eastAsia="宋体" w:cs="Times New Roman"/>
                      <w:color w:val="auto"/>
                      <w:sz w:val="21"/>
                      <w:szCs w:val="21"/>
                      <w:lang w:val="en-US" w:eastAsia="zh-CN"/>
                    </w:rPr>
                    <w:t>，且覆盖材料渗透系数较小、整体密封性好、生活垃圾降解程度低及埋深小时，C</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宜取低值0.4C</w:t>
                  </w:r>
                  <w:r>
                    <w:rPr>
                      <w:rFonts w:hint="default" w:ascii="Times New Roman" w:hAnsi="Times New Roman" w:eastAsia="宋体" w:cs="Times New Roman"/>
                      <w:color w:val="auto"/>
                      <w:sz w:val="21"/>
                      <w:szCs w:val="21"/>
                      <w:vertAlign w:val="subscript"/>
                      <w:lang w:val="en-US" w:eastAsia="zh-CN"/>
                    </w:rPr>
                    <w:t>1</w:t>
                  </w:r>
                  <w:r>
                    <w:rPr>
                      <w:rFonts w:hint="default" w:ascii="Times New Roman" w:hAnsi="Times New Roman" w:eastAsia="宋体" w:cs="Times New Roman"/>
                      <w:color w:val="auto"/>
                      <w:sz w:val="21"/>
                      <w:szCs w:val="21"/>
                      <w:lang w:val="en-US" w:eastAsia="zh-CN"/>
                    </w:rPr>
                    <w:t>，故取0.28</w:t>
                  </w:r>
                  <w:r>
                    <w:rPr>
                      <w:rFonts w:hint="eastAsia"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43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w:t>
                  </w:r>
                </w:p>
              </w:tc>
              <w:tc>
                <w:tcPr>
                  <w:tcW w:w="36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color w:val="auto"/>
                      <w:sz w:val="21"/>
                      <w:szCs w:val="21"/>
                      <w:lang w:val="en-US" w:eastAsia="zh-CN"/>
                    </w:rPr>
                    <w:t>C</w:t>
                  </w:r>
                  <w:r>
                    <w:rPr>
                      <w:rFonts w:hint="default" w:ascii="Times New Roman" w:hAnsi="Times New Roman" w:eastAsia="宋体" w:cs="Times New Roman"/>
                      <w:color w:val="auto"/>
                      <w:sz w:val="21"/>
                      <w:szCs w:val="21"/>
                      <w:vertAlign w:val="subscript"/>
                      <w:lang w:val="en-US" w:eastAsia="zh-CN"/>
                    </w:rPr>
                    <w:t>3</w:t>
                  </w:r>
                </w:p>
              </w:tc>
              <w:tc>
                <w:tcPr>
                  <w:tcW w:w="696"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w:t>
                  </w:r>
                </w:p>
              </w:tc>
              <w:tc>
                <w:tcPr>
                  <w:tcW w:w="3502"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已终场覆盖区浸出系数，宜取0.1</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0.2(若覆盖材料渗透系数较小、整体密封性好、生活垃圾降解程度低及埋深小时宜取下限。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75" w:hRule="atLeast"/>
              </w:trPr>
              <w:tc>
                <w:tcPr>
                  <w:tcW w:w="431"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w:t>
                  </w:r>
                </w:p>
              </w:tc>
              <w:tc>
                <w:tcPr>
                  <w:tcW w:w="369" w:type="pct"/>
                  <w:tcBorders>
                    <w:tl2br w:val="nil"/>
                    <w:tr2bl w:val="nil"/>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color w:val="auto"/>
                      <w:sz w:val="21"/>
                      <w:szCs w:val="21"/>
                      <w:lang w:val="en-US" w:eastAsia="zh-CN"/>
                    </w:rPr>
                    <w:t>C</w:t>
                  </w:r>
                  <w:r>
                    <w:rPr>
                      <w:rFonts w:hint="default" w:ascii="Times New Roman" w:hAnsi="Times New Roman" w:eastAsia="宋体" w:cs="Times New Roman"/>
                      <w:color w:val="auto"/>
                      <w:sz w:val="21"/>
                      <w:szCs w:val="21"/>
                      <w:vertAlign w:val="subscript"/>
                      <w:lang w:val="en-US" w:eastAsia="zh-CN"/>
                    </w:rPr>
                    <w:t>4</w:t>
                  </w:r>
                </w:p>
              </w:tc>
              <w:tc>
                <w:tcPr>
                  <w:tcW w:w="696"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0</w:t>
                  </w:r>
                </w:p>
              </w:tc>
              <w:tc>
                <w:tcPr>
                  <w:tcW w:w="3502" w:type="pct"/>
                  <w:tcBorders>
                    <w:tl2br w:val="nil"/>
                    <w:tr2bl w:val="nil"/>
                  </w:tcBorders>
                  <w:noWrap/>
                  <w:tcMar>
                    <w:top w:w="15" w:type="dxa"/>
                    <w:left w:w="15" w:type="dxa"/>
                    <w:right w:w="15" w:type="dxa"/>
                  </w:tcMar>
                  <w:vAlign w:val="center"/>
                </w:tcPr>
                <w:p>
                  <w:pPr>
                    <w:pStyle w:val="136"/>
                    <w:keepNext w:val="0"/>
                    <w:keepLines w:val="0"/>
                    <w:pageBreakBefore w:val="0"/>
                    <w:kinsoku/>
                    <w:wordWrap/>
                    <w:overflowPunct/>
                    <w:topLinePunct w:val="0"/>
                    <w:autoSpaceDE/>
                    <w:autoSpaceDN/>
                    <w:bidi w:val="0"/>
                    <w:adjustRightInd w:val="0"/>
                    <w:snapToGrid w:val="0"/>
                    <w:spacing w:line="240" w:lineRule="auto"/>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若调节池设置有覆盖系统C</w:t>
                  </w:r>
                  <w:r>
                    <w:rPr>
                      <w:rFonts w:hint="default" w:ascii="Times New Roman" w:hAnsi="Times New Roman" w:eastAsia="宋体" w:cs="Times New Roman"/>
                      <w:color w:val="auto"/>
                      <w:kern w:val="2"/>
                      <w:sz w:val="21"/>
                      <w:szCs w:val="21"/>
                      <w:vertAlign w:val="subscript"/>
                      <w:lang w:val="en-US" w:eastAsia="zh-CN" w:bidi="ar-SA"/>
                    </w:rPr>
                    <w:t>4</w:t>
                  </w:r>
                  <w:r>
                    <w:rPr>
                      <w:rFonts w:hint="default" w:ascii="Times New Roman" w:hAnsi="Times New Roman" w:eastAsia="宋体" w:cs="Times New Roman"/>
                      <w:color w:val="auto"/>
                      <w:kern w:val="2"/>
                      <w:sz w:val="21"/>
                      <w:szCs w:val="21"/>
                      <w:lang w:val="en-US" w:eastAsia="zh-CN" w:bidi="ar-SA"/>
                    </w:rPr>
                    <w:t>取0，若调节池未设置覆盖系统C</w:t>
                  </w:r>
                  <w:r>
                    <w:rPr>
                      <w:rFonts w:hint="default" w:ascii="Times New Roman" w:hAnsi="Times New Roman" w:eastAsia="宋体" w:cs="Times New Roman"/>
                      <w:color w:val="auto"/>
                      <w:kern w:val="2"/>
                      <w:sz w:val="21"/>
                      <w:szCs w:val="21"/>
                      <w:vertAlign w:val="subscript"/>
                      <w:lang w:val="en-US" w:eastAsia="zh-CN" w:bidi="ar-SA"/>
                    </w:rPr>
                    <w:t>4</w:t>
                  </w:r>
                  <w:r>
                    <w:rPr>
                      <w:rFonts w:hint="default" w:ascii="Times New Roman" w:hAnsi="Times New Roman" w:eastAsia="宋体" w:cs="Times New Roman"/>
                      <w:color w:val="auto"/>
                      <w:kern w:val="2"/>
                      <w:sz w:val="21"/>
                      <w:szCs w:val="21"/>
                      <w:lang w:val="en-US" w:eastAsia="zh-CN" w:bidi="ar-SA"/>
                    </w:rPr>
                    <w:t>取1.0，由于该垃圾场调节池设置有覆盖系统，故取0。</w:t>
                  </w:r>
                </w:p>
              </w:tc>
            </w:tr>
          </w:tbl>
          <w:p>
            <w:pPr>
              <w:pStyle w:val="136"/>
              <w:spacing w:line="360" w:lineRule="auto"/>
              <w:ind w:firstLine="480" w:firstLineChars="200"/>
              <w:rPr>
                <w:rFonts w:hint="eastAsia" w:eastAsia="宋体" w:cs="Times New Roman"/>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③</w:t>
            </w:r>
            <w:r>
              <w:rPr>
                <w:rFonts w:hint="eastAsia" w:eastAsia="宋体" w:cs="Times New Roman"/>
                <w:color w:val="auto"/>
                <w:sz w:val="24"/>
                <w:szCs w:val="24"/>
                <w:vertAlign w:val="baseline"/>
                <w:lang w:val="en-US" w:eastAsia="zh-CN"/>
              </w:rPr>
              <w:t>垃圾日处理规模是按照</w:t>
            </w:r>
            <w:r>
              <w:rPr>
                <w:rFonts w:hint="eastAsia" w:cs="Times New Roman"/>
                <w:color w:val="auto"/>
                <w:sz w:val="24"/>
                <w:szCs w:val="24"/>
                <w:vertAlign w:val="baseline"/>
                <w:lang w:val="en-US" w:eastAsia="zh-CN"/>
              </w:rPr>
              <w:t>6</w:t>
            </w:r>
            <w:r>
              <w:rPr>
                <w:rFonts w:hint="eastAsia" w:eastAsia="宋体" w:cs="Times New Roman"/>
                <w:color w:val="auto"/>
                <w:sz w:val="24"/>
                <w:szCs w:val="24"/>
                <w:vertAlign w:val="baseline"/>
                <w:lang w:val="en-US" w:eastAsia="zh-CN"/>
              </w:rPr>
              <w:t>年内现存垃圾量41万</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eastAsia" w:eastAsia="宋体" w:cs="Times New Roman"/>
                <w:color w:val="auto"/>
                <w:sz w:val="24"/>
                <w:szCs w:val="24"/>
                <w:vertAlign w:val="baseline"/>
                <w:lang w:val="en-US" w:eastAsia="zh-CN"/>
              </w:rPr>
              <w:t>计算的平均值。</w:t>
            </w:r>
          </w:p>
          <w:p>
            <w:pPr>
              <w:pStyle w:val="136"/>
              <w:spacing w:line="360" w:lineRule="auto"/>
              <w:ind w:firstLine="480" w:firstLineChars="200"/>
              <w:rPr>
                <w:rFonts w:hint="eastAsia" w:eastAsia="宋体"/>
                <w:color w:val="auto"/>
                <w:sz w:val="24"/>
                <w:szCs w:val="24"/>
                <w:lang w:val="en-US" w:eastAsia="zh-CN"/>
              </w:rPr>
            </w:pPr>
            <w:r>
              <w:rPr>
                <w:rFonts w:hint="eastAsia" w:ascii="宋体" w:hAnsi="宋体" w:eastAsia="宋体" w:cs="宋体"/>
                <w:color w:val="auto"/>
                <w:sz w:val="24"/>
                <w:szCs w:val="24"/>
                <w:lang w:val="en-US" w:eastAsia="zh-CN"/>
              </w:rPr>
              <w:t>④</w:t>
            </w:r>
            <w:r>
              <w:rPr>
                <w:rFonts w:hint="eastAsia" w:eastAsia="宋体"/>
                <w:color w:val="auto"/>
                <w:sz w:val="24"/>
                <w:szCs w:val="24"/>
                <w:lang w:val="en-US" w:eastAsia="zh-CN"/>
              </w:rPr>
              <w:t>根据《生活垃圾卫生填埋场岩土工程技术规范》（</w:t>
            </w:r>
            <w:r>
              <w:rPr>
                <w:rFonts w:hint="default" w:eastAsia="宋体"/>
                <w:color w:val="auto"/>
                <w:sz w:val="24"/>
                <w:szCs w:val="24"/>
                <w:lang w:val="en-US" w:eastAsia="zh-CN"/>
              </w:rPr>
              <w:t>CJJ</w:t>
            </w:r>
            <w:r>
              <w:rPr>
                <w:rFonts w:hint="eastAsia" w:eastAsia="宋体"/>
                <w:color w:val="auto"/>
                <w:sz w:val="24"/>
                <w:szCs w:val="24"/>
                <w:lang w:val="en-US" w:eastAsia="zh-CN"/>
              </w:rPr>
              <w:t xml:space="preserve"> </w:t>
            </w:r>
            <w:r>
              <w:rPr>
                <w:rFonts w:hint="default" w:eastAsia="宋体"/>
                <w:color w:val="auto"/>
                <w:sz w:val="24"/>
                <w:szCs w:val="24"/>
                <w:lang w:val="en-US" w:eastAsia="zh-CN"/>
              </w:rPr>
              <w:t>176-2012</w:t>
            </w:r>
            <w:r>
              <w:rPr>
                <w:rFonts w:hint="eastAsia" w:eastAsia="宋体"/>
                <w:color w:val="auto"/>
                <w:sz w:val="24"/>
                <w:szCs w:val="24"/>
                <w:lang w:val="en-US" w:eastAsia="zh-CN"/>
              </w:rPr>
              <w:t>）表4.2.2，结合场地实际情况，</w:t>
            </w:r>
            <w:r>
              <w:rPr>
                <w:rFonts w:hint="default" w:eastAsia="宋体"/>
                <w:color w:val="auto"/>
                <w:sz w:val="24"/>
                <w:szCs w:val="24"/>
                <w:lang w:val="en-US" w:eastAsia="zh-CN"/>
              </w:rPr>
              <w:t>进场生活垃圾中</w:t>
            </w:r>
            <w:r>
              <w:rPr>
                <w:rFonts w:hint="eastAsia" w:eastAsia="宋体"/>
                <w:color w:val="auto"/>
                <w:sz w:val="24"/>
                <w:szCs w:val="24"/>
                <w:lang w:val="en-US" w:eastAsia="zh-CN"/>
              </w:rPr>
              <w:t>无</w:t>
            </w:r>
            <w:r>
              <w:rPr>
                <w:rFonts w:hint="default" w:eastAsia="宋体"/>
                <w:color w:val="auto"/>
                <w:sz w:val="24"/>
                <w:szCs w:val="24"/>
                <w:lang w:val="en-US" w:eastAsia="zh-CN"/>
              </w:rPr>
              <w:t>机物含量</w:t>
            </w:r>
            <w:r>
              <w:rPr>
                <w:rFonts w:hint="eastAsia" w:eastAsia="宋体"/>
                <w:color w:val="auto"/>
                <w:sz w:val="24"/>
                <w:szCs w:val="24"/>
                <w:lang w:val="en-US" w:eastAsia="zh-CN"/>
              </w:rPr>
              <w:t>≥30%，由表可得垃圾含水率</w:t>
            </w:r>
            <w:r>
              <w:rPr>
                <w:rFonts w:hint="eastAsia" w:eastAsia="宋体"/>
                <w:color w:val="auto"/>
                <w:sz w:val="24"/>
                <w:szCs w:val="24"/>
              </w:rPr>
              <w:t>取</w:t>
            </w:r>
            <w:r>
              <w:rPr>
                <w:rFonts w:hint="eastAsia"/>
                <w:color w:val="auto"/>
                <w:sz w:val="24"/>
                <w:szCs w:val="24"/>
                <w:lang w:val="en-US" w:eastAsia="zh-CN"/>
              </w:rPr>
              <w:t>值范围为</w:t>
            </w:r>
            <w:r>
              <w:rPr>
                <w:rFonts w:hint="eastAsia" w:eastAsia="宋体"/>
                <w:color w:val="auto"/>
                <w:sz w:val="24"/>
                <w:szCs w:val="24"/>
                <w:lang w:val="en-US" w:eastAsia="zh-CN"/>
              </w:rPr>
              <w:t>20-40%，田间持水率</w:t>
            </w:r>
            <w:r>
              <w:rPr>
                <w:rFonts w:hint="eastAsia" w:eastAsia="宋体"/>
                <w:color w:val="auto"/>
                <w:sz w:val="24"/>
                <w:szCs w:val="24"/>
              </w:rPr>
              <w:t>取</w:t>
            </w:r>
            <w:r>
              <w:rPr>
                <w:rFonts w:hint="eastAsia"/>
                <w:color w:val="auto"/>
                <w:sz w:val="24"/>
                <w:szCs w:val="24"/>
                <w:lang w:val="en-US" w:eastAsia="zh-CN"/>
              </w:rPr>
              <w:t>值范围为</w:t>
            </w:r>
            <w:r>
              <w:rPr>
                <w:rFonts w:hint="eastAsia" w:eastAsia="宋体"/>
                <w:color w:val="auto"/>
                <w:sz w:val="24"/>
                <w:szCs w:val="24"/>
                <w:lang w:val="en-US" w:eastAsia="zh-CN"/>
              </w:rPr>
              <w:t>30-45%，由于</w:t>
            </w:r>
            <w:r>
              <w:rPr>
                <w:rFonts w:hint="default" w:eastAsia="宋体"/>
                <w:color w:val="auto"/>
                <w:sz w:val="24"/>
                <w:szCs w:val="24"/>
                <w:lang w:val="en-US" w:eastAsia="zh-CN"/>
              </w:rPr>
              <w:t>所处地区</w:t>
            </w:r>
            <w:r>
              <w:rPr>
                <w:rFonts w:hint="eastAsia" w:eastAsia="宋体"/>
                <w:color w:val="auto"/>
                <w:sz w:val="24"/>
                <w:szCs w:val="24"/>
                <w:lang w:val="en-US" w:eastAsia="zh-CN"/>
              </w:rPr>
              <w:t>降水多，</w:t>
            </w:r>
            <w:r>
              <w:rPr>
                <w:rFonts w:hint="default" w:eastAsia="宋体"/>
                <w:color w:val="auto"/>
                <w:sz w:val="24"/>
                <w:szCs w:val="24"/>
                <w:lang w:val="en-US" w:eastAsia="zh-CN"/>
              </w:rPr>
              <w:t>生活垃圾降解程度</w:t>
            </w:r>
            <w:r>
              <w:rPr>
                <w:rFonts w:hint="eastAsia" w:eastAsia="宋体"/>
                <w:color w:val="auto"/>
                <w:sz w:val="24"/>
                <w:szCs w:val="24"/>
                <w:lang w:val="en-US" w:eastAsia="zh-CN"/>
              </w:rPr>
              <w:t>低</w:t>
            </w:r>
            <w:r>
              <w:rPr>
                <w:rFonts w:hint="default" w:eastAsia="宋体"/>
                <w:color w:val="auto"/>
                <w:sz w:val="24"/>
                <w:szCs w:val="24"/>
                <w:lang w:val="en-US" w:eastAsia="zh-CN"/>
              </w:rPr>
              <w:t>及埋深小</w:t>
            </w:r>
            <w:r>
              <w:rPr>
                <w:rFonts w:hint="eastAsia" w:eastAsia="宋体"/>
                <w:color w:val="auto"/>
                <w:sz w:val="24"/>
                <w:szCs w:val="24"/>
                <w:lang w:val="en-US" w:eastAsia="zh-CN"/>
              </w:rPr>
              <w:t>，故</w:t>
            </w:r>
            <w:r>
              <w:rPr>
                <w:rFonts w:hint="default" w:eastAsia="宋体"/>
                <w:color w:val="auto"/>
                <w:sz w:val="24"/>
                <w:szCs w:val="24"/>
                <w:lang w:val="en-US" w:eastAsia="zh-CN"/>
              </w:rPr>
              <w:t>W</w:t>
            </w:r>
            <w:r>
              <w:rPr>
                <w:rFonts w:hint="eastAsia" w:eastAsia="宋体"/>
                <w:color w:val="auto"/>
                <w:sz w:val="24"/>
                <w:szCs w:val="24"/>
                <w:vertAlign w:val="subscript"/>
                <w:lang w:val="en-US" w:eastAsia="zh-CN"/>
              </w:rPr>
              <w:t>c</w:t>
            </w:r>
            <w:r>
              <w:rPr>
                <w:rFonts w:hint="eastAsia" w:eastAsia="宋体"/>
                <w:color w:val="auto"/>
                <w:sz w:val="24"/>
                <w:szCs w:val="24"/>
                <w:lang w:val="en-US" w:eastAsia="zh-CN"/>
              </w:rPr>
              <w:t>宜选取高值，故取40%，F</w:t>
            </w:r>
            <w:r>
              <w:rPr>
                <w:rFonts w:hint="eastAsia" w:eastAsia="宋体"/>
                <w:color w:val="auto"/>
                <w:sz w:val="24"/>
                <w:szCs w:val="24"/>
                <w:vertAlign w:val="subscript"/>
                <w:lang w:val="en-US" w:eastAsia="zh-CN"/>
              </w:rPr>
              <w:t>c</w:t>
            </w:r>
            <w:r>
              <w:rPr>
                <w:rFonts w:hint="eastAsia" w:eastAsia="宋体"/>
                <w:color w:val="auto"/>
                <w:sz w:val="24"/>
                <w:szCs w:val="24"/>
                <w:lang w:val="en-US" w:eastAsia="zh-CN"/>
              </w:rPr>
              <w:t>宜选取</w:t>
            </w:r>
            <w:r>
              <w:rPr>
                <w:rFonts w:hint="eastAsia"/>
                <w:color w:val="auto"/>
                <w:sz w:val="24"/>
                <w:szCs w:val="24"/>
                <w:lang w:val="en-US" w:eastAsia="zh-CN"/>
              </w:rPr>
              <w:t>较低</w:t>
            </w:r>
            <w:r>
              <w:rPr>
                <w:rFonts w:hint="eastAsia" w:eastAsia="宋体"/>
                <w:color w:val="auto"/>
                <w:sz w:val="24"/>
                <w:szCs w:val="24"/>
                <w:lang w:val="en-US" w:eastAsia="zh-CN"/>
              </w:rPr>
              <w:t>值，故取3</w:t>
            </w:r>
            <w:r>
              <w:rPr>
                <w:rFonts w:hint="eastAsia"/>
                <w:color w:val="auto"/>
                <w:sz w:val="24"/>
                <w:szCs w:val="24"/>
                <w:lang w:val="en-US" w:eastAsia="zh-CN"/>
              </w:rPr>
              <w:t>2</w:t>
            </w:r>
            <w:r>
              <w:rPr>
                <w:rFonts w:hint="eastAsia" w:eastAsia="宋体"/>
                <w:color w:val="auto"/>
                <w:sz w:val="24"/>
                <w:szCs w:val="24"/>
                <w:lang w:val="en-US" w:eastAsia="zh-CN"/>
              </w:rPr>
              <w:t>%。</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垃圾渗沥液的日均产量一般包括降雨入渗量和垃圾本身降解或压缩产生渗沥液量两大部分</w:t>
            </w:r>
            <w:r>
              <w:rPr>
                <w:rFonts w:hint="eastAsia" w:ascii="Times New Roman" w:hAnsi="Times New Roman" w:eastAsia="宋体" w:cs="Times New Roman"/>
                <w:color w:val="auto"/>
                <w:sz w:val="24"/>
                <w:szCs w:val="24"/>
                <w:lang w:val="en-US" w:eastAsia="zh-CN"/>
              </w:rPr>
              <w:t>。根据以上公式计算所得，</w:t>
            </w:r>
            <w:r>
              <w:rPr>
                <w:rStyle w:val="137"/>
                <w:rFonts w:hint="eastAsia" w:eastAsia="宋体"/>
                <w:color w:val="auto"/>
                <w:kern w:val="0"/>
                <w:sz w:val="24"/>
                <w:szCs w:val="24"/>
                <w:lang w:val="en-US" w:eastAsia="zh-CN"/>
              </w:rPr>
              <w:t>场地内现存垃圾渗沥液总量89626</w:t>
            </w:r>
            <w:r>
              <w:rPr>
                <w:rFonts w:hint="default" w:ascii="Times New Roman" w:hAnsi="Times New Roman" w:eastAsia="宋体" w:cs="Times New Roman"/>
                <w:i w:val="0"/>
                <w:color w:val="auto"/>
                <w:kern w:val="0"/>
                <w:sz w:val="24"/>
                <w:szCs w:val="24"/>
                <w:u w:val="none"/>
                <w:lang w:val="en-US" w:eastAsia="zh-CN" w:bidi="ar"/>
              </w:rPr>
              <w:t>m</w:t>
            </w:r>
            <w:r>
              <w:rPr>
                <w:rFonts w:hint="default" w:ascii="Times New Roman" w:hAnsi="Times New Roman" w:eastAsia="宋体" w:cs="Times New Roman"/>
                <w:i w:val="0"/>
                <w:color w:val="auto"/>
                <w:kern w:val="0"/>
                <w:sz w:val="24"/>
                <w:szCs w:val="24"/>
                <w:u w:val="none"/>
                <w:vertAlign w:val="superscript"/>
                <w:lang w:val="en-US" w:eastAsia="zh-CN" w:bidi="ar"/>
              </w:rPr>
              <w:t>3</w:t>
            </w:r>
            <w:r>
              <w:rPr>
                <w:rFonts w:hint="eastAsia" w:eastAsia="宋体" w:cs="Times New Roman"/>
                <w:i w:val="0"/>
                <w:color w:val="auto"/>
                <w:kern w:val="0"/>
                <w:sz w:val="24"/>
                <w:szCs w:val="24"/>
                <w:u w:val="none"/>
                <w:vertAlign w:val="baseline"/>
                <w:lang w:val="en-US" w:eastAsia="zh-CN" w:bidi="ar"/>
              </w:rPr>
              <w:t>。</w:t>
            </w:r>
          </w:p>
          <w:p>
            <w:pPr>
              <w:spacing w:line="360" w:lineRule="auto"/>
              <w:jc w:val="center"/>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w:t>
            </w:r>
            <w:r>
              <w:rPr>
                <w:rFonts w:hint="eastAsia" w:eastAsia="宋体" w:cs="Times New Roman"/>
                <w:b/>
                <w:bCs/>
                <w:color w:val="auto"/>
                <w:sz w:val="24"/>
                <w:szCs w:val="24"/>
                <w:lang w:val="en-US" w:eastAsia="zh-CN"/>
              </w:rPr>
              <w:t>1-9</w:t>
            </w:r>
            <w:r>
              <w:rPr>
                <w:rFonts w:hint="eastAsia" w:ascii="Times New Roman" w:hAnsi="Times New Roman" w:eastAsia="宋体" w:cs="Times New Roman"/>
                <w:b/>
                <w:bCs/>
                <w:color w:val="auto"/>
                <w:sz w:val="24"/>
                <w:szCs w:val="24"/>
                <w:lang w:val="en-US" w:eastAsia="zh-CN"/>
              </w:rPr>
              <w:t xml:space="preserve"> 现存渗沥液产量计算表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59"/>
              <w:gridCol w:w="4996"/>
              <w:gridCol w:w="23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779" w:type="pct"/>
                  <w:tcBorders>
                    <w:tl2br w:val="nil"/>
                    <w:tr2bl w:val="nil"/>
                  </w:tcBorders>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序号</w:t>
                  </w:r>
                </w:p>
              </w:tc>
              <w:tc>
                <w:tcPr>
                  <w:tcW w:w="2862" w:type="pct"/>
                  <w:tcBorders>
                    <w:tl2br w:val="nil"/>
                    <w:tr2bl w:val="nil"/>
                  </w:tcBorders>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项目名称</w:t>
                  </w:r>
                </w:p>
              </w:tc>
              <w:tc>
                <w:tcPr>
                  <w:tcW w:w="1358" w:type="pct"/>
                  <w:tcBorders>
                    <w:tl2br w:val="nil"/>
                    <w:tr2bl w:val="nil"/>
                  </w:tcBorders>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渗沥液产量（</w:t>
                  </w:r>
                  <w:r>
                    <w:rPr>
                      <w:rFonts w:hint="default" w:ascii="Times New Roman" w:hAnsi="Times New Roman" w:eastAsia="宋体" w:cs="Times New Roman"/>
                      <w:i w:val="0"/>
                      <w:color w:val="auto"/>
                      <w:kern w:val="0"/>
                      <w:sz w:val="21"/>
                      <w:szCs w:val="21"/>
                      <w:u w:val="none"/>
                      <w:lang w:val="en-US" w:eastAsia="zh-CN" w:bidi="ar"/>
                    </w:rPr>
                    <w:t>m</w:t>
                  </w:r>
                  <w:r>
                    <w:rPr>
                      <w:rFonts w:hint="default" w:ascii="Times New Roman" w:hAnsi="Times New Roman" w:eastAsia="宋体" w:cs="Times New Roman"/>
                      <w:i w:val="0"/>
                      <w:color w:val="auto"/>
                      <w:kern w:val="0"/>
                      <w:sz w:val="21"/>
                      <w:szCs w:val="21"/>
                      <w:u w:val="none"/>
                      <w:vertAlign w:val="superscript"/>
                      <w:lang w:val="en-US" w:eastAsia="zh-CN" w:bidi="ar"/>
                    </w:rPr>
                    <w:t>3</w:t>
                  </w:r>
                  <w:r>
                    <w:rPr>
                      <w:rFonts w:hint="eastAsia" w:eastAsia="宋体" w:cs="Times New Roman"/>
                      <w:i w:val="0"/>
                      <w:color w:val="auto"/>
                      <w:kern w:val="0"/>
                      <w:sz w:val="21"/>
                      <w:szCs w:val="21"/>
                      <w:u w:val="none"/>
                      <w:vertAlign w:val="baseline"/>
                      <w:lang w:val="en-US" w:eastAsia="zh-CN" w:bidi="ar"/>
                    </w:rPr>
                    <w:t>/a</w:t>
                  </w:r>
                  <w:r>
                    <w:rPr>
                      <w:rFonts w:hint="eastAsia" w:eastAsia="宋体" w:cs="Times New Roman"/>
                      <w:i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779" w:type="pct"/>
                  <w:tcBorders>
                    <w:tl2br w:val="nil"/>
                    <w:tr2bl w:val="nil"/>
                  </w:tcBorders>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w:t>
                  </w:r>
                </w:p>
              </w:tc>
              <w:tc>
                <w:tcPr>
                  <w:tcW w:w="2862" w:type="pct"/>
                  <w:tcBorders>
                    <w:tl2br w:val="nil"/>
                    <w:tr2bl w:val="nil"/>
                  </w:tcBorders>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Q</w:t>
                  </w:r>
                  <w:r>
                    <w:rPr>
                      <w:rFonts w:hint="default" w:ascii="Times New Roman" w:hAnsi="Times New Roman" w:eastAsia="宋体" w:cs="Times New Roman"/>
                      <w:i w:val="0"/>
                      <w:color w:val="auto"/>
                      <w:kern w:val="0"/>
                      <w:sz w:val="21"/>
                      <w:szCs w:val="21"/>
                      <w:u w:val="none"/>
                      <w:vertAlign w:val="subscript"/>
                      <w:lang w:val="en-US" w:eastAsia="zh-CN" w:bidi="ar"/>
                    </w:rPr>
                    <w:t>降水</w:t>
                  </w:r>
                </w:p>
              </w:tc>
              <w:tc>
                <w:tcPr>
                  <w:tcW w:w="1358"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9471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779" w:type="pct"/>
                  <w:tcBorders>
                    <w:tl2br w:val="nil"/>
                    <w:tr2bl w:val="nil"/>
                  </w:tcBorders>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w:t>
                  </w:r>
                </w:p>
              </w:tc>
              <w:tc>
                <w:tcPr>
                  <w:tcW w:w="2862" w:type="pct"/>
                  <w:tcBorders>
                    <w:tl2br w:val="nil"/>
                    <w:tr2bl w:val="nil"/>
                  </w:tcBorders>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Q</w:t>
                  </w:r>
                  <w:r>
                    <w:rPr>
                      <w:rFonts w:hint="default" w:ascii="Times New Roman" w:hAnsi="Times New Roman" w:eastAsia="宋体" w:cs="Times New Roman"/>
                      <w:i w:val="0"/>
                      <w:color w:val="auto"/>
                      <w:kern w:val="0"/>
                      <w:sz w:val="21"/>
                      <w:szCs w:val="21"/>
                      <w:u w:val="none"/>
                      <w:vertAlign w:val="subscript"/>
                      <w:lang w:val="en-US" w:eastAsia="zh-CN" w:bidi="ar"/>
                    </w:rPr>
                    <w:t>降解或压缩</w:t>
                  </w:r>
                </w:p>
              </w:tc>
              <w:tc>
                <w:tcPr>
                  <w:tcW w:w="1358"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6560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779" w:type="pct"/>
                  <w:tcBorders>
                    <w:tl2br w:val="nil"/>
                    <w:tr2bl w:val="nil"/>
                  </w:tcBorders>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w:t>
                  </w:r>
                </w:p>
              </w:tc>
              <w:tc>
                <w:tcPr>
                  <w:tcW w:w="2862" w:type="pct"/>
                  <w:tcBorders>
                    <w:tl2br w:val="nil"/>
                    <w:tr2bl w:val="nil"/>
                  </w:tcBorders>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Q</w:t>
                  </w:r>
                  <w:r>
                    <w:rPr>
                      <w:rFonts w:hint="eastAsia" w:ascii="Times New Roman" w:hAnsi="Times New Roman" w:eastAsia="宋体" w:cs="Times New Roman"/>
                      <w:i w:val="0"/>
                      <w:color w:val="auto"/>
                      <w:kern w:val="0"/>
                      <w:sz w:val="21"/>
                      <w:szCs w:val="21"/>
                      <w:u w:val="none"/>
                      <w:vertAlign w:val="subscript"/>
                      <w:lang w:val="en-US" w:eastAsia="zh-CN" w:bidi="ar"/>
                    </w:rPr>
                    <w:t>每年</w:t>
                  </w:r>
                  <w:r>
                    <w:rPr>
                      <w:rFonts w:hint="default" w:ascii="Times New Roman" w:hAnsi="Times New Roman" w:eastAsia="宋体" w:cs="Times New Roman"/>
                      <w:i w:val="0"/>
                      <w:color w:val="auto"/>
                      <w:kern w:val="0"/>
                      <w:sz w:val="21"/>
                      <w:szCs w:val="21"/>
                      <w:u w:val="none"/>
                      <w:vertAlign w:val="subscript"/>
                      <w:lang w:val="en-US" w:eastAsia="zh-CN" w:bidi="ar"/>
                    </w:rPr>
                    <w:t>渗沥液</w:t>
                  </w:r>
                  <w:r>
                    <w:rPr>
                      <w:rFonts w:hint="eastAsia" w:ascii="Times New Roman" w:hAnsi="Times New Roman" w:eastAsia="宋体" w:cs="Times New Roman"/>
                      <w:i w:val="0"/>
                      <w:color w:val="auto"/>
                      <w:kern w:val="0"/>
                      <w:sz w:val="21"/>
                      <w:szCs w:val="21"/>
                      <w:u w:val="none"/>
                      <w:vertAlign w:val="subscript"/>
                      <w:lang w:val="en-US" w:eastAsia="zh-CN" w:bidi="ar"/>
                    </w:rPr>
                    <w:t>产量</w:t>
                  </w:r>
                </w:p>
              </w:tc>
              <w:tc>
                <w:tcPr>
                  <w:tcW w:w="1358"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16031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779" w:type="pct"/>
                  <w:tcBorders>
                    <w:tl2br w:val="nil"/>
                    <w:tr2bl w:val="nil"/>
                  </w:tcBorders>
                  <w:noWrap/>
                  <w:tcMar>
                    <w:top w:w="15" w:type="dxa"/>
                    <w:left w:w="15" w:type="dxa"/>
                    <w:right w:w="15" w:type="dxa"/>
                  </w:tcMar>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4</w:t>
                  </w:r>
                </w:p>
              </w:tc>
              <w:tc>
                <w:tcPr>
                  <w:tcW w:w="2862" w:type="pct"/>
                  <w:tcBorders>
                    <w:tl2br w:val="nil"/>
                    <w:tr2bl w:val="nil"/>
                  </w:tcBorders>
                  <w:noWrap/>
                  <w:tcMar>
                    <w:top w:w="15" w:type="dxa"/>
                    <w:left w:w="15" w:type="dxa"/>
                    <w:right w:w="15" w:type="dxa"/>
                  </w:tcMar>
                  <w:vAlign w:val="center"/>
                </w:tcPr>
                <w:p>
                  <w:pPr>
                    <w:spacing w:line="360" w:lineRule="auto"/>
                    <w:jc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Q</w:t>
                  </w:r>
                  <w:r>
                    <w:rPr>
                      <w:rFonts w:hint="eastAsia" w:ascii="Times New Roman" w:hAnsi="Times New Roman" w:eastAsia="宋体" w:cs="Times New Roman"/>
                      <w:i w:val="0"/>
                      <w:color w:val="auto"/>
                      <w:kern w:val="0"/>
                      <w:sz w:val="21"/>
                      <w:szCs w:val="21"/>
                      <w:u w:val="none"/>
                      <w:vertAlign w:val="subscript"/>
                      <w:lang w:val="en-US" w:eastAsia="zh-CN" w:bidi="ar"/>
                    </w:rPr>
                    <w:t>现存</w:t>
                  </w:r>
                  <w:r>
                    <w:rPr>
                      <w:rFonts w:hint="default" w:ascii="Times New Roman" w:hAnsi="Times New Roman" w:eastAsia="宋体" w:cs="Times New Roman"/>
                      <w:i w:val="0"/>
                      <w:color w:val="auto"/>
                      <w:kern w:val="0"/>
                      <w:sz w:val="21"/>
                      <w:szCs w:val="21"/>
                      <w:u w:val="none"/>
                      <w:vertAlign w:val="subscript"/>
                      <w:lang w:val="en-US" w:eastAsia="zh-CN" w:bidi="ar"/>
                    </w:rPr>
                    <w:t>渗沥液</w:t>
                  </w:r>
                  <w:r>
                    <w:rPr>
                      <w:rFonts w:hint="eastAsia" w:ascii="Times New Roman" w:hAnsi="Times New Roman" w:eastAsia="宋体" w:cs="Times New Roman"/>
                      <w:i w:val="0"/>
                      <w:color w:val="auto"/>
                      <w:kern w:val="0"/>
                      <w:sz w:val="21"/>
                      <w:szCs w:val="21"/>
                      <w:u w:val="none"/>
                      <w:vertAlign w:val="subscript"/>
                      <w:lang w:val="en-US" w:eastAsia="zh-CN" w:bidi="ar"/>
                    </w:rPr>
                    <w:t>总量</w:t>
                  </w:r>
                </w:p>
              </w:tc>
              <w:tc>
                <w:tcPr>
                  <w:tcW w:w="1358"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89626</w:t>
                  </w:r>
                </w:p>
              </w:tc>
            </w:tr>
          </w:tbl>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480" w:firstLineChars="200"/>
              <w:jc w:val="both"/>
              <w:textAlignment w:val="auto"/>
              <w:rPr>
                <w:rStyle w:val="137"/>
                <w:rFonts w:hint="default" w:ascii="Times New Roman" w:hAnsi="Times New Roman" w:eastAsia="宋体" w:cs="Times New Roman"/>
                <w:color w:val="auto"/>
                <w:kern w:val="0"/>
                <w:sz w:val="24"/>
                <w:szCs w:val="24"/>
                <w:lang w:val="en-US" w:eastAsia="zh-CN"/>
              </w:rPr>
            </w:pPr>
            <w:r>
              <w:rPr>
                <w:rStyle w:val="137"/>
                <w:rFonts w:hint="default" w:ascii="Times New Roman" w:hAnsi="Times New Roman" w:eastAsia="宋体" w:cs="Times New Roman"/>
                <w:color w:val="auto"/>
                <w:kern w:val="0"/>
                <w:sz w:val="24"/>
                <w:szCs w:val="24"/>
                <w:lang w:val="en-US" w:eastAsia="zh-CN"/>
              </w:rPr>
              <w:t>新增渗沥液（增量）</w:t>
            </w:r>
          </w:p>
          <w:p>
            <w:pPr>
              <w:keepNext w:val="0"/>
              <w:keepLines w:val="0"/>
              <w:pageBreakBefore w:val="0"/>
              <w:widowControl/>
              <w:suppressLineNumbers w:val="0"/>
              <w:kinsoku/>
              <w:wordWrap w:val="0"/>
              <w:overflowPunct/>
              <w:topLinePunct w:val="0"/>
              <w:autoSpaceDE/>
              <w:autoSpaceDN/>
              <w:bidi w:val="0"/>
              <w:adjustRightInd/>
              <w:snapToGrid w:val="0"/>
              <w:spacing w:line="360" w:lineRule="auto"/>
              <w:ind w:firstLine="480" w:firstLineChars="200"/>
              <w:jc w:val="both"/>
              <w:textAlignment w:val="auto"/>
              <w:rPr>
                <w:rFonts w:hint="default"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填埋场仍在继续运行，渗沥液产生机理包括雨水及垃圾含水转化量两类，作业区面积为37651m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vertAlign w:val="baseline"/>
                <w:lang w:val="en-US" w:eastAsia="zh-CN"/>
              </w:rPr>
              <w:t>，</w:t>
            </w:r>
            <w:r>
              <w:rPr>
                <w:rFonts w:hint="eastAsia" w:eastAsia="宋体" w:cs="Times New Roman"/>
                <w:color w:val="auto"/>
                <w:sz w:val="24"/>
                <w:szCs w:val="24"/>
                <w:vertAlign w:val="baseline"/>
                <w:lang w:val="en-US" w:eastAsia="zh-CN"/>
              </w:rPr>
              <w:t>由于后期要做雨污分流措施，雨水与垃圾接触面积较未做措施之前有所减少，</w:t>
            </w:r>
            <w:r>
              <w:rPr>
                <w:rFonts w:hint="default" w:ascii="Times New Roman" w:hAnsi="Times New Roman" w:eastAsia="宋体" w:cs="Times New Roman"/>
                <w:color w:val="auto"/>
                <w:kern w:val="0"/>
                <w:sz w:val="24"/>
                <w:szCs w:val="24"/>
                <w:lang w:val="en-US" w:eastAsia="zh-CN" w:bidi="ar"/>
              </w:rPr>
              <w:t>渗出系数</w:t>
            </w:r>
            <w:r>
              <w:rPr>
                <w:rFonts w:hint="eastAsia" w:eastAsia="宋体" w:cs="Times New Roman"/>
                <w:color w:val="auto"/>
                <w:kern w:val="0"/>
                <w:sz w:val="24"/>
                <w:szCs w:val="24"/>
                <w:lang w:val="en-US" w:eastAsia="zh-CN" w:bidi="ar"/>
              </w:rPr>
              <w:t>应</w:t>
            </w:r>
            <w:r>
              <w:rPr>
                <w:rFonts w:hint="default" w:ascii="Times New Roman" w:hAnsi="Times New Roman" w:eastAsia="宋体" w:cs="Times New Roman"/>
                <w:color w:val="auto"/>
                <w:kern w:val="0"/>
                <w:sz w:val="24"/>
                <w:szCs w:val="24"/>
                <w:lang w:val="en-US" w:eastAsia="zh-CN" w:bidi="ar"/>
              </w:rPr>
              <w:t>取</w:t>
            </w:r>
            <w:r>
              <w:rPr>
                <w:rFonts w:hint="eastAsia" w:eastAsia="宋体" w:cs="Times New Roman"/>
                <w:color w:val="auto"/>
                <w:kern w:val="0"/>
                <w:sz w:val="24"/>
                <w:szCs w:val="24"/>
                <w:lang w:val="en-US" w:eastAsia="zh-CN" w:bidi="ar"/>
              </w:rPr>
              <w:t>低</w:t>
            </w:r>
            <w:r>
              <w:rPr>
                <w:rFonts w:hint="default" w:ascii="Times New Roman" w:hAnsi="Times New Roman" w:eastAsia="宋体" w:cs="Times New Roman"/>
                <w:color w:val="auto"/>
                <w:kern w:val="0"/>
                <w:sz w:val="24"/>
                <w:szCs w:val="24"/>
                <w:lang w:val="en-US" w:eastAsia="zh-CN" w:bidi="ar"/>
              </w:rPr>
              <w:t>值</w:t>
            </w:r>
            <w:r>
              <w:rPr>
                <w:rFonts w:hint="eastAsia" w:eastAsia="宋体" w:cs="Times New Roman"/>
                <w:color w:val="auto"/>
                <w:kern w:val="0"/>
                <w:sz w:val="24"/>
                <w:szCs w:val="24"/>
                <w:lang w:val="en-US" w:eastAsia="zh-CN" w:bidi="ar"/>
              </w:rPr>
              <w:t>，</w:t>
            </w:r>
            <w:r>
              <w:rPr>
                <w:rFonts w:hint="eastAsia" w:eastAsia="宋体" w:cs="Times New Roman"/>
                <w:color w:val="auto"/>
                <w:sz w:val="24"/>
                <w:szCs w:val="24"/>
                <w:vertAlign w:val="baseline"/>
                <w:lang w:val="en-US" w:eastAsia="zh-CN"/>
              </w:rPr>
              <w:t>故</w:t>
            </w:r>
            <w:r>
              <w:rPr>
                <w:rFonts w:hint="eastAsia" w:eastAsia="宋体" w:cs="Times New Roman"/>
                <w:color w:val="auto"/>
                <w:kern w:val="0"/>
                <w:sz w:val="24"/>
                <w:szCs w:val="24"/>
                <w:lang w:val="en-US" w:eastAsia="zh-CN" w:bidi="ar"/>
              </w:rPr>
              <w:t>取</w:t>
            </w:r>
            <w:r>
              <w:rPr>
                <w:rFonts w:hint="default" w:ascii="Times New Roman" w:hAnsi="Times New Roman" w:eastAsia="宋体" w:cs="Times New Roman"/>
                <w:color w:val="auto"/>
                <w:kern w:val="0"/>
                <w:sz w:val="24"/>
                <w:szCs w:val="24"/>
                <w:lang w:val="en-US" w:eastAsia="zh-CN" w:bidi="ar"/>
              </w:rPr>
              <w:t>0.</w:t>
            </w:r>
            <w:r>
              <w:rPr>
                <w:rFonts w:hint="eastAsia" w:eastAsia="宋体" w:cs="Times New Roman"/>
                <w:color w:val="auto"/>
                <w:kern w:val="0"/>
                <w:sz w:val="24"/>
                <w:szCs w:val="24"/>
                <w:lang w:val="en-US" w:eastAsia="zh-CN" w:bidi="ar"/>
              </w:rPr>
              <w:t>5</w:t>
            </w:r>
            <w:r>
              <w:rPr>
                <w:rFonts w:hint="default" w:ascii="Times New Roman" w:hAnsi="Times New Roman" w:eastAsia="宋体" w:cs="Times New Roman"/>
                <w:color w:val="auto"/>
                <w:sz w:val="24"/>
                <w:szCs w:val="24"/>
                <w:vertAlign w:val="baseline"/>
                <w:lang w:val="en-US" w:eastAsia="zh-CN"/>
              </w:rPr>
              <w:t>，中间覆盖面积41000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color w:val="auto"/>
                <w:kern w:val="0"/>
                <w:sz w:val="24"/>
                <w:szCs w:val="24"/>
                <w:lang w:val="en-US" w:eastAsia="zh-CN" w:bidi="ar"/>
              </w:rPr>
              <w:t>渗出系数取值为0.</w:t>
            </w:r>
            <w:r>
              <w:rPr>
                <w:rFonts w:hint="eastAsia" w:eastAsia="宋体" w:cs="Times New Roman"/>
                <w:color w:val="auto"/>
                <w:kern w:val="0"/>
                <w:sz w:val="24"/>
                <w:szCs w:val="24"/>
                <w:lang w:val="en-US" w:eastAsia="zh-CN" w:bidi="ar"/>
              </w:rPr>
              <w:t>2</w:t>
            </w:r>
            <w:r>
              <w:rPr>
                <w:rFonts w:hint="eastAsia" w:eastAsia="宋体" w:cs="Times New Roman"/>
                <w:color w:val="auto"/>
                <w:sz w:val="24"/>
                <w:szCs w:val="24"/>
                <w:vertAlign w:val="baseline"/>
                <w:lang w:val="en-US" w:eastAsia="zh-CN"/>
              </w:rPr>
              <w:t>。无封场覆盖区。垃圾处理规模</w:t>
            </w:r>
            <w:r>
              <w:rPr>
                <w:rFonts w:hint="default" w:ascii="Times New Roman" w:hAnsi="Times New Roman" w:eastAsia="宋体" w:cs="Times New Roman"/>
                <w:color w:val="auto"/>
                <w:sz w:val="24"/>
                <w:szCs w:val="24"/>
                <w:lang w:val="en-US" w:eastAsia="zh-CN"/>
              </w:rPr>
              <w:t>100t/d</w:t>
            </w:r>
            <w:r>
              <w:rPr>
                <w:rFonts w:hint="eastAsia" w:eastAsia="宋体" w:cs="Times New Roman"/>
                <w:color w:val="auto"/>
                <w:sz w:val="24"/>
                <w:szCs w:val="24"/>
                <w:vertAlign w:val="baseline"/>
                <w:lang w:val="en-US" w:eastAsia="zh-CN"/>
              </w:rPr>
              <w:t>，进场垃圾含水率40%，田间持水度32%。预计填埋库区填埋量达到饱和，日产生垃圾渗沥液量为91.12</w:t>
            </w:r>
            <w:r>
              <w:rPr>
                <w:rFonts w:hint="default" w:ascii="Times New Roman" w:hAnsi="Times New Roman" w:eastAsia="宋体" w:cs="Times New Roman"/>
                <w:color w:val="auto"/>
                <w:sz w:val="24"/>
                <w:szCs w:val="24"/>
                <w:vertAlign w:val="baseline"/>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vertAlign w:val="baseline"/>
                <w:lang w:val="en-US" w:eastAsia="zh-CN"/>
              </w:rPr>
              <w:t>d</w:t>
            </w:r>
            <w:r>
              <w:rPr>
                <w:rFonts w:hint="default"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vertAlign w:val="baseline"/>
                <w:lang w:val="en-US" w:eastAsia="zh-CN"/>
              </w:rPr>
              <w:t>。</w:t>
            </w:r>
          </w:p>
          <w:p>
            <w:pPr>
              <w:spacing w:line="360" w:lineRule="auto"/>
              <w:jc w:val="center"/>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w:t>
            </w:r>
            <w:r>
              <w:rPr>
                <w:rFonts w:hint="eastAsia" w:eastAsia="宋体" w:cs="Times New Roman"/>
                <w:b/>
                <w:bCs/>
                <w:color w:val="auto"/>
                <w:sz w:val="24"/>
                <w:szCs w:val="24"/>
                <w:lang w:val="en-US" w:eastAsia="zh-CN"/>
              </w:rPr>
              <w:t>1-10</w:t>
            </w:r>
            <w:r>
              <w:rPr>
                <w:rFonts w:hint="eastAsia" w:ascii="Times New Roman" w:hAnsi="Times New Roman" w:eastAsia="宋体" w:cs="Times New Roman"/>
                <w:b/>
                <w:bCs/>
                <w:color w:val="auto"/>
                <w:sz w:val="24"/>
                <w:szCs w:val="24"/>
                <w:lang w:val="en-US" w:eastAsia="zh-CN"/>
              </w:rPr>
              <w:t xml:space="preserve"> </w:t>
            </w:r>
            <w:r>
              <w:rPr>
                <w:rFonts w:hint="eastAsia" w:eastAsia="宋体" w:cs="Times New Roman"/>
                <w:b/>
                <w:bCs/>
                <w:color w:val="auto"/>
                <w:sz w:val="24"/>
                <w:szCs w:val="24"/>
                <w:lang w:val="en-US" w:eastAsia="zh-CN"/>
              </w:rPr>
              <w:t>新增</w:t>
            </w:r>
            <w:r>
              <w:rPr>
                <w:rFonts w:hint="eastAsia" w:ascii="Times New Roman" w:hAnsi="Times New Roman" w:eastAsia="宋体" w:cs="Times New Roman"/>
                <w:b/>
                <w:bCs/>
                <w:color w:val="auto"/>
                <w:sz w:val="24"/>
                <w:szCs w:val="24"/>
                <w:lang w:val="en-US" w:eastAsia="zh-CN"/>
              </w:rPr>
              <w:t>渗沥液产量计算表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59"/>
              <w:gridCol w:w="4996"/>
              <w:gridCol w:w="23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77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序号</w:t>
                  </w:r>
                </w:p>
              </w:tc>
              <w:tc>
                <w:tcPr>
                  <w:tcW w:w="2862"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项目</w:t>
                  </w:r>
                  <w:r>
                    <w:rPr>
                      <w:rFonts w:hint="eastAsia" w:eastAsia="宋体" w:cs="Times New Roman"/>
                      <w:i w:val="0"/>
                      <w:color w:val="auto"/>
                      <w:kern w:val="0"/>
                      <w:sz w:val="21"/>
                      <w:szCs w:val="21"/>
                      <w:u w:val="none"/>
                      <w:lang w:val="en-US" w:eastAsia="zh-CN" w:bidi="ar"/>
                    </w:rPr>
                    <w:t>名称</w:t>
                  </w:r>
                </w:p>
              </w:tc>
              <w:tc>
                <w:tcPr>
                  <w:tcW w:w="1358"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渗沥液产量</w:t>
                  </w:r>
                  <w:r>
                    <w:rPr>
                      <w:rStyle w:val="104"/>
                      <w:rFonts w:hint="default" w:ascii="Times New Roman" w:hAnsi="Times New Roman" w:eastAsia="宋体" w:cs="Times New Roman"/>
                      <w:color w:val="auto"/>
                      <w:sz w:val="21"/>
                      <w:szCs w:val="21"/>
                      <w:lang w:val="en-US" w:eastAsia="zh-CN" w:bidi="ar"/>
                    </w:rPr>
                    <w:t>（m</w:t>
                  </w:r>
                  <w:r>
                    <w:rPr>
                      <w:rFonts w:hint="default" w:ascii="Times New Roman" w:hAnsi="Times New Roman" w:eastAsia="宋体" w:cs="Times New Roman"/>
                      <w:i w:val="0"/>
                      <w:color w:val="auto"/>
                      <w:kern w:val="0"/>
                      <w:sz w:val="21"/>
                      <w:szCs w:val="21"/>
                      <w:u w:val="none"/>
                      <w:vertAlign w:val="superscript"/>
                      <w:lang w:val="en-US" w:eastAsia="zh-CN" w:bidi="ar"/>
                    </w:rPr>
                    <w:t>3</w:t>
                  </w:r>
                  <w:r>
                    <w:rPr>
                      <w:rStyle w:val="104"/>
                      <w:rFonts w:hint="default" w:ascii="Times New Roman" w:hAnsi="Times New Roman" w:eastAsia="宋体" w:cs="Times New Roman"/>
                      <w:color w:val="auto"/>
                      <w:sz w:val="21"/>
                      <w:szCs w:val="21"/>
                      <w:lang w:val="en-US" w:eastAsia="zh-CN" w:bidi="ar"/>
                    </w:rPr>
                    <w:t>/</w:t>
                  </w:r>
                  <w:r>
                    <w:rPr>
                      <w:rStyle w:val="104"/>
                      <w:rFonts w:hint="eastAsia" w:eastAsia="宋体" w:cs="Times New Roman"/>
                      <w:color w:val="auto"/>
                      <w:sz w:val="21"/>
                      <w:szCs w:val="21"/>
                      <w:lang w:val="en-US" w:eastAsia="zh-CN" w:bidi="ar"/>
                    </w:rPr>
                    <w:t>d</w:t>
                  </w:r>
                  <w:r>
                    <w:rPr>
                      <w:rStyle w:val="104"/>
                      <w:rFonts w:hint="default" w:ascii="Times New Roman" w:hAnsi="Times New Roman" w:eastAsia="宋体" w:cs="Times New Roman"/>
                      <w:color w:val="auto"/>
                      <w:sz w:val="21"/>
                      <w:szCs w:val="21"/>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77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w:t>
                  </w:r>
                </w:p>
              </w:tc>
              <w:tc>
                <w:tcPr>
                  <w:tcW w:w="2862"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Q</w:t>
                  </w:r>
                  <w:r>
                    <w:rPr>
                      <w:rFonts w:hint="default" w:ascii="Times New Roman" w:hAnsi="Times New Roman" w:eastAsia="宋体" w:cs="Times New Roman"/>
                      <w:i w:val="0"/>
                      <w:color w:val="auto"/>
                      <w:kern w:val="0"/>
                      <w:sz w:val="21"/>
                      <w:szCs w:val="21"/>
                      <w:u w:val="none"/>
                      <w:vertAlign w:val="subscript"/>
                      <w:lang w:val="en-US" w:eastAsia="zh-CN" w:bidi="ar"/>
                    </w:rPr>
                    <w:t>降水</w:t>
                  </w:r>
                </w:p>
              </w:tc>
              <w:tc>
                <w:tcPr>
                  <w:tcW w:w="2263"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44.43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77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w:t>
                  </w:r>
                </w:p>
              </w:tc>
              <w:tc>
                <w:tcPr>
                  <w:tcW w:w="2862"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Q</w:t>
                  </w:r>
                  <w:r>
                    <w:rPr>
                      <w:rFonts w:hint="default" w:ascii="Times New Roman" w:hAnsi="Times New Roman" w:eastAsia="宋体" w:cs="Times New Roman"/>
                      <w:i w:val="0"/>
                      <w:color w:val="auto"/>
                      <w:kern w:val="0"/>
                      <w:sz w:val="21"/>
                      <w:szCs w:val="21"/>
                      <w:u w:val="none"/>
                      <w:vertAlign w:val="subscript"/>
                      <w:lang w:val="en-US" w:eastAsia="zh-CN" w:bidi="ar"/>
                    </w:rPr>
                    <w:t>降解或压缩</w:t>
                  </w:r>
                </w:p>
              </w:tc>
              <w:tc>
                <w:tcPr>
                  <w:tcW w:w="2263"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77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w:t>
                  </w:r>
                </w:p>
              </w:tc>
              <w:tc>
                <w:tcPr>
                  <w:tcW w:w="2862"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Q</w:t>
                  </w:r>
                  <w:r>
                    <w:rPr>
                      <w:rFonts w:hint="default" w:ascii="Times New Roman" w:hAnsi="Times New Roman" w:eastAsia="宋体" w:cs="Times New Roman"/>
                      <w:i w:val="0"/>
                      <w:color w:val="auto"/>
                      <w:kern w:val="0"/>
                      <w:sz w:val="21"/>
                      <w:szCs w:val="21"/>
                      <w:u w:val="none"/>
                      <w:vertAlign w:val="subscript"/>
                      <w:lang w:val="en-US" w:eastAsia="zh-CN" w:bidi="ar"/>
                    </w:rPr>
                    <w:t>渗沥液</w:t>
                  </w:r>
                  <w:r>
                    <w:rPr>
                      <w:rFonts w:hint="eastAsia" w:eastAsia="宋体" w:cs="Times New Roman"/>
                      <w:i w:val="0"/>
                      <w:color w:val="auto"/>
                      <w:kern w:val="0"/>
                      <w:sz w:val="21"/>
                      <w:szCs w:val="21"/>
                      <w:u w:val="none"/>
                      <w:vertAlign w:val="subscript"/>
                      <w:lang w:val="en-US" w:eastAsia="zh-CN" w:bidi="ar"/>
                    </w:rPr>
                    <w:t>日</w:t>
                  </w:r>
                  <w:r>
                    <w:rPr>
                      <w:rFonts w:hint="eastAsia" w:ascii="Times New Roman" w:hAnsi="Times New Roman" w:eastAsia="宋体" w:cs="Times New Roman"/>
                      <w:i w:val="0"/>
                      <w:color w:val="auto"/>
                      <w:kern w:val="0"/>
                      <w:sz w:val="21"/>
                      <w:szCs w:val="21"/>
                      <w:u w:val="none"/>
                      <w:vertAlign w:val="subscript"/>
                      <w:lang w:val="en-US" w:eastAsia="zh-CN" w:bidi="ar"/>
                    </w:rPr>
                    <w:t>产量</w:t>
                  </w:r>
                </w:p>
              </w:tc>
              <w:tc>
                <w:tcPr>
                  <w:tcW w:w="2263"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91.12 </w:t>
                  </w:r>
                </w:p>
              </w:tc>
            </w:tr>
          </w:tbl>
          <w:p>
            <w:pPr>
              <w:spacing w:line="360" w:lineRule="auto"/>
              <w:ind w:firstLine="480" w:firstLineChars="200"/>
              <w:rPr>
                <w:rFonts w:hint="default" w:cs="Times New Roman"/>
                <w:color w:val="auto"/>
                <w:sz w:val="24"/>
                <w:szCs w:val="24"/>
                <w:lang w:val="en-US" w:eastAsia="zh-CN"/>
              </w:rPr>
            </w:pPr>
            <w:r>
              <w:rPr>
                <w:rFonts w:hint="eastAsia" w:cs="Times New Roman"/>
                <w:color w:val="auto"/>
                <w:sz w:val="24"/>
                <w:szCs w:val="24"/>
                <w:lang w:val="en-US" w:eastAsia="zh-CN"/>
              </w:rPr>
              <w:t>新增垃圾渗滤液91.12</w:t>
            </w:r>
            <w:r>
              <w:rPr>
                <w:rFonts w:hint="default" w:ascii="Times New Roman" w:hAnsi="Times New Roman" w:eastAsia="宋体" w:cs="Times New Roman"/>
                <w:color w:val="auto"/>
                <w:sz w:val="24"/>
                <w:szCs w:val="24"/>
                <w:vertAlign w:val="baseline"/>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vertAlign w:val="baseline"/>
                <w:lang w:val="en-US" w:eastAsia="zh-CN"/>
              </w:rPr>
              <w:t>d</w:t>
            </w:r>
            <w:r>
              <w:rPr>
                <w:rFonts w:hint="eastAsia" w:ascii="Times New Roman" w:hAnsi="Times New Roman" w:cs="Times New Roman"/>
                <w:color w:val="auto"/>
                <w:sz w:val="24"/>
                <w:szCs w:val="24"/>
                <w:vertAlign w:val="baseline"/>
                <w:lang w:val="en-US" w:eastAsia="zh-CN"/>
              </w:rPr>
              <w:t>，场地内现存</w:t>
            </w:r>
            <w:r>
              <w:rPr>
                <w:rFonts w:hint="eastAsia" w:cs="Times New Roman"/>
                <w:color w:val="auto"/>
                <w:sz w:val="24"/>
                <w:szCs w:val="24"/>
                <w:lang w:val="en-US" w:eastAsia="zh-CN"/>
              </w:rPr>
              <w:t>渗滤液89626</w:t>
            </w:r>
            <w:r>
              <w:rPr>
                <w:rFonts w:hint="default" w:ascii="Times New Roman" w:hAnsi="Times New Roman" w:eastAsia="宋体" w:cs="Times New Roman"/>
                <w:color w:val="auto"/>
                <w:sz w:val="24"/>
                <w:szCs w:val="24"/>
                <w:vertAlign w:val="baseline"/>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vertAlign w:val="baseline"/>
                <w:lang w:val="en-US" w:eastAsia="zh-CN"/>
              </w:rPr>
              <w:t>d</w:t>
            </w:r>
            <w:r>
              <w:rPr>
                <w:rFonts w:hint="eastAsia" w:ascii="Times New Roman" w:hAnsi="Times New Roman" w:cs="Times New Roman"/>
                <w:color w:val="auto"/>
                <w:sz w:val="24"/>
                <w:szCs w:val="24"/>
                <w:vertAlign w:val="baseline"/>
                <w:lang w:val="en-US" w:eastAsia="zh-CN"/>
              </w:rPr>
              <w:t>，</w:t>
            </w:r>
            <w:r>
              <w:rPr>
                <w:rFonts w:hint="default" w:ascii="Times New Roman" w:hAnsi="Times New Roman" w:cs="Times New Roman"/>
                <w:color w:val="auto"/>
                <w:sz w:val="24"/>
                <w:szCs w:val="24"/>
              </w:rPr>
              <w:t>本次</w:t>
            </w:r>
            <w:r>
              <w:rPr>
                <w:rFonts w:hint="eastAsia" w:cs="Times New Roman"/>
                <w:color w:val="auto"/>
                <w:sz w:val="24"/>
                <w:szCs w:val="24"/>
                <w:lang w:val="en-US" w:eastAsia="zh-CN"/>
              </w:rPr>
              <w:t>扩建渗滤液处理工程</w:t>
            </w:r>
            <w:r>
              <w:rPr>
                <w:rFonts w:hint="eastAsia" w:ascii="Times New Roman" w:hAnsi="Times New Roman" w:cs="Times New Roman"/>
                <w:color w:val="auto"/>
                <w:sz w:val="24"/>
                <w:szCs w:val="24"/>
                <w:vertAlign w:val="baseline"/>
                <w:lang w:val="en-US" w:eastAsia="zh-CN"/>
              </w:rPr>
              <w:t>考虑场地内现存渗滤液量同时考虑设备检修等，将现存渗滤液收集导排至调节池，经渗滤液处理站处理，设计调整规模为</w:t>
            </w:r>
            <w:r>
              <w:rPr>
                <w:rStyle w:val="137"/>
                <w:rFonts w:hint="default" w:ascii="Times New Roman" w:hAnsi="Times New Roman" w:eastAsia="宋体" w:cs="Times New Roman"/>
                <w:color w:val="auto"/>
                <w:kern w:val="0"/>
                <w:sz w:val="24"/>
                <w:szCs w:val="24"/>
                <w:lang w:val="en-US" w:eastAsia="zh-CN"/>
              </w:rPr>
              <w:t>200t/d</w:t>
            </w:r>
            <w:r>
              <w:rPr>
                <w:rStyle w:val="137"/>
                <w:rFonts w:hint="eastAsia" w:cs="Times New Roman"/>
                <w:color w:val="auto"/>
                <w:kern w:val="0"/>
                <w:sz w:val="24"/>
                <w:szCs w:val="24"/>
                <w:lang w:val="en-US" w:eastAsia="zh-CN"/>
              </w:rPr>
              <w:t>。</w:t>
            </w:r>
          </w:p>
          <w:p>
            <w:pPr>
              <w:pStyle w:val="110"/>
              <w:ind w:firstLine="0" w:firstLineChars="0"/>
              <w:rPr>
                <w:rFonts w:hint="default" w:ascii="Times New Roman" w:hAnsi="Times New Roman" w:cs="Times New Roman"/>
                <w:b/>
                <w:bCs/>
                <w:color w:val="auto"/>
              </w:rPr>
            </w:pPr>
            <w:r>
              <w:rPr>
                <w:rFonts w:hint="default" w:ascii="Times New Roman" w:hAnsi="Times New Roman" w:cs="Times New Roman"/>
                <w:b/>
                <w:bCs/>
                <w:color w:val="auto"/>
              </w:rPr>
              <w:t>5、原辅料消耗及能源消耗</w:t>
            </w:r>
          </w:p>
          <w:p>
            <w:pPr>
              <w:pStyle w:val="110"/>
              <w:rPr>
                <w:rFonts w:hint="default" w:ascii="Times New Roman" w:hAnsi="Times New Roman" w:cs="Times New Roman"/>
                <w:color w:val="auto"/>
              </w:rPr>
            </w:pPr>
            <w:r>
              <w:rPr>
                <w:rFonts w:hint="default" w:ascii="Times New Roman" w:hAnsi="Times New Roman" w:cs="Times New Roman"/>
                <w:color w:val="auto"/>
              </w:rPr>
              <w:t>本项目主要辅料及能源消耗见表1-</w:t>
            </w:r>
            <w:r>
              <w:rPr>
                <w:rFonts w:hint="eastAsia" w:ascii="Times New Roman" w:hAnsi="Times New Roman" w:cs="Times New Roman"/>
                <w:color w:val="auto"/>
                <w:lang w:val="en-US" w:eastAsia="zh-CN"/>
              </w:rPr>
              <w:t>11</w:t>
            </w:r>
            <w:r>
              <w:rPr>
                <w:rFonts w:hint="default" w:ascii="Times New Roman" w:hAnsi="Times New Roman" w:cs="Times New Roman"/>
                <w:color w:val="auto"/>
              </w:rPr>
              <w:t>。</w:t>
            </w:r>
          </w:p>
          <w:p>
            <w:pPr>
              <w:pStyle w:val="41"/>
              <w:jc w:val="center"/>
              <w:rPr>
                <w:rFonts w:hint="default" w:ascii="Times New Roman" w:hAnsi="Times New Roman" w:cs="Times New Roman"/>
                <w:b/>
                <w:color w:val="auto"/>
              </w:rPr>
            </w:pPr>
            <w:r>
              <w:rPr>
                <w:rFonts w:hint="default" w:ascii="Times New Roman" w:hAnsi="Times New Roman" w:cs="Times New Roman"/>
                <w:b/>
                <w:color w:val="auto"/>
              </w:rPr>
              <w:t>表1-</w:t>
            </w:r>
            <w:r>
              <w:rPr>
                <w:rFonts w:hint="eastAsia" w:ascii="Times New Roman" w:cs="Times New Roman"/>
                <w:b/>
                <w:color w:val="auto"/>
                <w:lang w:val="en-US" w:eastAsia="zh-CN"/>
              </w:rPr>
              <w:t>11</w:t>
            </w:r>
            <w:r>
              <w:rPr>
                <w:rFonts w:hint="default" w:ascii="Times New Roman" w:hAnsi="Times New Roman" w:cs="Times New Roman"/>
                <w:b/>
                <w:color w:val="auto"/>
              </w:rPr>
              <w:t xml:space="preserve">  主要辅材料及能源消耗</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786"/>
              <w:gridCol w:w="1064"/>
              <w:gridCol w:w="1095"/>
              <w:gridCol w:w="1178"/>
              <w:gridCol w:w="2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414" w:type="pct"/>
                  <w:tcBorders>
                    <w:top w:val="single" w:color="auto" w:sz="12" w:space="0"/>
                    <w:left w:val="nil"/>
                    <w:bottom w:val="single" w:color="auto" w:sz="4" w:space="0"/>
                    <w:right w:val="single" w:color="auto" w:sz="4" w:space="0"/>
                  </w:tcBorders>
                  <w:vAlign w:val="center"/>
                </w:tcPr>
                <w:p>
                  <w:pPr>
                    <w:autoSpaceDE w:val="0"/>
                    <w:autoSpaceDN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1022" w:type="pct"/>
                  <w:tcBorders>
                    <w:top w:val="single" w:color="auto" w:sz="12" w:space="0"/>
                    <w:left w:val="single" w:color="auto" w:sz="4" w:space="0"/>
                    <w:bottom w:val="single" w:color="auto" w:sz="4" w:space="0"/>
                    <w:right w:val="single" w:color="auto" w:sz="4" w:space="0"/>
                  </w:tcBorders>
                  <w:vAlign w:val="center"/>
                </w:tcPr>
                <w:p>
                  <w:pPr>
                    <w:autoSpaceDE w:val="0"/>
                    <w:autoSpaceDN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609" w:type="pct"/>
                  <w:tcBorders>
                    <w:top w:val="single" w:color="auto" w:sz="12" w:space="0"/>
                    <w:left w:val="single" w:color="auto" w:sz="4" w:space="0"/>
                    <w:bottom w:val="single" w:color="auto" w:sz="4" w:space="0"/>
                    <w:right w:val="single" w:color="auto" w:sz="4" w:space="0"/>
                  </w:tcBorders>
                  <w:vAlign w:val="center"/>
                </w:tcPr>
                <w:p>
                  <w:pPr>
                    <w:autoSpaceDE w:val="0"/>
                    <w:autoSpaceDN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627" w:type="pct"/>
                  <w:tcBorders>
                    <w:top w:val="single" w:color="auto" w:sz="12" w:space="0"/>
                    <w:left w:val="single" w:color="auto" w:sz="4" w:space="0"/>
                    <w:bottom w:val="single" w:color="auto" w:sz="4" w:space="0"/>
                    <w:right w:val="single" w:color="auto" w:sz="4" w:space="0"/>
                  </w:tcBorders>
                  <w:vAlign w:val="center"/>
                </w:tcPr>
                <w:p>
                  <w:pPr>
                    <w:autoSpaceDE w:val="0"/>
                    <w:autoSpaceDN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年用量</w:t>
                  </w:r>
                </w:p>
              </w:tc>
              <w:tc>
                <w:tcPr>
                  <w:tcW w:w="674" w:type="pct"/>
                  <w:tcBorders>
                    <w:top w:val="single" w:color="auto" w:sz="12" w:space="0"/>
                    <w:left w:val="single" w:color="auto" w:sz="4" w:space="0"/>
                    <w:bottom w:val="single" w:color="auto" w:sz="4" w:space="0"/>
                    <w:right w:val="single" w:color="auto" w:sz="4" w:space="0"/>
                  </w:tcBorders>
                  <w:vAlign w:val="center"/>
                </w:tcPr>
                <w:p>
                  <w:pPr>
                    <w:autoSpaceDE w:val="0"/>
                    <w:autoSpaceDN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最大</w:t>
                  </w:r>
                </w:p>
                <w:p>
                  <w:pPr>
                    <w:autoSpaceDE w:val="0"/>
                    <w:autoSpaceDN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储存量</w:t>
                  </w:r>
                </w:p>
              </w:tc>
              <w:tc>
                <w:tcPr>
                  <w:tcW w:w="1651" w:type="pct"/>
                  <w:tcBorders>
                    <w:top w:val="single" w:color="auto" w:sz="12" w:space="0"/>
                    <w:left w:val="single" w:color="auto" w:sz="4" w:space="0"/>
                    <w:bottom w:val="single" w:color="auto" w:sz="4" w:space="0"/>
                    <w:right w:val="nil"/>
                  </w:tcBorders>
                  <w:vAlign w:val="center"/>
                </w:tcPr>
                <w:p>
                  <w:pPr>
                    <w:autoSpaceDE w:val="0"/>
                    <w:autoSpaceDN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14" w:type="pct"/>
                  <w:vMerge w:val="restart"/>
                  <w:tcBorders>
                    <w:top w:val="single" w:color="auto" w:sz="4" w:space="0"/>
                    <w:left w:val="nil"/>
                    <w:right w:val="single" w:color="auto" w:sz="4" w:space="0"/>
                  </w:tcBorders>
                  <w:vAlign w:val="center"/>
                </w:tcPr>
                <w:p>
                  <w:pPr>
                    <w:autoSpaceDE w:val="0"/>
                    <w:autoSpaceDN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辅料</w:t>
                  </w:r>
                </w:p>
              </w:tc>
              <w:tc>
                <w:tcPr>
                  <w:tcW w:w="1022"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絮凝剂(PAC)</w:t>
                  </w:r>
                </w:p>
              </w:tc>
              <w:tc>
                <w:tcPr>
                  <w:tcW w:w="609"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t/a</w:t>
                  </w:r>
                </w:p>
              </w:tc>
              <w:tc>
                <w:tcPr>
                  <w:tcW w:w="627"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674" w:type="pct"/>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1651" w:type="pct"/>
                  <w:vMerge w:val="restart"/>
                  <w:tcBorders>
                    <w:top w:val="single" w:color="auto" w:sz="4" w:space="0"/>
                    <w:left w:val="single" w:color="auto" w:sz="4" w:space="0"/>
                    <w:right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外购</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414" w:type="pct"/>
                  <w:vMerge w:val="continue"/>
                  <w:tcBorders>
                    <w:left w:val="nil"/>
                    <w:right w:val="single" w:color="auto" w:sz="4" w:space="0"/>
                  </w:tcBorders>
                  <w:vAlign w:val="center"/>
                </w:tcPr>
                <w:p>
                  <w:pPr>
                    <w:autoSpaceDE w:val="0"/>
                    <w:autoSpaceDN w:val="0"/>
                    <w:spacing w:line="360" w:lineRule="auto"/>
                    <w:jc w:val="center"/>
                    <w:rPr>
                      <w:rFonts w:hint="default" w:ascii="Times New Roman" w:hAnsi="Times New Roman" w:cs="Times New Roman"/>
                      <w:color w:val="auto"/>
                      <w:szCs w:val="21"/>
                    </w:rPr>
                  </w:pPr>
                </w:p>
              </w:tc>
              <w:tc>
                <w:tcPr>
                  <w:tcW w:w="1022" w:type="pct"/>
                  <w:tcBorders>
                    <w:top w:val="single" w:color="auto" w:sz="4" w:space="0"/>
                    <w:left w:val="single" w:color="auto" w:sz="4" w:space="0"/>
                    <w:bottom w:val="single" w:color="auto" w:sz="4" w:space="0"/>
                    <w:right w:val="single" w:color="auto" w:sz="4" w:space="0"/>
                  </w:tcBorders>
                  <w:vAlign w:val="center"/>
                </w:tcPr>
                <w:p>
                  <w:pPr>
                    <w:pStyle w:val="110"/>
                    <w:autoSpaceDE w:val="0"/>
                    <w:autoSpaceDN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聚丙烯酰胺</w:t>
                  </w:r>
                </w:p>
                <w:p>
                  <w:pPr>
                    <w:pStyle w:val="110"/>
                    <w:autoSpaceDE w:val="0"/>
                    <w:autoSpaceDN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（PAM）</w:t>
                  </w:r>
                </w:p>
              </w:tc>
              <w:tc>
                <w:tcPr>
                  <w:tcW w:w="609" w:type="pct"/>
                  <w:tcBorders>
                    <w:top w:val="single" w:color="auto" w:sz="4" w:space="0"/>
                    <w:left w:val="single" w:color="auto" w:sz="4" w:space="0"/>
                    <w:bottom w:val="single" w:color="auto" w:sz="4" w:space="0"/>
                    <w:right w:val="single" w:color="auto" w:sz="4" w:space="0"/>
                  </w:tcBorders>
                  <w:vAlign w:val="center"/>
                </w:tcPr>
                <w:p>
                  <w:pPr>
                    <w:pStyle w:val="110"/>
                    <w:autoSpaceDE w:val="0"/>
                    <w:autoSpaceDN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t/a</w:t>
                  </w:r>
                </w:p>
              </w:tc>
              <w:tc>
                <w:tcPr>
                  <w:tcW w:w="627" w:type="pct"/>
                  <w:tcBorders>
                    <w:top w:val="single" w:color="auto" w:sz="4" w:space="0"/>
                    <w:left w:val="single" w:color="auto" w:sz="4" w:space="0"/>
                    <w:bottom w:val="single" w:color="auto" w:sz="4" w:space="0"/>
                    <w:right w:val="single" w:color="auto" w:sz="4" w:space="0"/>
                  </w:tcBorders>
                  <w:vAlign w:val="center"/>
                </w:tcPr>
                <w:p>
                  <w:pPr>
                    <w:pStyle w:val="110"/>
                    <w:autoSpaceDE w:val="0"/>
                    <w:autoSpaceDN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w:t>
                  </w:r>
                </w:p>
              </w:tc>
              <w:tc>
                <w:tcPr>
                  <w:tcW w:w="674" w:type="pct"/>
                  <w:tcBorders>
                    <w:top w:val="single" w:color="auto" w:sz="4" w:space="0"/>
                    <w:left w:val="single" w:color="auto" w:sz="4" w:space="0"/>
                    <w:bottom w:val="single" w:color="auto" w:sz="4" w:space="0"/>
                    <w:right w:val="single" w:color="auto" w:sz="4" w:space="0"/>
                  </w:tcBorders>
                  <w:vAlign w:val="center"/>
                </w:tcPr>
                <w:p>
                  <w:pPr>
                    <w:pStyle w:val="110"/>
                    <w:autoSpaceDE w:val="0"/>
                    <w:autoSpaceDN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0.5</w:t>
                  </w:r>
                </w:p>
              </w:tc>
              <w:tc>
                <w:tcPr>
                  <w:tcW w:w="1651" w:type="pct"/>
                  <w:vMerge w:val="continue"/>
                  <w:tcBorders>
                    <w:left w:val="single" w:color="auto" w:sz="4" w:space="0"/>
                    <w:right w:val="nil"/>
                  </w:tcBorders>
                  <w:vAlign w:val="center"/>
                </w:tcPr>
                <w:p>
                  <w:pPr>
                    <w:pStyle w:val="110"/>
                    <w:keepNext w:val="0"/>
                    <w:keepLines w:val="0"/>
                    <w:pageBreakBefore w:val="0"/>
                    <w:widowControl w:val="0"/>
                    <w:kinsoku/>
                    <w:wordWrap/>
                    <w:overflowPunct/>
                    <w:topLinePunct w:val="0"/>
                    <w:autoSpaceDE w:val="0"/>
                    <w:autoSpaceDN w:val="0"/>
                    <w:bidi w:val="0"/>
                    <w:adjustRightInd w:val="0"/>
                    <w:snapToGrid w:val="0"/>
                    <w:spacing w:line="240" w:lineRule="auto"/>
                    <w:ind w:firstLine="420"/>
                    <w:jc w:val="center"/>
                    <w:rPr>
                      <w:rFonts w:hint="default" w:ascii="Times New Roman" w:hAnsi="Times New Roman" w:eastAsia="宋体" w:cs="Times New Roman"/>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414" w:type="pct"/>
                  <w:vMerge w:val="continue"/>
                  <w:tcBorders>
                    <w:left w:val="nil"/>
                    <w:right w:val="single" w:color="auto" w:sz="4" w:space="0"/>
                  </w:tcBorders>
                  <w:vAlign w:val="center"/>
                </w:tcPr>
                <w:p>
                  <w:pPr>
                    <w:autoSpaceDE w:val="0"/>
                    <w:autoSpaceDN w:val="0"/>
                    <w:spacing w:line="360" w:lineRule="auto"/>
                    <w:jc w:val="center"/>
                    <w:rPr>
                      <w:rFonts w:hint="default" w:ascii="Times New Roman" w:hAnsi="Times New Roman" w:cs="Times New Roman"/>
                      <w:color w:val="auto"/>
                      <w:szCs w:val="21"/>
                    </w:rPr>
                  </w:pPr>
                </w:p>
              </w:tc>
              <w:tc>
                <w:tcPr>
                  <w:tcW w:w="1022" w:type="pct"/>
                  <w:tcBorders>
                    <w:top w:val="single" w:color="auto" w:sz="4" w:space="0"/>
                    <w:left w:val="single" w:color="auto" w:sz="4" w:space="0"/>
                    <w:bottom w:val="single" w:color="auto" w:sz="4" w:space="0"/>
                    <w:right w:val="single" w:color="auto" w:sz="4" w:space="0"/>
                  </w:tcBorders>
                  <w:vAlign w:val="center"/>
                </w:tcPr>
                <w:p>
                  <w:pPr>
                    <w:pStyle w:val="110"/>
                    <w:autoSpaceDE w:val="0"/>
                    <w:autoSpaceDN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硫酸</w:t>
                  </w:r>
                </w:p>
              </w:tc>
              <w:tc>
                <w:tcPr>
                  <w:tcW w:w="609" w:type="pct"/>
                  <w:tcBorders>
                    <w:top w:val="single" w:color="auto" w:sz="4" w:space="0"/>
                    <w:left w:val="single" w:color="auto" w:sz="4" w:space="0"/>
                    <w:bottom w:val="single" w:color="auto" w:sz="4" w:space="0"/>
                    <w:right w:val="single" w:color="auto" w:sz="4" w:space="0"/>
                  </w:tcBorders>
                  <w:vAlign w:val="center"/>
                </w:tcPr>
                <w:p>
                  <w:pPr>
                    <w:pStyle w:val="110"/>
                    <w:autoSpaceDE w:val="0"/>
                    <w:autoSpaceDN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w:t>
                  </w:r>
                </w:p>
              </w:tc>
              <w:tc>
                <w:tcPr>
                  <w:tcW w:w="627" w:type="pct"/>
                  <w:tcBorders>
                    <w:top w:val="single" w:color="auto" w:sz="4" w:space="0"/>
                    <w:left w:val="single" w:color="auto" w:sz="4" w:space="0"/>
                    <w:bottom w:val="single" w:color="auto" w:sz="4" w:space="0"/>
                    <w:right w:val="single" w:color="auto" w:sz="4" w:space="0"/>
                  </w:tcBorders>
                  <w:vAlign w:val="center"/>
                </w:tcPr>
                <w:p>
                  <w:pPr>
                    <w:pStyle w:val="110"/>
                    <w:autoSpaceDE w:val="0"/>
                    <w:autoSpaceDN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6000</w:t>
                  </w:r>
                </w:p>
              </w:tc>
              <w:tc>
                <w:tcPr>
                  <w:tcW w:w="674" w:type="pct"/>
                  <w:tcBorders>
                    <w:top w:val="single" w:color="auto" w:sz="4" w:space="0"/>
                    <w:left w:val="single" w:color="auto" w:sz="4" w:space="0"/>
                    <w:bottom w:val="single" w:color="auto" w:sz="4" w:space="0"/>
                    <w:right w:val="single" w:color="auto" w:sz="4" w:space="0"/>
                  </w:tcBorders>
                  <w:vAlign w:val="center"/>
                </w:tcPr>
                <w:p>
                  <w:pPr>
                    <w:pStyle w:val="110"/>
                    <w:autoSpaceDE w:val="0"/>
                    <w:autoSpaceDN w:val="0"/>
                    <w:spacing w:line="240" w:lineRule="auto"/>
                    <w:ind w:firstLine="210" w:firstLineChars="10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3000L</w:t>
                  </w:r>
                </w:p>
              </w:tc>
              <w:tc>
                <w:tcPr>
                  <w:tcW w:w="1651" w:type="pct"/>
                  <w:tcBorders>
                    <w:left w:val="single" w:color="auto" w:sz="4" w:space="0"/>
                    <w:right w:val="nil"/>
                  </w:tcBorders>
                  <w:vAlign w:val="center"/>
                </w:tcPr>
                <w:p>
                  <w:pPr>
                    <w:pStyle w:val="11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414" w:type="pct"/>
                  <w:vMerge w:val="continue"/>
                  <w:tcBorders>
                    <w:left w:val="nil"/>
                    <w:bottom w:val="single" w:color="auto" w:sz="4" w:space="0"/>
                    <w:right w:val="single" w:color="auto" w:sz="4" w:space="0"/>
                  </w:tcBorders>
                  <w:vAlign w:val="center"/>
                </w:tcPr>
                <w:p>
                  <w:pPr>
                    <w:autoSpaceDE w:val="0"/>
                    <w:autoSpaceDN w:val="0"/>
                    <w:spacing w:line="360" w:lineRule="auto"/>
                    <w:jc w:val="center"/>
                    <w:rPr>
                      <w:rFonts w:hint="default" w:ascii="Times New Roman" w:hAnsi="Times New Roman" w:eastAsia="宋体" w:cs="Times New Roman"/>
                      <w:color w:val="auto"/>
                      <w:szCs w:val="21"/>
                      <w:lang w:val="en-US" w:eastAsia="zh-CN"/>
                    </w:rPr>
                  </w:pPr>
                </w:p>
              </w:tc>
              <w:tc>
                <w:tcPr>
                  <w:tcW w:w="1022" w:type="pct"/>
                  <w:tcBorders>
                    <w:top w:val="single" w:color="auto" w:sz="4" w:space="0"/>
                    <w:left w:val="single" w:color="auto" w:sz="4" w:space="0"/>
                    <w:bottom w:val="single" w:color="auto" w:sz="4" w:space="0"/>
                    <w:right w:val="single" w:color="auto" w:sz="4" w:space="0"/>
                  </w:tcBorders>
                  <w:vAlign w:val="center"/>
                </w:tcPr>
                <w:p>
                  <w:pPr>
                    <w:pStyle w:val="110"/>
                    <w:autoSpaceDE w:val="0"/>
                    <w:autoSpaceDN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氢氧化钠</w:t>
                  </w:r>
                </w:p>
              </w:tc>
              <w:tc>
                <w:tcPr>
                  <w:tcW w:w="609" w:type="pct"/>
                  <w:tcBorders>
                    <w:top w:val="single" w:color="auto" w:sz="4" w:space="0"/>
                    <w:left w:val="single" w:color="auto" w:sz="4" w:space="0"/>
                    <w:bottom w:val="single" w:color="auto" w:sz="4" w:space="0"/>
                    <w:right w:val="single" w:color="auto" w:sz="4" w:space="0"/>
                  </w:tcBorders>
                  <w:vAlign w:val="center"/>
                </w:tcPr>
                <w:p>
                  <w:pPr>
                    <w:pStyle w:val="110"/>
                    <w:autoSpaceDE w:val="0"/>
                    <w:autoSpaceDN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L</w:t>
                  </w:r>
                </w:p>
              </w:tc>
              <w:tc>
                <w:tcPr>
                  <w:tcW w:w="627" w:type="pct"/>
                  <w:tcBorders>
                    <w:top w:val="single" w:color="auto" w:sz="4" w:space="0"/>
                    <w:left w:val="single" w:color="auto" w:sz="4" w:space="0"/>
                    <w:bottom w:val="single" w:color="auto" w:sz="4" w:space="0"/>
                    <w:right w:val="single" w:color="auto" w:sz="4" w:space="0"/>
                  </w:tcBorders>
                  <w:vAlign w:val="center"/>
                </w:tcPr>
                <w:p>
                  <w:pPr>
                    <w:pStyle w:val="110"/>
                    <w:autoSpaceDE w:val="0"/>
                    <w:autoSpaceDN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400</w:t>
                  </w:r>
                </w:p>
              </w:tc>
              <w:tc>
                <w:tcPr>
                  <w:tcW w:w="674" w:type="pct"/>
                  <w:tcBorders>
                    <w:top w:val="single" w:color="auto" w:sz="4" w:space="0"/>
                    <w:left w:val="single" w:color="auto" w:sz="4" w:space="0"/>
                    <w:bottom w:val="single" w:color="auto" w:sz="4" w:space="0"/>
                    <w:right w:val="single" w:color="auto" w:sz="4" w:space="0"/>
                  </w:tcBorders>
                  <w:vAlign w:val="center"/>
                </w:tcPr>
                <w:p>
                  <w:pPr>
                    <w:pStyle w:val="110"/>
                    <w:autoSpaceDE w:val="0"/>
                    <w:autoSpaceDN w:val="0"/>
                    <w:spacing w:line="240" w:lineRule="auto"/>
                    <w:ind w:firstLine="210" w:firstLineChars="10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200</w:t>
                  </w:r>
                </w:p>
              </w:tc>
              <w:tc>
                <w:tcPr>
                  <w:tcW w:w="1651" w:type="pct"/>
                  <w:tcBorders>
                    <w:left w:val="single" w:color="auto" w:sz="4" w:space="0"/>
                    <w:right w:val="nil"/>
                  </w:tcBorders>
                  <w:vAlign w:val="center"/>
                </w:tcPr>
                <w:p>
                  <w:pPr>
                    <w:pStyle w:val="11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414" w:type="pct"/>
                  <w:vMerge w:val="restart"/>
                  <w:tcBorders>
                    <w:top w:val="single" w:color="auto" w:sz="4" w:space="0"/>
                    <w:left w:val="nil"/>
                    <w:right w:val="single" w:color="auto" w:sz="4" w:space="0"/>
                  </w:tcBorders>
                  <w:vAlign w:val="center"/>
                </w:tcPr>
                <w:p>
                  <w:pPr>
                    <w:autoSpaceDE w:val="0"/>
                    <w:autoSpaceDN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能源</w:t>
                  </w:r>
                </w:p>
              </w:tc>
              <w:tc>
                <w:tcPr>
                  <w:tcW w:w="1022"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电</w:t>
                  </w:r>
                </w:p>
              </w:tc>
              <w:tc>
                <w:tcPr>
                  <w:tcW w:w="609"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r>
                    <w:rPr>
                      <w:rFonts w:hint="default" w:ascii="Times New Roman" w:hAnsi="Times New Roman" w:cs="Times New Roman"/>
                      <w:color w:val="auto"/>
                      <w:szCs w:val="21"/>
                      <w:vertAlign w:val="superscript"/>
                    </w:rPr>
                    <w:t>4</w:t>
                  </w:r>
                  <w:r>
                    <w:rPr>
                      <w:rFonts w:hint="default" w:ascii="Times New Roman" w:hAnsi="Times New Roman" w:cs="Times New Roman"/>
                      <w:color w:val="auto"/>
                      <w:szCs w:val="21"/>
                    </w:rPr>
                    <w:t>kWh</w:t>
                  </w:r>
                </w:p>
              </w:tc>
              <w:tc>
                <w:tcPr>
                  <w:tcW w:w="627"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0.5</w:t>
                  </w:r>
                </w:p>
              </w:tc>
              <w:tc>
                <w:tcPr>
                  <w:tcW w:w="674"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651" w:type="pct"/>
                  <w:tcBorders>
                    <w:top w:val="single" w:color="auto" w:sz="4" w:space="0"/>
                    <w:left w:val="single" w:color="auto" w:sz="4" w:space="0"/>
                    <w:bottom w:val="single" w:color="auto" w:sz="4" w:space="0"/>
                    <w:right w:val="nil"/>
                  </w:tcBorders>
                  <w:vAlign w:val="center"/>
                </w:tcPr>
                <w:p>
                  <w:pPr>
                    <w:autoSpaceDE w:val="0"/>
                    <w:autoSpaceDN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由当地供电所供给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414" w:type="pct"/>
                  <w:vMerge w:val="continue"/>
                  <w:tcBorders>
                    <w:left w:val="nil"/>
                    <w:bottom w:val="single" w:color="auto" w:sz="12" w:space="0"/>
                    <w:right w:val="single" w:color="auto" w:sz="4" w:space="0"/>
                  </w:tcBorders>
                  <w:vAlign w:val="center"/>
                </w:tcPr>
                <w:p>
                  <w:pPr>
                    <w:autoSpaceDE w:val="0"/>
                    <w:autoSpaceDN w:val="0"/>
                    <w:spacing w:line="360" w:lineRule="auto"/>
                    <w:jc w:val="center"/>
                    <w:rPr>
                      <w:rFonts w:hint="default" w:ascii="Times New Roman" w:hAnsi="Times New Roman" w:cs="Times New Roman"/>
                      <w:color w:val="auto"/>
                      <w:szCs w:val="21"/>
                    </w:rPr>
                  </w:pPr>
                </w:p>
              </w:tc>
              <w:tc>
                <w:tcPr>
                  <w:tcW w:w="1022" w:type="pct"/>
                  <w:tcBorders>
                    <w:top w:val="single" w:color="auto" w:sz="4" w:space="0"/>
                    <w:left w:val="single" w:color="auto" w:sz="4" w:space="0"/>
                    <w:bottom w:val="single" w:color="auto" w:sz="12" w:space="0"/>
                    <w:right w:val="single" w:color="auto" w:sz="4" w:space="0"/>
                  </w:tcBorders>
                  <w:vAlign w:val="center"/>
                </w:tcPr>
                <w:p>
                  <w:pPr>
                    <w:autoSpaceDE w:val="0"/>
                    <w:autoSpaceDN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水</w:t>
                  </w:r>
                </w:p>
              </w:tc>
              <w:tc>
                <w:tcPr>
                  <w:tcW w:w="609" w:type="pct"/>
                  <w:tcBorders>
                    <w:top w:val="single" w:color="auto" w:sz="4" w:space="0"/>
                    <w:left w:val="single" w:color="auto" w:sz="4" w:space="0"/>
                    <w:bottom w:val="single" w:color="auto" w:sz="12" w:space="0"/>
                    <w:right w:val="single" w:color="auto" w:sz="4" w:space="0"/>
                  </w:tcBorders>
                  <w:vAlign w:val="center"/>
                </w:tcPr>
                <w:p>
                  <w:pPr>
                    <w:autoSpaceDE w:val="0"/>
                    <w:autoSpaceDN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m3</w:t>
                  </w:r>
                </w:p>
              </w:tc>
              <w:tc>
                <w:tcPr>
                  <w:tcW w:w="627" w:type="pct"/>
                  <w:tcBorders>
                    <w:top w:val="single" w:color="auto" w:sz="4" w:space="0"/>
                    <w:left w:val="single" w:color="auto" w:sz="4" w:space="0"/>
                    <w:bottom w:val="single" w:color="auto" w:sz="12" w:space="0"/>
                    <w:right w:val="single" w:color="auto" w:sz="4" w:space="0"/>
                  </w:tcBorders>
                  <w:vAlign w:val="center"/>
                </w:tcPr>
                <w:p>
                  <w:pPr>
                    <w:autoSpaceDE w:val="0"/>
                    <w:autoSpaceDN w:val="0"/>
                    <w:spacing w:line="36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6096</w:t>
                  </w:r>
                </w:p>
              </w:tc>
              <w:tc>
                <w:tcPr>
                  <w:tcW w:w="674" w:type="pct"/>
                  <w:tcBorders>
                    <w:top w:val="single" w:color="auto" w:sz="4" w:space="0"/>
                    <w:left w:val="single" w:color="auto" w:sz="4" w:space="0"/>
                    <w:bottom w:val="single" w:color="auto" w:sz="12" w:space="0"/>
                    <w:right w:val="single" w:color="auto" w:sz="4" w:space="0"/>
                  </w:tcBorders>
                  <w:vAlign w:val="center"/>
                </w:tcPr>
                <w:p>
                  <w:pPr>
                    <w:autoSpaceDE w:val="0"/>
                    <w:autoSpaceDN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651" w:type="pct"/>
                  <w:tcBorders>
                    <w:top w:val="single" w:color="auto" w:sz="4" w:space="0"/>
                    <w:left w:val="single" w:color="auto" w:sz="4" w:space="0"/>
                    <w:bottom w:val="single" w:color="auto" w:sz="12" w:space="0"/>
                    <w:right w:val="nil"/>
                  </w:tcBorders>
                  <w:vAlign w:val="center"/>
                </w:tcPr>
                <w:p>
                  <w:pPr>
                    <w:autoSpaceDE w:val="0"/>
                    <w:autoSpaceDN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填埋场现有深井</w:t>
                  </w:r>
                </w:p>
              </w:tc>
            </w:tr>
          </w:tbl>
          <w:p>
            <w:pPr>
              <w:pStyle w:val="110"/>
              <w:ind w:firstLine="0" w:firstLineChars="0"/>
              <w:rPr>
                <w:rFonts w:hint="default" w:ascii="Times New Roman" w:hAnsi="Times New Roman" w:cs="Times New Roman"/>
                <w:b/>
                <w:bCs/>
                <w:color w:val="auto"/>
              </w:rPr>
            </w:pPr>
            <w:r>
              <w:rPr>
                <w:rFonts w:hint="default" w:ascii="Times New Roman" w:hAnsi="Times New Roman" w:cs="Times New Roman"/>
                <w:b/>
                <w:bCs/>
                <w:color w:val="auto"/>
              </w:rPr>
              <w:t>6、主要设备</w:t>
            </w:r>
          </w:p>
          <w:p>
            <w:pPr>
              <w:pStyle w:val="41"/>
              <w:ind w:firstLine="480" w:firstLineChars="200"/>
              <w:rPr>
                <w:rFonts w:hint="default" w:ascii="Times New Roman" w:hAnsi="Times New Roman" w:cs="Times New Roman"/>
                <w:color w:val="auto"/>
              </w:rPr>
            </w:pPr>
            <w:r>
              <w:rPr>
                <w:rFonts w:hint="default" w:ascii="Times New Roman" w:hAnsi="Times New Roman" w:cs="Times New Roman"/>
                <w:color w:val="auto"/>
              </w:rPr>
              <w:t>项目主要设备见表1-</w:t>
            </w:r>
            <w:r>
              <w:rPr>
                <w:rFonts w:hint="eastAsia" w:ascii="Times New Roman" w:cs="Times New Roman"/>
                <w:color w:val="auto"/>
                <w:lang w:val="en-US" w:eastAsia="zh-CN"/>
              </w:rPr>
              <w:t>12</w:t>
            </w:r>
            <w:r>
              <w:rPr>
                <w:rFonts w:hint="default" w:ascii="Times New Roman" w:hAnsi="Times New Roman" w:cs="Times New Roman"/>
                <w:color w:val="auto"/>
              </w:rPr>
              <w:t>。</w:t>
            </w:r>
          </w:p>
          <w:p>
            <w:pPr>
              <w:pStyle w:val="41"/>
              <w:jc w:val="center"/>
              <w:rPr>
                <w:rFonts w:hint="default" w:ascii="Times New Roman" w:hAnsi="Times New Roman" w:cs="Times New Roman"/>
                <w:b/>
                <w:color w:val="auto"/>
              </w:rPr>
            </w:pPr>
            <w:r>
              <w:rPr>
                <w:rFonts w:hint="default" w:ascii="Times New Roman" w:hAnsi="Times New Roman" w:cs="Times New Roman"/>
                <w:b/>
                <w:color w:val="auto"/>
              </w:rPr>
              <w:t>表1-</w:t>
            </w:r>
            <w:r>
              <w:rPr>
                <w:rFonts w:hint="eastAsia" w:ascii="Times New Roman" w:cs="Times New Roman"/>
                <w:b/>
                <w:color w:val="auto"/>
                <w:lang w:val="en-US" w:eastAsia="zh-CN"/>
              </w:rPr>
              <w:t>12</w:t>
            </w:r>
            <w:r>
              <w:rPr>
                <w:rFonts w:hint="default" w:ascii="Times New Roman" w:hAnsi="Times New Roman" w:cs="Times New Roman"/>
                <w:b/>
                <w:color w:val="auto"/>
              </w:rPr>
              <w:t>主要设备一览表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1619"/>
              <w:gridCol w:w="3732"/>
              <w:gridCol w:w="805"/>
              <w:gridCol w:w="712"/>
              <w:gridCol w:w="12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362"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92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auto"/>
                      <w:szCs w:val="21"/>
                    </w:rPr>
                  </w:pPr>
                  <w:r>
                    <w:rPr>
                      <w:rFonts w:hint="default" w:ascii="Times New Roman" w:hAnsi="Times New Roman" w:cs="Times New Roman"/>
                      <w:b/>
                      <w:color w:val="auto"/>
                      <w:szCs w:val="21"/>
                    </w:rPr>
                    <w:t>设备名称</w:t>
                  </w:r>
                </w:p>
              </w:tc>
              <w:tc>
                <w:tcPr>
                  <w:tcW w:w="213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auto"/>
                      <w:szCs w:val="21"/>
                    </w:rPr>
                  </w:pPr>
                  <w:r>
                    <w:rPr>
                      <w:rFonts w:hint="default" w:ascii="Times New Roman" w:hAnsi="Times New Roman" w:cs="Times New Roman"/>
                      <w:b/>
                      <w:color w:val="auto"/>
                      <w:szCs w:val="21"/>
                    </w:rPr>
                    <w:t>规格型号</w:t>
                  </w:r>
                </w:p>
              </w:tc>
              <w:tc>
                <w:tcPr>
                  <w:tcW w:w="461"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auto"/>
                      <w:szCs w:val="21"/>
                    </w:rPr>
                  </w:pPr>
                  <w:r>
                    <w:rPr>
                      <w:rFonts w:hint="default" w:ascii="Times New Roman" w:hAnsi="Times New Roman" w:cs="Times New Roman"/>
                      <w:b/>
                      <w:color w:val="auto"/>
                      <w:szCs w:val="21"/>
                    </w:rPr>
                    <w:t>单位</w:t>
                  </w:r>
                </w:p>
              </w:tc>
              <w:tc>
                <w:tcPr>
                  <w:tcW w:w="408"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auto"/>
                      <w:szCs w:val="21"/>
                    </w:rPr>
                  </w:pPr>
                  <w:r>
                    <w:rPr>
                      <w:rFonts w:hint="default" w:ascii="Times New Roman" w:hAnsi="Times New Roman" w:cs="Times New Roman"/>
                      <w:b/>
                      <w:color w:val="auto"/>
                      <w:szCs w:val="21"/>
                    </w:rPr>
                    <w:t>数量</w:t>
                  </w:r>
                </w:p>
              </w:tc>
              <w:tc>
                <w:tcPr>
                  <w:tcW w:w="70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auto"/>
                      <w:szCs w:val="21"/>
                    </w:rPr>
                  </w:pPr>
                  <w:r>
                    <w:rPr>
                      <w:rFonts w:hint="default" w:ascii="Times New Roman" w:hAnsi="Times New Roman" w:cs="Times New Roman"/>
                      <w:b/>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362"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92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渗滤液</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提升泵</w:t>
                  </w:r>
                </w:p>
              </w:tc>
              <w:tc>
                <w:tcPr>
                  <w:tcW w:w="213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Q=8.5m3/h，H=15 m，N=1.1 kW</w:t>
                  </w:r>
                </w:p>
              </w:tc>
              <w:tc>
                <w:tcPr>
                  <w:tcW w:w="461"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408"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703" w:type="pct"/>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不锈钢</w:t>
                  </w:r>
                </w:p>
                <w:p>
                  <w:pPr>
                    <w:keepNext w:val="0"/>
                    <w:keepLines w:val="0"/>
                    <w:pageBreakBefore w:val="0"/>
                    <w:widowControl/>
                    <w:kinsoku/>
                    <w:wordWrap/>
                    <w:overflowPunct/>
                    <w:topLinePunct w:val="0"/>
                    <w:autoSpaceDE/>
                    <w:autoSpaceDN/>
                    <w:bidi w:val="0"/>
                    <w:adjustRightInd w:val="0"/>
                    <w:snapToGrid w:val="0"/>
                    <w:spacing w:line="240" w:lineRule="auto"/>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1用1冷备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62"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92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组合气浮成套装置</w:t>
                  </w:r>
                </w:p>
              </w:tc>
              <w:tc>
                <w:tcPr>
                  <w:tcW w:w="213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Q=10-15m3/h， N=4.5 kW</w:t>
                  </w:r>
                </w:p>
              </w:tc>
              <w:tc>
                <w:tcPr>
                  <w:tcW w:w="461"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套</w:t>
                  </w:r>
                </w:p>
              </w:tc>
              <w:tc>
                <w:tcPr>
                  <w:tcW w:w="408"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70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自带</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控制箱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62"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92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两级DTRO</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成套装置</w:t>
                  </w:r>
                </w:p>
              </w:tc>
              <w:tc>
                <w:tcPr>
                  <w:tcW w:w="213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Q=200T/D， N=123.2 kW</w:t>
                  </w:r>
                </w:p>
              </w:tc>
              <w:tc>
                <w:tcPr>
                  <w:tcW w:w="461"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套</w:t>
                  </w:r>
                </w:p>
              </w:tc>
              <w:tc>
                <w:tcPr>
                  <w:tcW w:w="408"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70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自带</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控制箱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362"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92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PAC</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加药装置</w:t>
                  </w:r>
                </w:p>
              </w:tc>
              <w:tc>
                <w:tcPr>
                  <w:tcW w:w="213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溶药箱φ0.9×0.8m，储药箱1.2×0.9m×0.95m，N=1.1kW</w:t>
                  </w:r>
                </w:p>
              </w:tc>
              <w:tc>
                <w:tcPr>
                  <w:tcW w:w="461"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套</w:t>
                  </w:r>
                </w:p>
              </w:tc>
              <w:tc>
                <w:tcPr>
                  <w:tcW w:w="408"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70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62"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92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PAM</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加药装置</w:t>
                  </w:r>
                </w:p>
              </w:tc>
              <w:tc>
                <w:tcPr>
                  <w:tcW w:w="213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溶药箱φ0.9×0.8m，储药箱1.2×0.9m×0.95m，N=1.1kW</w:t>
                  </w:r>
                </w:p>
              </w:tc>
              <w:tc>
                <w:tcPr>
                  <w:tcW w:w="461"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套</w:t>
                  </w:r>
                </w:p>
              </w:tc>
              <w:tc>
                <w:tcPr>
                  <w:tcW w:w="408"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70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62"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92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PAC</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加药计量泵</w:t>
                  </w:r>
                </w:p>
              </w:tc>
              <w:tc>
                <w:tcPr>
                  <w:tcW w:w="213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Q=0-50L/h，N=0.25kW</w:t>
                  </w:r>
                </w:p>
              </w:tc>
              <w:tc>
                <w:tcPr>
                  <w:tcW w:w="461"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408"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70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1用</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1备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362"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92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PAM</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加药计量泵</w:t>
                  </w:r>
                </w:p>
              </w:tc>
              <w:tc>
                <w:tcPr>
                  <w:tcW w:w="213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Q=0-170L/h，N=0.37kW</w:t>
                  </w:r>
                </w:p>
              </w:tc>
              <w:tc>
                <w:tcPr>
                  <w:tcW w:w="461"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408"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70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1用</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1备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362"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92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高能光量子</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除臭系统</w:t>
                  </w:r>
                </w:p>
              </w:tc>
              <w:tc>
                <w:tcPr>
                  <w:tcW w:w="213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Q=3000m3/h，N=1.5 kW</w:t>
                  </w:r>
                </w:p>
              </w:tc>
              <w:tc>
                <w:tcPr>
                  <w:tcW w:w="461"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套</w:t>
                  </w:r>
                </w:p>
              </w:tc>
              <w:tc>
                <w:tcPr>
                  <w:tcW w:w="408"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70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62"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9</w:t>
                  </w:r>
                </w:p>
              </w:tc>
              <w:tc>
                <w:tcPr>
                  <w:tcW w:w="92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离心风机</w:t>
                  </w:r>
                </w:p>
              </w:tc>
              <w:tc>
                <w:tcPr>
                  <w:tcW w:w="213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Q=3000 m3/h， N=2.2kW，P=1200Pa</w:t>
                  </w:r>
                </w:p>
              </w:tc>
              <w:tc>
                <w:tcPr>
                  <w:tcW w:w="461"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408"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70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62"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92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轴流风机</w:t>
                  </w:r>
                </w:p>
              </w:tc>
              <w:tc>
                <w:tcPr>
                  <w:tcW w:w="213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Q=1500m³/h，全压=68.7Pa，N=0.09KW</w:t>
                  </w:r>
                </w:p>
              </w:tc>
              <w:tc>
                <w:tcPr>
                  <w:tcW w:w="461"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408"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70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362"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11</w:t>
                  </w:r>
                </w:p>
              </w:tc>
              <w:tc>
                <w:tcPr>
                  <w:tcW w:w="92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超声波</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液位计</w:t>
                  </w:r>
                </w:p>
              </w:tc>
              <w:tc>
                <w:tcPr>
                  <w:tcW w:w="2137"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24V DC 量程0-10m</w:t>
                  </w:r>
                </w:p>
              </w:tc>
              <w:tc>
                <w:tcPr>
                  <w:tcW w:w="461"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408"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70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Cs w:val="21"/>
                    </w:rPr>
                  </w:pPr>
                </w:p>
              </w:tc>
            </w:tr>
          </w:tbl>
          <w:p>
            <w:pPr>
              <w:pStyle w:val="41"/>
              <w:spacing w:line="360" w:lineRule="auto"/>
              <w:rPr>
                <w:rFonts w:hint="default" w:ascii="Times New Roman" w:hAnsi="Times New Roman" w:cs="Times New Roman"/>
                <w:b/>
                <w:color w:val="auto"/>
              </w:rPr>
            </w:pPr>
            <w:r>
              <w:rPr>
                <w:rFonts w:hint="default" w:ascii="Times New Roman" w:hAnsi="Times New Roman" w:cs="Times New Roman"/>
                <w:b/>
                <w:color w:val="auto"/>
              </w:rPr>
              <w:t>7、主要构筑物</w:t>
            </w:r>
          </w:p>
          <w:p>
            <w:pPr>
              <w:pStyle w:val="41"/>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rPr>
              <w:t>项目构筑物一览表见表1-</w:t>
            </w:r>
            <w:r>
              <w:rPr>
                <w:rFonts w:hint="eastAsia" w:ascii="Times New Roman" w:cs="Times New Roman"/>
                <w:color w:val="auto"/>
                <w:lang w:val="en-US" w:eastAsia="zh-CN"/>
              </w:rPr>
              <w:t>13</w:t>
            </w:r>
          </w:p>
          <w:p>
            <w:pPr>
              <w:pStyle w:val="41"/>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表1-</w:t>
            </w:r>
            <w:r>
              <w:rPr>
                <w:rFonts w:hint="eastAsia" w:ascii="Times New Roman" w:cs="Times New Roman"/>
                <w:b/>
                <w:color w:val="auto"/>
                <w:lang w:val="en-US" w:eastAsia="zh-CN"/>
              </w:rPr>
              <w:t>13</w:t>
            </w:r>
            <w:r>
              <w:rPr>
                <w:rFonts w:hint="default" w:ascii="Times New Roman" w:hAnsi="Times New Roman" w:cs="Times New Roman"/>
                <w:b/>
                <w:color w:val="auto"/>
              </w:rPr>
              <w:t>构筑物一览表</w:t>
            </w:r>
          </w:p>
          <w:tbl>
            <w:tblPr>
              <w:tblStyle w:val="3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2453"/>
              <w:gridCol w:w="3040"/>
              <w:gridCol w:w="629"/>
              <w:gridCol w:w="629"/>
              <w:gridCol w:w="12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03" w:type="dxa"/>
                  <w:vAlign w:val="center"/>
                </w:tcPr>
                <w:p>
                  <w:pPr>
                    <w:widowControl/>
                    <w:spacing w:line="24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2541" w:type="dxa"/>
                  <w:vAlign w:val="center"/>
                </w:tcPr>
                <w:p>
                  <w:pPr>
                    <w:widowControl/>
                    <w:spacing w:line="24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建（构）筑物名称</w:t>
                  </w:r>
                </w:p>
              </w:tc>
              <w:tc>
                <w:tcPr>
                  <w:tcW w:w="3100" w:type="dxa"/>
                  <w:vAlign w:val="center"/>
                </w:tcPr>
                <w:p>
                  <w:pPr>
                    <w:widowControl/>
                    <w:spacing w:line="24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单体尺寸（m）</w:t>
                  </w:r>
                </w:p>
              </w:tc>
              <w:tc>
                <w:tcPr>
                  <w:tcW w:w="640" w:type="dxa"/>
                  <w:vAlign w:val="center"/>
                </w:tcPr>
                <w:p>
                  <w:pPr>
                    <w:widowControl/>
                    <w:spacing w:line="24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单位</w:t>
                  </w:r>
                </w:p>
              </w:tc>
              <w:tc>
                <w:tcPr>
                  <w:tcW w:w="640" w:type="dxa"/>
                  <w:vAlign w:val="center"/>
                </w:tcPr>
                <w:p>
                  <w:pPr>
                    <w:widowControl/>
                    <w:spacing w:line="24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数量</w:t>
                  </w:r>
                </w:p>
              </w:tc>
              <w:tc>
                <w:tcPr>
                  <w:tcW w:w="1340" w:type="dxa"/>
                  <w:vAlign w:val="center"/>
                </w:tcPr>
                <w:p>
                  <w:pPr>
                    <w:widowControl/>
                    <w:spacing w:line="24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03" w:type="dxa"/>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2541" w:type="dxa"/>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新建渗滤液</w:t>
                  </w:r>
                </w:p>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处理间</w:t>
                  </w:r>
                </w:p>
              </w:tc>
              <w:tc>
                <w:tcPr>
                  <w:tcW w:w="3100" w:type="dxa"/>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L×B=19.80m×16.00 m</w:t>
                  </w:r>
                </w:p>
              </w:tc>
              <w:tc>
                <w:tcPr>
                  <w:tcW w:w="640" w:type="dxa"/>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座</w:t>
                  </w:r>
                </w:p>
              </w:tc>
              <w:tc>
                <w:tcPr>
                  <w:tcW w:w="640" w:type="dxa"/>
                  <w:vAlign w:val="center"/>
                </w:tcPr>
                <w:p>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340" w:type="dxa"/>
                  <w:vAlign w:val="center"/>
                </w:tcPr>
                <w:p>
                  <w:pPr>
                    <w:widowControl/>
                    <w:spacing w:line="240" w:lineRule="auto"/>
                    <w:jc w:val="center"/>
                    <w:rPr>
                      <w:rFonts w:hint="default" w:ascii="Times New Roman" w:hAnsi="Times New Roman" w:cs="Times New Roman"/>
                      <w:color w:val="auto"/>
                      <w:szCs w:val="21"/>
                    </w:rPr>
                  </w:pPr>
                </w:p>
              </w:tc>
            </w:tr>
          </w:tbl>
          <w:p>
            <w:pPr>
              <w:snapToGrid w:val="0"/>
              <w:spacing w:line="360" w:lineRule="auto"/>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8、公用工程</w:t>
            </w:r>
          </w:p>
          <w:p>
            <w:pPr>
              <w:widowControl/>
              <w:snapToGrid w:val="0"/>
              <w:spacing w:line="360" w:lineRule="auto"/>
              <w:ind w:firstLine="480" w:firstLineChars="200"/>
              <w:jc w:val="left"/>
              <w:rPr>
                <w:rFonts w:hint="default" w:ascii="Times New Roman" w:hAnsi="Times New Roman" w:cs="Times New Roman"/>
                <w:color w:val="auto"/>
                <w:kern w:val="28"/>
                <w:sz w:val="24"/>
                <w:szCs w:val="24"/>
              </w:rPr>
            </w:pPr>
            <w:r>
              <w:rPr>
                <w:rFonts w:hint="default" w:ascii="Times New Roman" w:hAnsi="Times New Roman" w:cs="Times New Roman"/>
                <w:color w:val="auto"/>
                <w:kern w:val="28"/>
                <w:sz w:val="24"/>
                <w:szCs w:val="24"/>
              </w:rPr>
              <w:t>（1）给排水工程</w:t>
            </w:r>
          </w:p>
          <w:p>
            <w:pPr>
              <w:pStyle w:val="15"/>
              <w:kinsoku w:val="0"/>
              <w:overflowPunct w:val="0"/>
              <w:spacing w:before="15" w:line="345" w:lineRule="auto"/>
              <w:ind w:left="241" w:right="238" w:firstLine="480"/>
              <w:rPr>
                <w:rFonts w:hint="default" w:ascii="Times New Roman" w:hAnsi="Times New Roman" w:cs="Times New Roman"/>
                <w:color w:val="auto"/>
                <w:spacing w:val="-6"/>
              </w:rPr>
            </w:pPr>
            <w:r>
              <w:rPr>
                <w:rFonts w:hint="default" w:ascii="Times New Roman" w:hAnsi="Times New Roman" w:cs="Times New Roman"/>
                <w:color w:val="auto"/>
                <w:spacing w:val="-6"/>
              </w:rPr>
              <w:t>给水依托填埋场场区现有深井。</w:t>
            </w:r>
          </w:p>
          <w:p>
            <w:pPr>
              <w:pStyle w:val="15"/>
              <w:kinsoku w:val="0"/>
              <w:overflowPunct w:val="0"/>
              <w:spacing w:before="15" w:line="345" w:lineRule="auto"/>
              <w:ind w:left="241" w:right="238" w:firstLine="480"/>
              <w:rPr>
                <w:rFonts w:hint="eastAsia" w:ascii="Times New Roman" w:hAnsi="Times New Roman" w:cs="Times New Roman"/>
                <w:color w:val="auto"/>
                <w:spacing w:val="-6"/>
                <w:lang w:val="en-US" w:eastAsia="zh-CN"/>
              </w:rPr>
            </w:pPr>
            <w:r>
              <w:rPr>
                <w:rFonts w:hint="default" w:ascii="Times New Roman" w:hAnsi="Times New Roman" w:cs="Times New Roman"/>
                <w:color w:val="auto"/>
                <w:spacing w:val="-6"/>
              </w:rPr>
              <w:t>厂区排水采用雨污分流制排水系统。采用雨、污分流制。雨水经收集后排入场区渗滤液调节池；生产废水收集后先经渗滤液处理站处理达标后，进入同江污水处理厂处理</w:t>
            </w:r>
            <w:r>
              <w:rPr>
                <w:rFonts w:hint="eastAsia" w:ascii="Times New Roman" w:hAnsi="Times New Roman" w:cs="Times New Roman"/>
                <w:color w:val="auto"/>
                <w:spacing w:val="-6"/>
                <w:lang w:eastAsia="zh-CN"/>
              </w:rPr>
              <w:t>，</w:t>
            </w:r>
            <w:r>
              <w:rPr>
                <w:rFonts w:hint="eastAsia" w:ascii="Times New Roman" w:hAnsi="Times New Roman" w:cs="Times New Roman"/>
                <w:color w:val="auto"/>
                <w:spacing w:val="-6"/>
                <w:lang w:val="en-US" w:eastAsia="zh-CN"/>
              </w:rPr>
              <w:t>产生的浓缩液回灌至垃圾填埋场。</w:t>
            </w:r>
          </w:p>
          <w:p>
            <w:pPr>
              <w:pStyle w:val="15"/>
              <w:kinsoku w:val="0"/>
              <w:overflowPunct w:val="0"/>
              <w:spacing w:before="15" w:line="345" w:lineRule="auto"/>
              <w:ind w:left="241" w:right="238" w:firstLine="480"/>
              <w:rPr>
                <w:rFonts w:hint="eastAsia" w:ascii="Times New Roman" w:hAnsi="Times New Roman" w:cs="Times New Roman"/>
                <w:color w:val="auto"/>
                <w:spacing w:val="-6"/>
                <w:lang w:val="en-US" w:eastAsia="zh-CN"/>
              </w:rPr>
            </w:pPr>
          </w:p>
          <w:p>
            <w:pPr>
              <w:pStyle w:val="15"/>
              <w:kinsoku w:val="0"/>
              <w:overflowPunct w:val="0"/>
              <w:spacing w:before="15" w:line="345" w:lineRule="auto"/>
              <w:ind w:left="241" w:right="238" w:firstLine="480"/>
              <w:rPr>
                <w:rFonts w:hint="eastAsia" w:ascii="Times New Roman" w:hAnsi="Times New Roman" w:cs="Times New Roman"/>
                <w:color w:val="auto"/>
                <w:spacing w:val="-6"/>
                <w:lang w:val="en-US" w:eastAsia="zh-CN"/>
              </w:rPr>
            </w:pPr>
          </w:p>
          <w:p>
            <w:pPr>
              <w:pStyle w:val="15"/>
              <w:kinsoku w:val="0"/>
              <w:overflowPunct w:val="0"/>
              <w:spacing w:before="15" w:line="345" w:lineRule="auto"/>
              <w:ind w:left="241" w:right="238" w:firstLine="480"/>
              <w:rPr>
                <w:rFonts w:hint="eastAsia" w:ascii="Times New Roman" w:hAnsi="Times New Roman" w:cs="Times New Roman"/>
                <w:color w:val="auto"/>
                <w:spacing w:val="-6"/>
                <w:lang w:val="en-US" w:eastAsia="zh-CN"/>
              </w:rPr>
            </w:pPr>
          </w:p>
          <w:p>
            <w:pPr>
              <w:pStyle w:val="15"/>
              <w:kinsoku w:val="0"/>
              <w:overflowPunct w:val="0"/>
              <w:spacing w:before="15" w:line="345" w:lineRule="auto"/>
              <w:ind w:left="241" w:right="238" w:firstLine="480"/>
              <w:rPr>
                <w:rFonts w:hint="eastAsia" w:ascii="Times New Roman" w:hAnsi="Times New Roman" w:cs="Times New Roman"/>
                <w:color w:val="auto"/>
                <w:spacing w:val="-6"/>
                <w:lang w:val="en-US" w:eastAsia="zh-CN"/>
              </w:rPr>
            </w:pPr>
          </w:p>
          <w:p>
            <w:pPr>
              <w:pStyle w:val="15"/>
              <w:kinsoku w:val="0"/>
              <w:overflowPunct w:val="0"/>
              <w:spacing w:before="15" w:line="345" w:lineRule="auto"/>
              <w:ind w:left="241" w:right="238" w:firstLine="480"/>
              <w:rPr>
                <w:rFonts w:hint="eastAsia" w:ascii="Times New Roman" w:hAnsi="Times New Roman" w:cs="Times New Roman"/>
                <w:color w:val="auto"/>
                <w:spacing w:val="-6"/>
                <w:lang w:val="en-US" w:eastAsia="zh-CN"/>
              </w:rPr>
            </w:pPr>
          </w:p>
          <w:p>
            <w:pPr>
              <w:pStyle w:val="15"/>
              <w:kinsoku w:val="0"/>
              <w:overflowPunct w:val="0"/>
              <w:spacing w:before="15" w:line="345" w:lineRule="auto"/>
              <w:ind w:left="241" w:right="238" w:firstLine="480"/>
              <w:rPr>
                <w:rFonts w:hint="eastAsia" w:ascii="Times New Roman" w:hAnsi="Times New Roman" w:cs="Times New Roman"/>
                <w:color w:val="auto"/>
                <w:spacing w:val="-6"/>
                <w:lang w:val="en-US" w:eastAsia="zh-CN"/>
              </w:rPr>
            </w:pPr>
          </w:p>
          <w:p>
            <w:pPr>
              <w:pStyle w:val="15"/>
              <w:kinsoku w:val="0"/>
              <w:overflowPunct w:val="0"/>
              <w:spacing w:before="15" w:line="345" w:lineRule="auto"/>
              <w:ind w:left="241" w:right="238" w:firstLine="480"/>
              <w:rPr>
                <w:rFonts w:hint="eastAsia" w:ascii="Times New Roman" w:hAnsi="Times New Roman" w:cs="Times New Roman"/>
                <w:color w:val="auto"/>
                <w:spacing w:val="-6"/>
                <w:lang w:val="en-US" w:eastAsia="zh-CN"/>
              </w:rPr>
            </w:pPr>
          </w:p>
          <w:p>
            <w:pPr>
              <w:pStyle w:val="15"/>
              <w:kinsoku w:val="0"/>
              <w:overflowPunct w:val="0"/>
              <w:spacing w:before="15" w:line="345" w:lineRule="auto"/>
              <w:ind w:left="241" w:right="238" w:firstLine="480"/>
              <w:rPr>
                <w:rFonts w:hint="eastAsia" w:ascii="Times New Roman" w:hAnsi="Times New Roman" w:cs="Times New Roman"/>
                <w:color w:val="auto"/>
                <w:spacing w:val="-6"/>
                <w:lang w:val="en-US" w:eastAsia="zh-CN"/>
              </w:rPr>
            </w:pPr>
          </w:p>
          <w:p>
            <w:pPr>
              <w:pStyle w:val="15"/>
              <w:kinsoku w:val="0"/>
              <w:overflowPunct w:val="0"/>
              <w:spacing w:before="15" w:line="345" w:lineRule="auto"/>
              <w:ind w:left="241" w:right="238" w:firstLine="480"/>
              <w:rPr>
                <w:rFonts w:hint="eastAsia" w:ascii="Times New Roman" w:hAnsi="Times New Roman" w:cs="Times New Roman"/>
                <w:color w:val="auto"/>
                <w:spacing w:val="-6"/>
                <w:lang w:val="en-US" w:eastAsia="zh-CN"/>
              </w:rPr>
            </w:pPr>
          </w:p>
          <w:p>
            <w:pPr>
              <w:pStyle w:val="15"/>
              <w:kinsoku w:val="0"/>
              <w:overflowPunct w:val="0"/>
              <w:spacing w:before="15" w:line="345" w:lineRule="auto"/>
              <w:ind w:left="241" w:right="238" w:firstLine="480"/>
              <w:rPr>
                <w:rFonts w:hint="eastAsia" w:ascii="Times New Roman" w:hAnsi="Times New Roman" w:cs="Times New Roman"/>
                <w:color w:val="auto"/>
                <w:spacing w:val="-6"/>
                <w:lang w:val="en-US" w:eastAsia="zh-CN"/>
              </w:rPr>
            </w:pPr>
          </w:p>
          <w:p>
            <w:pPr>
              <w:pStyle w:val="15"/>
              <w:kinsoku w:val="0"/>
              <w:overflowPunct w:val="0"/>
              <w:spacing w:before="15" w:line="345" w:lineRule="auto"/>
              <w:ind w:left="241" w:right="238" w:firstLine="480"/>
              <w:rPr>
                <w:rFonts w:hint="default" w:ascii="Times New Roman" w:hAnsi="Times New Roman" w:cs="Times New Roman"/>
                <w:color w:val="auto"/>
                <w:spacing w:val="-6"/>
                <w:lang w:val="en-US" w:eastAsia="zh-CN"/>
              </w:rPr>
            </w:pPr>
          </w:p>
          <w:p>
            <w:pPr>
              <w:pStyle w:val="15"/>
              <w:kinsoku w:val="0"/>
              <w:overflowPunct w:val="0"/>
              <w:spacing w:before="15" w:line="345" w:lineRule="auto"/>
              <w:ind w:left="241" w:right="238" w:firstLine="480"/>
              <w:jc w:val="center"/>
              <w:rPr>
                <w:rFonts w:hint="default" w:ascii="Times New Roman" w:hAnsi="Times New Roman" w:cs="Times New Roman"/>
                <w:color w:val="auto"/>
                <w:spacing w:val="-6"/>
              </w:rPr>
            </w:pPr>
            <w:r>
              <w:rPr>
                <w:rFonts w:hint="default" w:ascii="Times New Roman" w:hAnsi="Times New Roman" w:cs="Times New Roman"/>
                <w:color w:val="auto"/>
              </w:rPr>
              <w:drawing>
                <wp:inline distT="0" distB="0" distL="114300" distR="114300">
                  <wp:extent cx="3629025" cy="4232910"/>
                  <wp:effectExtent l="0" t="0" r="9525" b="1524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5"/>
                          <a:stretch>
                            <a:fillRect/>
                          </a:stretch>
                        </pic:blipFill>
                        <pic:spPr>
                          <a:xfrm>
                            <a:off x="0" y="0"/>
                            <a:ext cx="3629025" cy="4232910"/>
                          </a:xfrm>
                          <a:prstGeom prst="rect">
                            <a:avLst/>
                          </a:prstGeom>
                          <a:noFill/>
                          <a:ln>
                            <a:noFill/>
                          </a:ln>
                        </pic:spPr>
                      </pic:pic>
                    </a:graphicData>
                  </a:graphic>
                </wp:inline>
              </w:drawing>
            </w:r>
          </w:p>
          <w:p>
            <w:pPr>
              <w:widowControl/>
              <w:snapToGrid w:val="0"/>
              <w:spacing w:line="360" w:lineRule="auto"/>
              <w:ind w:firstLine="482" w:firstLineChars="200"/>
              <w:jc w:val="center"/>
              <w:rPr>
                <w:rFonts w:hint="default" w:ascii="Times New Roman" w:hAnsi="Times New Roman" w:eastAsia="宋体" w:cs="Times New Roman"/>
                <w:b/>
                <w:bCs/>
                <w:color w:val="auto"/>
                <w:kern w:val="28"/>
                <w:sz w:val="24"/>
                <w:szCs w:val="24"/>
                <w:lang w:val="en-US" w:eastAsia="zh-CN"/>
              </w:rPr>
            </w:pPr>
            <w:r>
              <w:rPr>
                <w:rFonts w:hint="default" w:ascii="Times New Roman" w:hAnsi="Times New Roman" w:cs="Times New Roman"/>
                <w:b/>
                <w:bCs/>
                <w:color w:val="auto"/>
                <w:kern w:val="28"/>
                <w:sz w:val="24"/>
                <w:szCs w:val="24"/>
                <w:lang w:val="en-US" w:eastAsia="zh-CN"/>
              </w:rPr>
              <w:t>图1-</w:t>
            </w:r>
            <w:r>
              <w:rPr>
                <w:rFonts w:hint="eastAsia" w:ascii="Times New Roman" w:hAnsi="Times New Roman" w:cs="Times New Roman"/>
                <w:b/>
                <w:bCs/>
                <w:color w:val="auto"/>
                <w:kern w:val="28"/>
                <w:sz w:val="24"/>
                <w:szCs w:val="24"/>
                <w:lang w:val="en-US" w:eastAsia="zh-CN"/>
              </w:rPr>
              <w:t>1</w:t>
            </w:r>
            <w:r>
              <w:rPr>
                <w:rFonts w:hint="default" w:ascii="Times New Roman" w:hAnsi="Times New Roman" w:cs="Times New Roman"/>
                <w:b/>
                <w:bCs/>
                <w:color w:val="auto"/>
                <w:kern w:val="28"/>
                <w:sz w:val="24"/>
                <w:szCs w:val="24"/>
                <w:lang w:val="en-US" w:eastAsia="zh-CN"/>
              </w:rPr>
              <w:t>水平衡图</w:t>
            </w:r>
          </w:p>
          <w:p>
            <w:pPr>
              <w:widowControl/>
              <w:snapToGrid w:val="0"/>
              <w:spacing w:line="360" w:lineRule="auto"/>
              <w:ind w:firstLine="480" w:firstLineChars="200"/>
              <w:jc w:val="left"/>
              <w:rPr>
                <w:rFonts w:hint="default" w:ascii="Times New Roman" w:hAnsi="Times New Roman" w:cs="Times New Roman"/>
                <w:color w:val="auto"/>
                <w:kern w:val="28"/>
                <w:sz w:val="24"/>
                <w:szCs w:val="24"/>
              </w:rPr>
            </w:pPr>
            <w:r>
              <w:rPr>
                <w:rFonts w:hint="default" w:ascii="Times New Roman" w:hAnsi="Times New Roman" w:cs="Times New Roman"/>
                <w:color w:val="auto"/>
                <w:kern w:val="28"/>
                <w:sz w:val="24"/>
                <w:szCs w:val="24"/>
              </w:rPr>
              <w:t xml:space="preserve">（2）供电 </w:t>
            </w:r>
          </w:p>
          <w:p>
            <w:pPr>
              <w:pStyle w:val="15"/>
              <w:snapToGrid w:val="0"/>
              <w:spacing w:line="360" w:lineRule="auto"/>
              <w:ind w:firstLine="480" w:firstLineChars="200"/>
              <w:rPr>
                <w:rFonts w:hint="default" w:ascii="Times New Roman" w:hAnsi="Times New Roman" w:cs="Times New Roman"/>
                <w:color w:val="auto"/>
                <w:spacing w:val="-12"/>
              </w:rPr>
            </w:pPr>
            <w:r>
              <w:rPr>
                <w:rFonts w:hint="default" w:ascii="Times New Roman" w:hAnsi="Times New Roman" w:cs="Times New Roman"/>
                <w:color w:val="auto"/>
              </w:rPr>
              <w:t>电源引自前端变电所经T接引来，供电电压为10kV。电源已敷设至厂区东北侧围墙内。</w:t>
            </w:r>
            <w:r>
              <w:rPr>
                <w:rFonts w:hint="default" w:ascii="Times New Roman" w:hAnsi="Times New Roman" w:cs="Times New Roman"/>
                <w:color w:val="auto"/>
                <w:spacing w:val="-12"/>
              </w:rPr>
              <w:t>备用电源：</w:t>
            </w:r>
            <w:r>
              <w:rPr>
                <w:rFonts w:hint="default" w:ascii="Times New Roman" w:hAnsi="Times New Roman" w:cs="Times New Roman"/>
                <w:color w:val="auto"/>
              </w:rPr>
              <w:t>采用一台集装箱式常载202kW柴油发电机组。</w:t>
            </w:r>
          </w:p>
          <w:p>
            <w:pPr>
              <w:widowControl/>
              <w:snapToGrid w:val="0"/>
              <w:spacing w:line="360" w:lineRule="auto"/>
              <w:ind w:firstLine="480" w:firstLineChars="200"/>
              <w:jc w:val="left"/>
              <w:rPr>
                <w:rFonts w:hint="default" w:ascii="Times New Roman" w:hAnsi="Times New Roman" w:cs="Times New Roman"/>
                <w:color w:val="auto"/>
                <w:kern w:val="28"/>
                <w:sz w:val="24"/>
                <w:szCs w:val="24"/>
              </w:rPr>
            </w:pPr>
            <w:r>
              <w:rPr>
                <w:rFonts w:hint="default" w:ascii="Times New Roman" w:hAnsi="Times New Roman" w:cs="Times New Roman"/>
                <w:color w:val="auto"/>
                <w:kern w:val="28"/>
                <w:sz w:val="24"/>
                <w:szCs w:val="24"/>
              </w:rPr>
              <w:t>（3）供暖</w:t>
            </w:r>
          </w:p>
          <w:p>
            <w:pPr>
              <w:widowControl/>
              <w:snapToGrid w:val="0"/>
              <w:spacing w:line="360" w:lineRule="auto"/>
              <w:ind w:firstLine="480" w:firstLineChars="200"/>
              <w:jc w:val="left"/>
              <w:rPr>
                <w:rFonts w:hint="default" w:ascii="Times New Roman" w:hAnsi="Times New Roman" w:cs="Times New Roman"/>
                <w:color w:val="auto"/>
                <w:kern w:val="28"/>
                <w:sz w:val="24"/>
                <w:szCs w:val="24"/>
              </w:rPr>
            </w:pPr>
            <w:r>
              <w:rPr>
                <w:rFonts w:hint="default" w:ascii="Times New Roman" w:hAnsi="Times New Roman" w:cs="Times New Roman"/>
                <w:color w:val="auto"/>
                <w:kern w:val="28"/>
                <w:sz w:val="24"/>
                <w:szCs w:val="24"/>
              </w:rPr>
              <w:t>本工程热源</w:t>
            </w:r>
            <w:r>
              <w:rPr>
                <w:rFonts w:hint="default" w:ascii="Times New Roman" w:hAnsi="Times New Roman" w:cs="Times New Roman"/>
                <w:color w:val="auto"/>
                <w:kern w:val="28"/>
                <w:sz w:val="24"/>
                <w:szCs w:val="24"/>
                <w:lang w:val="en-US" w:eastAsia="zh-CN"/>
              </w:rPr>
              <w:t>电取暖</w:t>
            </w:r>
            <w:r>
              <w:rPr>
                <w:rFonts w:hint="default" w:ascii="Times New Roman" w:hAnsi="Times New Roman" w:cs="Times New Roman"/>
                <w:color w:val="auto"/>
                <w:kern w:val="28"/>
                <w:sz w:val="24"/>
                <w:szCs w:val="24"/>
              </w:rPr>
              <w:t>。</w:t>
            </w:r>
          </w:p>
          <w:p>
            <w:pPr>
              <w:pStyle w:val="41"/>
              <w:spacing w:line="360" w:lineRule="auto"/>
              <w:rPr>
                <w:rFonts w:hint="default" w:ascii="Times New Roman" w:hAnsi="Times New Roman" w:cs="Times New Roman"/>
                <w:b/>
                <w:color w:val="auto"/>
              </w:rPr>
            </w:pPr>
            <w:r>
              <w:rPr>
                <w:rFonts w:hint="default" w:ascii="Times New Roman" w:hAnsi="Times New Roman" w:cs="Times New Roman"/>
                <w:b/>
                <w:color w:val="auto"/>
              </w:rPr>
              <w:t>9、</w:t>
            </w:r>
            <w:r>
              <w:rPr>
                <w:rFonts w:hint="default" w:ascii="Times New Roman" w:hAnsi="Times New Roman" w:cs="Times New Roman"/>
                <w:b/>
                <w:bCs/>
                <w:color w:val="auto"/>
              </w:rPr>
              <w:t>项目平面布局</w:t>
            </w:r>
          </w:p>
          <w:p>
            <w:pPr>
              <w:snapToGrid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垃圾填埋场现有构筑物进行平面布局设计，新建渗滤液处理车间位于原有渗滤液处理车间东侧，贴原处理车间建设。位于场区中部，厂区现有道路宽4～6m，转弯半径6～9m，本次设计继续使用。厂区平面布置图见附图1。</w:t>
            </w:r>
          </w:p>
          <w:p>
            <w:pPr>
              <w:spacing w:line="360" w:lineRule="auto"/>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10、项目工作制度及工程进度</w:t>
            </w:r>
          </w:p>
          <w:p>
            <w:pPr>
              <w:spacing w:line="360" w:lineRule="auto"/>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10.1工作制度及定员</w:t>
            </w:r>
          </w:p>
          <w:p>
            <w:pPr>
              <w:snapToGrid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本工程新增劳动定员2人。全年工作365天，施行一班制，时间8小时。</w:t>
            </w:r>
          </w:p>
          <w:p>
            <w:pPr>
              <w:spacing w:line="360" w:lineRule="auto"/>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10.2工程进度</w:t>
            </w:r>
          </w:p>
          <w:p>
            <w:pPr>
              <w:spacing w:line="360" w:lineRule="auto"/>
              <w:ind w:firstLine="480" w:firstLineChars="200"/>
              <w:rPr>
                <w:rFonts w:hint="default" w:ascii="Times New Roman" w:hAnsi="Times New Roman" w:cs="Times New Roman"/>
                <w:iCs/>
                <w:color w:val="auto"/>
                <w:sz w:val="24"/>
              </w:rPr>
            </w:pPr>
            <w:r>
              <w:rPr>
                <w:rFonts w:hint="default" w:ascii="Times New Roman" w:hAnsi="Times New Roman" w:cs="Times New Roman"/>
                <w:iCs/>
                <w:color w:val="auto"/>
                <w:sz w:val="24"/>
              </w:rPr>
              <w:t>本项目计划2021年全部完成，总建设期11个月。</w:t>
            </w:r>
          </w:p>
          <w:p>
            <w:pPr>
              <w:snapToGrid w:val="0"/>
              <w:spacing w:line="360" w:lineRule="auto"/>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11、政策和三线一单符合性分析</w:t>
            </w:r>
          </w:p>
          <w:p>
            <w:pPr>
              <w:pStyle w:val="107"/>
              <w:spacing w:line="360" w:lineRule="auto"/>
              <w:ind w:firstLine="0" w:firstLineChars="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11.1产业政策符合性</w:t>
            </w:r>
          </w:p>
          <w:p>
            <w:pPr>
              <w:widowControl/>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本项目属于</w:t>
            </w:r>
            <w:r>
              <w:rPr>
                <w:rFonts w:hint="default" w:ascii="Times New Roman" w:hAnsi="Times New Roman" w:cs="Times New Roman"/>
                <w:color w:val="auto"/>
                <w:sz w:val="24"/>
                <w:szCs w:val="24"/>
                <w:lang w:val="en-US" w:eastAsia="zh-CN"/>
              </w:rPr>
              <w:t>渗滤液处理</w:t>
            </w:r>
            <w:r>
              <w:rPr>
                <w:rFonts w:hint="default" w:ascii="Times New Roman" w:hAnsi="Times New Roman" w:cs="Times New Roman"/>
                <w:color w:val="auto"/>
                <w:sz w:val="24"/>
                <w:szCs w:val="24"/>
              </w:rPr>
              <w:t>项目，根据国家发展和改革委员会《产业结构调整指导目录（2011年本）》（2019修正），本项目属于鼓励类“四十三、环境保护与资源节约综合利用中15 “三废”综合利用与治理技术、装备和工程，属国家鼓励类项目。 因此，本项目符合国家产业政策。</w:t>
            </w:r>
          </w:p>
          <w:p>
            <w:pPr>
              <w:spacing w:line="360" w:lineRule="auto"/>
              <w:rPr>
                <w:rFonts w:hint="default" w:ascii="Times New Roman" w:hAnsi="Times New Roman" w:cs="Times New Roman"/>
                <w:b/>
                <w:color w:val="auto"/>
                <w:kern w:val="40"/>
                <w:sz w:val="24"/>
              </w:rPr>
            </w:pPr>
            <w:r>
              <w:rPr>
                <w:rFonts w:hint="default" w:ascii="Times New Roman" w:hAnsi="Times New Roman" w:cs="Times New Roman"/>
                <w:b/>
                <w:color w:val="auto"/>
                <w:kern w:val="40"/>
                <w:sz w:val="24"/>
              </w:rPr>
              <w:t>11.2“三线一单”相符性分析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“三线一单”指的是生态保护红线、环境质量底线、资源利用上线以及环境准入负面清单。本项目与“三线一单”相符性分析见表</w:t>
            </w:r>
            <w:r>
              <w:rPr>
                <w:rFonts w:hint="eastAsia" w:cs="Times New Roman"/>
                <w:color w:val="auto"/>
                <w:sz w:val="24"/>
                <w:lang w:val="en-US" w:eastAsia="zh-CN"/>
              </w:rPr>
              <w:t>14</w:t>
            </w:r>
            <w:r>
              <w:rPr>
                <w:rFonts w:hint="default" w:ascii="Times New Roman" w:hAnsi="Times New Roman" w:cs="Times New Roman"/>
                <w:color w:val="auto"/>
                <w:sz w:val="24"/>
              </w:rPr>
              <w:t>。</w:t>
            </w:r>
          </w:p>
          <w:p>
            <w:pPr>
              <w:autoSpaceDE w:val="0"/>
              <w:autoSpaceDN w:val="0"/>
              <w:snapToGrid w:val="0"/>
              <w:spacing w:line="240" w:lineRule="auto"/>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表1-1</w:t>
            </w:r>
            <w:r>
              <w:rPr>
                <w:rFonts w:hint="eastAsia" w:cs="Times New Roman"/>
                <w:b/>
                <w:bCs/>
                <w:color w:val="auto"/>
                <w:sz w:val="24"/>
                <w:szCs w:val="24"/>
                <w:lang w:val="en-US" w:eastAsia="zh-CN"/>
              </w:rPr>
              <w:t>4</w:t>
            </w:r>
            <w:r>
              <w:rPr>
                <w:rFonts w:hint="default" w:ascii="Times New Roman" w:hAnsi="Times New Roman" w:cs="Times New Roman"/>
                <w:b/>
                <w:bCs/>
                <w:color w:val="auto"/>
                <w:sz w:val="24"/>
                <w:szCs w:val="24"/>
              </w:rPr>
              <w:t>“三线一单”相符性分析</w:t>
            </w:r>
          </w:p>
          <w:tbl>
            <w:tblPr>
              <w:tblStyle w:val="33"/>
              <w:tblW w:w="873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25"/>
              <w:gridCol w:w="6099"/>
              <w:gridCol w:w="110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25" w:type="dxa"/>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“三线一单”</w:t>
                  </w:r>
                </w:p>
              </w:tc>
              <w:tc>
                <w:tcPr>
                  <w:tcW w:w="6099" w:type="dxa"/>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该项目具体情况</w:t>
                  </w:r>
                </w:p>
              </w:tc>
              <w:tc>
                <w:tcPr>
                  <w:tcW w:w="1107" w:type="dxa"/>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判定结果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25" w:type="dxa"/>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生态保护红线</w:t>
                  </w:r>
                </w:p>
              </w:tc>
              <w:tc>
                <w:tcPr>
                  <w:tcW w:w="6099" w:type="dxa"/>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2016年7月，黑龙江省环境保护厅发布了《黑龙江省生态保护红线划定实施方案》，该项目不在同江市生态保护红线区分布范围内，即该项目选址满足《黑龙江省生态保护红线划定实施方案》相关要求。</w:t>
                  </w:r>
                </w:p>
              </w:tc>
              <w:tc>
                <w:tcPr>
                  <w:tcW w:w="1107" w:type="dxa"/>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25" w:type="dxa"/>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环境质量底线</w:t>
                  </w:r>
                </w:p>
              </w:tc>
              <w:tc>
                <w:tcPr>
                  <w:tcW w:w="6099" w:type="dxa"/>
                  <w:vAlign w:val="center"/>
                </w:tcPr>
                <w:p>
                  <w:pPr>
                    <w:snapToGrid w:val="0"/>
                    <w:spacing w:line="240" w:lineRule="auto"/>
                    <w:jc w:val="center"/>
                    <w:textAlignment w:val="auto"/>
                    <w:rPr>
                      <w:rFonts w:hint="default" w:ascii="Times New Roman" w:hAnsi="Times New Roman" w:cs="Times New Roman"/>
                      <w:color w:val="auto"/>
                      <w:kern w:val="2"/>
                      <w:szCs w:val="21"/>
                      <w:highlight w:val="green"/>
                    </w:rPr>
                  </w:pPr>
                  <w:r>
                    <w:rPr>
                      <w:rFonts w:hint="default" w:ascii="Times New Roman" w:hAnsi="Times New Roman" w:cs="Times New Roman"/>
                      <w:color w:val="auto"/>
                      <w:kern w:val="2"/>
                      <w:szCs w:val="21"/>
                    </w:rPr>
                    <w:t>该项目所在区域环境空气、声环境质量现状均满足相应环境质量标准要求。该项目废气、噪声达标排放，污水不排放；各类固体废物和危险废物均可得到合理处置。</w:t>
                  </w:r>
                </w:p>
              </w:tc>
              <w:tc>
                <w:tcPr>
                  <w:tcW w:w="1107" w:type="dxa"/>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25" w:type="dxa"/>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资源利用上线</w:t>
                  </w:r>
                </w:p>
              </w:tc>
              <w:tc>
                <w:tcPr>
                  <w:tcW w:w="6099" w:type="dxa"/>
                  <w:vAlign w:val="center"/>
                </w:tcPr>
                <w:p>
                  <w:pPr>
                    <w:snapToGrid w:val="0"/>
                    <w:spacing w:line="240" w:lineRule="auto"/>
                    <w:jc w:val="center"/>
                    <w:textAlignment w:val="auto"/>
                    <w:rPr>
                      <w:rFonts w:hint="default" w:ascii="Times New Roman" w:hAnsi="Times New Roman" w:cs="Times New Roman"/>
                      <w:color w:val="auto"/>
                      <w:kern w:val="2"/>
                      <w:szCs w:val="21"/>
                      <w:highlight w:val="green"/>
                    </w:rPr>
                  </w:pPr>
                  <w:r>
                    <w:rPr>
                      <w:rFonts w:hint="default" w:ascii="Times New Roman" w:hAnsi="Times New Roman" w:cs="Times New Roman"/>
                      <w:color w:val="auto"/>
                      <w:kern w:val="2"/>
                      <w:szCs w:val="21"/>
                    </w:rPr>
                    <w:t>该项目运营过程中消耗一定量的电及水等能源，项目资源消耗量相对区域资源利用总量较少。</w:t>
                  </w:r>
                </w:p>
              </w:tc>
              <w:tc>
                <w:tcPr>
                  <w:tcW w:w="1107" w:type="dxa"/>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25" w:type="dxa"/>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负面清单</w:t>
                  </w:r>
                </w:p>
              </w:tc>
              <w:tc>
                <w:tcPr>
                  <w:tcW w:w="6099" w:type="dxa"/>
                  <w:vAlign w:val="center"/>
                </w:tcPr>
                <w:p>
                  <w:pPr>
                    <w:snapToGrid w:val="0"/>
                    <w:spacing w:line="240" w:lineRule="auto"/>
                    <w:jc w:val="center"/>
                    <w:textAlignment w:val="auto"/>
                    <w:rPr>
                      <w:rFonts w:hint="default" w:ascii="Times New Roman" w:hAnsi="Times New Roman" w:cs="Times New Roman"/>
                      <w:color w:val="auto"/>
                      <w:kern w:val="2"/>
                      <w:szCs w:val="21"/>
                      <w:highlight w:val="green"/>
                    </w:rPr>
                  </w:pPr>
                  <w:r>
                    <w:rPr>
                      <w:rFonts w:hint="default" w:ascii="Times New Roman" w:hAnsi="Times New Roman" w:cs="Times New Roman"/>
                      <w:color w:val="auto"/>
                      <w:kern w:val="2"/>
                      <w:szCs w:val="21"/>
                    </w:rPr>
                    <w:t>本项目属于“三废”综合利用与治理技术、装备和工程，不属于《黑龙江省重点生态功能区产业准入负面清单（试行版）》限制类、禁止类产业。</w:t>
                  </w:r>
                </w:p>
              </w:tc>
              <w:tc>
                <w:tcPr>
                  <w:tcW w:w="1107" w:type="dxa"/>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符合</w:t>
                  </w:r>
                </w:p>
              </w:tc>
            </w:tr>
          </w:tbl>
          <w:p>
            <w:pPr>
              <w:pStyle w:val="15"/>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综上所示，本项目符合产业政策、</w:t>
            </w:r>
            <w:r>
              <w:rPr>
                <w:rFonts w:hint="default" w:ascii="Times New Roman" w:hAnsi="Times New Roman" w:cs="Times New Roman"/>
                <w:color w:val="auto"/>
                <w:kern w:val="40"/>
              </w:rPr>
              <w:t>及三线一单中相关要求。</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12、</w:t>
            </w:r>
            <w:r>
              <w:rPr>
                <w:rFonts w:hint="default" w:ascii="Times New Roman" w:hAnsi="Times New Roman" w:cs="Times New Roman"/>
                <w:b/>
                <w:bCs/>
                <w:color w:val="auto"/>
                <w:sz w:val="24"/>
              </w:rPr>
              <w:t>选址合理性分析</w:t>
            </w:r>
          </w:p>
          <w:p>
            <w:pPr>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kern w:val="2"/>
                <w:sz w:val="24"/>
                <w:szCs w:val="24"/>
              </w:rPr>
              <w:t>项目建设地点位于同秀路7km处路南，同江垃圾处理场内原有渗滤液处理间东侧空地。</w:t>
            </w:r>
            <w:r>
              <w:rPr>
                <w:rFonts w:hint="default" w:ascii="Times New Roman" w:hAnsi="Times New Roman" w:cs="Times New Roman"/>
                <w:color w:val="auto"/>
                <w:sz w:val="24"/>
                <w:szCs w:val="22"/>
              </w:rPr>
              <w:t>经纬度：东经：132°37′54.22″，北纬：47°38′55.64″。垃圾填埋场北侧为同秀公路，其余三侧均为农田。新建</w:t>
            </w:r>
            <w:r>
              <w:rPr>
                <w:rFonts w:hint="default" w:ascii="Times New Roman" w:hAnsi="Times New Roman" w:cs="Times New Roman"/>
                <w:color w:val="auto"/>
                <w:sz w:val="24"/>
                <w:szCs w:val="24"/>
              </w:rPr>
              <w:t>渗滤液处理车间位于垃圾填埋场厂内，位于原有渗滤液处理车间东侧，贴原处理车间建设。新建渗滤液处理车间北侧为同秀公路，西侧为原垃圾渗滤液处理车间，南侧为填埋区，东侧为调节池。利用垃圾填埋场原有土地，不新增占地。</w:t>
            </w:r>
          </w:p>
          <w:p>
            <w:pPr>
              <w:pStyle w:val="89"/>
              <w:spacing w:line="360" w:lineRule="auto"/>
              <w:rPr>
                <w:rFonts w:hint="default" w:ascii="Times New Roman" w:hAnsi="Times New Roman" w:cs="Times New Roman"/>
                <w:color w:val="auto"/>
              </w:rPr>
            </w:pPr>
            <w:r>
              <w:rPr>
                <w:rFonts w:hint="default" w:ascii="Times New Roman" w:hAnsi="Times New Roman" w:cs="Times New Roman"/>
                <w:color w:val="auto"/>
              </w:rPr>
              <w:t>本项目项目所在地安无拆迁问题，不涉及移民安置，占地周围无居民区，施工期间不受影响。项目用地区域周边没有自然保护区、风景游览区、名胜古迹、生态脆弱敏感区。</w:t>
            </w:r>
          </w:p>
          <w:p>
            <w:pPr>
              <w:pStyle w:val="89"/>
              <w:spacing w:line="360" w:lineRule="auto"/>
              <w:rPr>
                <w:rFonts w:hint="default" w:ascii="Times New Roman" w:hAnsi="Times New Roman" w:cs="Times New Roman"/>
                <w:color w:val="auto"/>
              </w:rPr>
            </w:pPr>
            <w:r>
              <w:rPr>
                <w:rFonts w:hint="default" w:ascii="Times New Roman" w:hAnsi="Times New Roman" w:cs="Times New Roman"/>
                <w:color w:val="auto"/>
              </w:rPr>
              <w:t>综上所述，项目选址合理可行。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8947" w:type="dxa"/>
            <w:gridSpan w:val="8"/>
          </w:tcPr>
          <w:p>
            <w:pPr>
              <w:keepNext w:val="0"/>
              <w:keepLines w:val="0"/>
              <w:pageBreakBefore w:val="0"/>
              <w:kinsoku/>
              <w:wordWrap/>
              <w:overflowPunct/>
              <w:topLinePunct w:val="0"/>
              <w:autoSpaceDE/>
              <w:autoSpaceDN/>
              <w:bidi w:val="0"/>
              <w:spacing w:line="360" w:lineRule="auto"/>
              <w:rPr>
                <w:rFonts w:hint="default" w:ascii="Times New Roman" w:hAnsi="Times New Roman" w:cs="Times New Roman"/>
                <w:b/>
                <w:bCs/>
                <w:color w:val="auto"/>
                <w:sz w:val="30"/>
              </w:rPr>
            </w:pPr>
            <w:r>
              <w:rPr>
                <w:rFonts w:hint="default" w:ascii="Times New Roman" w:hAnsi="Times New Roman" w:cs="Times New Roman"/>
                <w:b/>
                <w:bCs/>
                <w:color w:val="auto"/>
                <w:sz w:val="30"/>
              </w:rPr>
              <w:t>与本项目有关的原有污染情况及主要环境问题：</w:t>
            </w:r>
          </w:p>
          <w:p>
            <w:pPr>
              <w:keepNext w:val="0"/>
              <w:keepLines w:val="0"/>
              <w:pageBreakBefore w:val="0"/>
              <w:kinsoku/>
              <w:wordWrap/>
              <w:overflowPunct/>
              <w:topLinePunct w:val="0"/>
              <w:autoSpaceDE/>
              <w:autoSpaceDN/>
              <w:bidi w:val="0"/>
              <w:adjustRightInd/>
              <w:spacing w:line="360" w:lineRule="auto"/>
              <w:textAlignment w:val="auto"/>
              <w:rPr>
                <w:rFonts w:hint="default" w:ascii="Times New Roman" w:hAnsi="Times New Roman" w:eastAsia="宋体" w:cs="Times New Roman"/>
                <w:b/>
                <w:color w:val="auto"/>
                <w:sz w:val="24"/>
                <w:szCs w:val="22"/>
                <w:lang w:val="en-US" w:eastAsia="zh-CN"/>
              </w:rPr>
            </w:pPr>
            <w:r>
              <w:rPr>
                <w:rFonts w:hint="default" w:ascii="Times New Roman" w:hAnsi="Times New Roman" w:cs="Times New Roman"/>
                <w:b/>
                <w:color w:val="auto"/>
                <w:sz w:val="24"/>
                <w:szCs w:val="22"/>
              </w:rPr>
              <w:t>一、现有工程</w:t>
            </w:r>
            <w:r>
              <w:rPr>
                <w:rFonts w:hint="default" w:ascii="Times New Roman" w:hAnsi="Times New Roman" w:cs="Times New Roman"/>
                <w:b/>
                <w:color w:val="auto"/>
                <w:sz w:val="24"/>
                <w:szCs w:val="22"/>
                <w:lang w:val="en-US" w:eastAsia="zh-CN"/>
              </w:rPr>
              <w:t>环保手续情况</w:t>
            </w:r>
          </w:p>
          <w:p>
            <w:pPr>
              <w:pStyle w:val="114"/>
              <w:keepNext w:val="0"/>
              <w:keepLines w:val="0"/>
              <w:pageBreakBefore w:val="0"/>
              <w:kinsoku/>
              <w:wordWrap/>
              <w:overflowPunct/>
              <w:topLinePunct w:val="0"/>
              <w:autoSpaceDE/>
              <w:autoSpaceDN/>
              <w:bidi w:val="0"/>
              <w:spacing w:line="360" w:lineRule="auto"/>
              <w:ind w:firstLine="560"/>
              <w:rPr>
                <w:rFonts w:hint="default" w:ascii="Times New Roman" w:hAnsi="Times New Roman" w:cs="Times New Roman"/>
                <w:color w:val="auto"/>
                <w:kern w:val="0"/>
                <w:sz w:val="24"/>
                <w:szCs w:val="22"/>
                <w:lang w:val="en-US" w:eastAsia="zh-CN"/>
              </w:rPr>
            </w:pPr>
            <w:r>
              <w:rPr>
                <w:rFonts w:hint="default" w:ascii="Times New Roman" w:hAnsi="Times New Roman" w:cs="Times New Roman"/>
                <w:color w:val="auto"/>
                <w:kern w:val="0"/>
                <w:sz w:val="24"/>
                <w:szCs w:val="22"/>
              </w:rPr>
              <w:t>2012年，同江市城市生活垃圾处理厂的土建工程和设备安装全部完成并正式运营，卫生填埋及渗滤液处理系统、附属设备运行正常，出水水质达到设计要求。2015年11月同江市城市生活垃圾处理厂通过了佳木斯市环境保护局组织的现场检查及环保验收。</w:t>
            </w:r>
            <w:r>
              <w:rPr>
                <w:rFonts w:hint="default" w:ascii="Times New Roman" w:hAnsi="Times New Roman" w:cs="Times New Roman"/>
                <w:color w:val="auto"/>
                <w:kern w:val="0"/>
                <w:sz w:val="24"/>
                <w:szCs w:val="22"/>
                <w:lang w:val="en-US" w:eastAsia="zh-CN"/>
              </w:rPr>
              <w:t>企业于2020年4月取得排污许可。</w:t>
            </w:r>
          </w:p>
          <w:p>
            <w:pPr>
              <w:pStyle w:val="114"/>
              <w:keepNext w:val="0"/>
              <w:keepLines w:val="0"/>
              <w:pageBreakBefore w:val="0"/>
              <w:kinsoku/>
              <w:wordWrap/>
              <w:overflowPunct/>
              <w:topLinePunct w:val="0"/>
              <w:autoSpaceDE/>
              <w:autoSpaceDN/>
              <w:bidi w:val="0"/>
              <w:spacing w:line="360" w:lineRule="auto"/>
              <w:ind w:firstLine="560"/>
              <w:rPr>
                <w:rFonts w:hint="default" w:ascii="Times New Roman" w:hAnsi="Times New Roman" w:eastAsia="宋体" w:cs="Times New Roman"/>
                <w:color w:val="auto"/>
                <w:kern w:val="0"/>
                <w:sz w:val="24"/>
                <w:szCs w:val="22"/>
                <w:lang w:val="en-US" w:eastAsia="zh-CN"/>
              </w:rPr>
            </w:pPr>
            <w:r>
              <w:rPr>
                <w:rFonts w:hint="default" w:ascii="Times New Roman" w:hAnsi="Times New Roman" w:cs="Times New Roman"/>
                <w:color w:val="auto"/>
                <w:kern w:val="0"/>
                <w:sz w:val="24"/>
                <w:szCs w:val="22"/>
                <w:lang w:val="en-US" w:eastAsia="zh-CN"/>
              </w:rPr>
              <w:t>2019年，同江市城市垃圾管理站在</w:t>
            </w:r>
            <w:r>
              <w:rPr>
                <w:rFonts w:hint="default" w:ascii="Times New Roman" w:hAnsi="Times New Roman" w:cs="Times New Roman"/>
                <w:color w:val="auto"/>
                <w:kern w:val="0"/>
                <w:sz w:val="24"/>
                <w:szCs w:val="22"/>
              </w:rPr>
              <w:t>同江市城市生活垃圾处理厂</w:t>
            </w:r>
            <w:r>
              <w:rPr>
                <w:rFonts w:hint="default" w:ascii="Times New Roman" w:hAnsi="Times New Roman" w:cs="Times New Roman"/>
                <w:color w:val="auto"/>
                <w:kern w:val="0"/>
                <w:sz w:val="24"/>
                <w:szCs w:val="22"/>
                <w:lang w:val="en-US" w:eastAsia="zh-CN"/>
              </w:rPr>
              <w:t>内建设同江市医疗废物集中处置中心建设项目并于2019年取得《同江市医疗废物集中处置中心建设项目环境影响报告书的批复》（佳环建审[2019]26号），并于2019年9月通过该项目的竣工环境保护验收。</w:t>
            </w:r>
          </w:p>
          <w:p>
            <w:pPr>
              <w:keepNext w:val="0"/>
              <w:keepLines w:val="0"/>
              <w:pageBreakBefore w:val="0"/>
              <w:kinsoku/>
              <w:wordWrap/>
              <w:overflowPunct/>
              <w:topLinePunct w:val="0"/>
              <w:autoSpaceDE/>
              <w:autoSpaceDN/>
              <w:bidi w:val="0"/>
              <w:adjustRightInd/>
              <w:spacing w:line="360" w:lineRule="auto"/>
              <w:textAlignment w:val="auto"/>
              <w:rPr>
                <w:rFonts w:hint="default" w:ascii="Times New Roman" w:hAnsi="Times New Roman" w:eastAsia="仿宋_GB2312" w:cs="Times New Roman"/>
                <w:b/>
                <w:bCs/>
                <w:color w:val="auto"/>
                <w:kern w:val="2"/>
                <w:sz w:val="24"/>
                <w:szCs w:val="24"/>
              </w:rPr>
            </w:pPr>
            <w:r>
              <w:rPr>
                <w:rFonts w:hint="default" w:ascii="Times New Roman" w:hAnsi="Times New Roman" w:cs="Times New Roman"/>
                <w:b/>
                <w:bCs/>
                <w:color w:val="auto"/>
                <w:kern w:val="2"/>
                <w:sz w:val="24"/>
                <w:szCs w:val="24"/>
              </w:rPr>
              <w:t>二、现有工程污染物排放及达标情况</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引用《关于同江市城市生活垃圾处理工程竣工环境保护验收意见的函》中的结论，项目的主要污染物基本达标排放，符合环境保护验收条件。</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同江市医疗废物集中处置中心建设项目竣工环境保护验收意见》，同江城市垃圾管理站按《建设项目竣工环境保护验收暂行办法》要求，组织专家对同江市医疗垃圾废物处置中心建设项目所设计的环保设施和措施落实情况逐一对照核查，在完善自身的同时，委托佳木斯世纪阳光检测有限公司于2019年7月20日~21日开展了环保验收检测，现场检查和验收检测结果表明，本项目各项污染物排放均满足相关标准限值要求，各项污染防治措施基本落实，环保设施运行正常，建议通过环保验收。</w:t>
            </w:r>
          </w:p>
          <w:p>
            <w:pPr>
              <w:pStyle w:val="12"/>
              <w:keepNext w:val="0"/>
              <w:keepLines w:val="0"/>
              <w:pageBreakBefore w:val="0"/>
              <w:numPr>
                <w:ilvl w:val="0"/>
                <w:numId w:val="2"/>
              </w:numPr>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废气</w:t>
            </w:r>
          </w:p>
          <w:p>
            <w:pPr>
              <w:pStyle w:val="12"/>
              <w:keepNext w:val="0"/>
              <w:keepLines w:val="0"/>
              <w:pageBreakBefore w:val="0"/>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bidi="ar-SA"/>
              </w:rPr>
              <w:t>根据现状检测，厂址及下风向</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浓度范围在0.06~0.14</w:t>
            </w:r>
            <w:r>
              <w:rPr>
                <w:rFonts w:hint="default" w:ascii="Times New Roman" w:hAnsi="Times New Roman" w:eastAsia="宋体" w:cs="Times New Roman"/>
                <w:color w:val="auto"/>
                <w:kern w:val="2"/>
                <w:sz w:val="24"/>
                <w:szCs w:val="24"/>
                <w:lang w:val="en-US" w:eastAsia="zh-CN"/>
              </w:rPr>
              <w:t>m</w:t>
            </w:r>
            <w:r>
              <w:rPr>
                <w:rFonts w:hint="default" w:ascii="Times New Roman" w:hAnsi="Times New Roman" w:eastAsia="宋体" w:cs="Times New Roman"/>
                <w:color w:val="auto"/>
                <w:kern w:val="2"/>
                <w:sz w:val="24"/>
                <w:szCs w:val="24"/>
              </w:rPr>
              <w:t>g/m</w:t>
            </w:r>
            <w:r>
              <w:rPr>
                <w:rFonts w:hint="default" w:ascii="Times New Roman" w:hAnsi="Times New Roman" w:eastAsia="宋体" w:cs="Times New Roman"/>
                <w:color w:val="auto"/>
                <w:kern w:val="2"/>
                <w:sz w:val="24"/>
                <w:szCs w:val="24"/>
                <w:vertAlign w:val="superscript"/>
              </w:rPr>
              <w:t>3</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w:t>
            </w:r>
            <w:r>
              <w:rPr>
                <w:rFonts w:hint="default" w:ascii="Times New Roman" w:hAnsi="Times New Roman" w:eastAsia="宋体" w:cs="Times New Roman"/>
                <w:color w:val="auto"/>
                <w:sz w:val="24"/>
                <w:szCs w:val="24"/>
                <w:lang w:val="en-US" w:eastAsia="zh-CN"/>
              </w:rPr>
              <w:t>浓度范围子啊0.001~0.004</w:t>
            </w:r>
            <w:r>
              <w:rPr>
                <w:rFonts w:hint="default" w:ascii="Times New Roman" w:hAnsi="Times New Roman" w:eastAsia="宋体" w:cs="Times New Roman"/>
                <w:color w:val="auto"/>
                <w:kern w:val="2"/>
                <w:sz w:val="24"/>
                <w:szCs w:val="24"/>
                <w:lang w:val="en-US" w:eastAsia="zh-CN"/>
              </w:rPr>
              <w:t>m</w:t>
            </w:r>
            <w:r>
              <w:rPr>
                <w:rFonts w:hint="default" w:ascii="Times New Roman" w:hAnsi="Times New Roman" w:eastAsia="宋体" w:cs="Times New Roman"/>
                <w:color w:val="auto"/>
                <w:kern w:val="2"/>
                <w:sz w:val="24"/>
                <w:szCs w:val="24"/>
              </w:rPr>
              <w:t>g/m</w:t>
            </w:r>
            <w:r>
              <w:rPr>
                <w:rFonts w:hint="default" w:ascii="Times New Roman" w:hAnsi="Times New Roman" w:eastAsia="宋体" w:cs="Times New Roman"/>
                <w:color w:val="auto"/>
                <w:kern w:val="2"/>
                <w:sz w:val="24"/>
                <w:szCs w:val="24"/>
                <w:vertAlign w:val="superscript"/>
              </w:rPr>
              <w:t>3</w:t>
            </w:r>
            <w:r>
              <w:rPr>
                <w:rFonts w:hint="default" w:ascii="Times New Roman" w:hAnsi="Times New Roman" w:eastAsia="宋体" w:cs="Times New Roman"/>
                <w:color w:val="auto"/>
                <w:sz w:val="24"/>
                <w:szCs w:val="24"/>
                <w:lang w:val="en-US" w:eastAsia="zh-CN"/>
              </w:rPr>
              <w:t>，臭气浓度在10~17,厂界及下风向</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臭气浓度能够满足</w:t>
            </w:r>
            <w:r>
              <w:rPr>
                <w:rFonts w:hint="default" w:ascii="Times New Roman" w:hAnsi="Times New Roman" w:eastAsia="宋体" w:cs="Times New Roman"/>
                <w:color w:val="auto"/>
                <w:sz w:val="24"/>
                <w:szCs w:val="24"/>
              </w:rPr>
              <w:t>《恶臭污染物排放标准》（GB14554-93）</w:t>
            </w:r>
            <w:r>
              <w:rPr>
                <w:rFonts w:hint="default" w:ascii="Times New Roman" w:hAnsi="Times New Roman" w:eastAsia="宋体" w:cs="Times New Roman"/>
                <w:color w:val="auto"/>
                <w:sz w:val="24"/>
                <w:szCs w:val="24"/>
                <w:lang w:val="en-US" w:eastAsia="zh-CN"/>
              </w:rPr>
              <w:t>无组织排放限值要求。</w:t>
            </w:r>
          </w:p>
          <w:p>
            <w:pPr>
              <w:pStyle w:val="12"/>
              <w:keepNext w:val="0"/>
              <w:keepLines w:val="0"/>
              <w:pageBreakBefore w:val="0"/>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（2）厂界噪声昼间在48.8~52.3dB（A），夜间在40.8~44.2dB（A），在能够满足《工业企业厂界环境噪声排放标准》（GB12348-2008）2类要求。</w:t>
            </w:r>
          </w:p>
          <w:p>
            <w:pPr>
              <w:pStyle w:val="12"/>
              <w:keepNext w:val="0"/>
              <w:keepLines w:val="0"/>
              <w:pageBreakBefore w:val="0"/>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（3）废水</w:t>
            </w:r>
          </w:p>
          <w:p>
            <w:pPr>
              <w:pStyle w:val="12"/>
              <w:keepNext w:val="0"/>
              <w:keepLines w:val="0"/>
              <w:pageBreakBefore w:val="0"/>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黑龙江金珅醐环境检测有限公司2020年7月对厂区废水排放口水质检测结果，检测结果可知，现状废水排放能够满足《医疗机构水污染物排放标准》（GB18466-2005）预处理标准及《生活垃圾填埋场污染控制标准》（GB16889-2008）中表2规定的水污染物排放浓度限值。</w:t>
            </w:r>
          </w:p>
          <w:p>
            <w:pPr>
              <w:pStyle w:val="12"/>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4"/>
                <w:szCs w:val="22"/>
                <w:lang w:val="en-US" w:eastAsia="zh-CN" w:bidi="ar-SA"/>
              </w:rPr>
            </w:pPr>
            <w:r>
              <w:rPr>
                <w:rFonts w:hint="eastAsia" w:ascii="Times New Roman" w:hAnsi="Times New Roman" w:eastAsia="宋体" w:cs="Times New Roman"/>
                <w:b/>
                <w:bCs/>
                <w:color w:val="auto"/>
                <w:kern w:val="0"/>
                <w:sz w:val="24"/>
                <w:szCs w:val="22"/>
                <w:lang w:val="en-US" w:eastAsia="zh-CN" w:bidi="ar-SA"/>
              </w:rPr>
              <w:t>表</w:t>
            </w:r>
            <w:r>
              <w:rPr>
                <w:rFonts w:hint="default" w:ascii="Times New Roman" w:hAnsi="Times New Roman" w:eastAsia="宋体" w:cs="Times New Roman"/>
                <w:b/>
                <w:bCs/>
                <w:color w:val="auto"/>
                <w:kern w:val="0"/>
                <w:sz w:val="24"/>
                <w:szCs w:val="22"/>
                <w:lang w:val="en-US" w:eastAsia="zh-CN" w:bidi="ar-SA"/>
              </w:rPr>
              <w:t>1-1</w:t>
            </w:r>
            <w:r>
              <w:rPr>
                <w:rFonts w:hint="eastAsia" w:ascii="Times New Roman" w:hAnsi="Times New Roman" w:eastAsia="宋体" w:cs="Times New Roman"/>
                <w:b/>
                <w:bCs/>
                <w:color w:val="auto"/>
                <w:kern w:val="0"/>
                <w:sz w:val="24"/>
                <w:szCs w:val="22"/>
                <w:lang w:val="en-US" w:eastAsia="zh-CN" w:bidi="ar-SA"/>
              </w:rPr>
              <w:t>5</w:t>
            </w:r>
            <w:r>
              <w:rPr>
                <w:rFonts w:hint="default" w:ascii="Times New Roman" w:hAnsi="Times New Roman" w:eastAsia="宋体" w:cs="Times New Roman"/>
                <w:b/>
                <w:bCs/>
                <w:color w:val="auto"/>
                <w:kern w:val="0"/>
                <w:sz w:val="24"/>
                <w:szCs w:val="22"/>
                <w:lang w:val="en-US" w:eastAsia="zh-CN" w:bidi="ar-SA"/>
              </w:rPr>
              <w:t>废水检测结果</w:t>
            </w:r>
          </w:p>
          <w:tbl>
            <w:tblPr>
              <w:tblStyle w:val="33"/>
              <w:tblW w:w="0" w:type="auto"/>
              <w:tblInd w:w="109" w:type="dxa"/>
              <w:tblBorders>
                <w:top w:val="single" w:color="131313" w:sz="12" w:space="0"/>
                <w:left w:val="none" w:color="auto" w:sz="0" w:space="0"/>
                <w:bottom w:val="single" w:color="131313" w:sz="12" w:space="0"/>
                <w:right w:val="none" w:color="auto" w:sz="0" w:space="0"/>
                <w:insideH w:val="single" w:color="131313" w:sz="4" w:space="0"/>
                <w:insideV w:val="single" w:color="131313" w:sz="4" w:space="0"/>
              </w:tblBorders>
              <w:tblLayout w:type="autofit"/>
              <w:tblCellMar>
                <w:top w:w="0" w:type="dxa"/>
                <w:left w:w="0" w:type="dxa"/>
                <w:bottom w:w="0" w:type="dxa"/>
                <w:right w:w="0" w:type="dxa"/>
              </w:tblCellMar>
            </w:tblPr>
            <w:tblGrid>
              <w:gridCol w:w="1736"/>
              <w:gridCol w:w="1754"/>
              <w:gridCol w:w="1685"/>
              <w:gridCol w:w="1717"/>
              <w:gridCol w:w="1730"/>
            </w:tblGrid>
            <w:tr>
              <w:tblPrEx>
                <w:tblBorders>
                  <w:top w:val="single" w:color="131313" w:sz="12" w:space="0"/>
                  <w:left w:val="none" w:color="auto" w:sz="0" w:space="0"/>
                  <w:bottom w:val="single" w:color="131313" w:sz="12" w:space="0"/>
                  <w:right w:val="none" w:color="auto" w:sz="0" w:space="0"/>
                  <w:insideH w:val="single" w:color="131313" w:sz="4" w:space="0"/>
                  <w:insideV w:val="single" w:color="131313" w:sz="4" w:space="0"/>
                </w:tblBorders>
                <w:tblCellMar>
                  <w:top w:w="0" w:type="dxa"/>
                  <w:left w:w="0" w:type="dxa"/>
                  <w:bottom w:w="0" w:type="dxa"/>
                  <w:right w:w="0" w:type="dxa"/>
                </w:tblCellMar>
              </w:tblPrEx>
              <w:trPr>
                <w:trHeight w:val="320" w:hRule="atLeast"/>
              </w:trPr>
              <w:tc>
                <w:tcPr>
                  <w:tcW w:w="184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采样位置</w:t>
                  </w:r>
                </w:p>
              </w:tc>
              <w:tc>
                <w:tcPr>
                  <w:tcW w:w="1838"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采样时间</w:t>
                  </w: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检测项目</w:t>
                  </w: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检测结果</w:t>
                  </w:r>
                </w:p>
              </w:tc>
              <w:tc>
                <w:tcPr>
                  <w:tcW w:w="184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单位</w:t>
                  </w:r>
                </w:p>
              </w:tc>
            </w:tr>
            <w:tr>
              <w:tblPrEx>
                <w:tblBorders>
                  <w:top w:val="single" w:color="131313" w:sz="12" w:space="0"/>
                  <w:left w:val="none" w:color="auto" w:sz="0" w:space="0"/>
                  <w:bottom w:val="single" w:color="131313" w:sz="12" w:space="0"/>
                  <w:right w:val="none" w:color="auto" w:sz="0" w:space="0"/>
                  <w:insideH w:val="single" w:color="131313" w:sz="4" w:space="0"/>
                  <w:insideV w:val="single" w:color="131313" w:sz="4" w:space="0"/>
                </w:tblBorders>
                <w:tblCellMar>
                  <w:top w:w="0" w:type="dxa"/>
                  <w:left w:w="0" w:type="dxa"/>
                  <w:bottom w:w="0" w:type="dxa"/>
                  <w:right w:w="0" w:type="dxa"/>
                </w:tblCellMar>
              </w:tblPrEx>
              <w:trPr>
                <w:trHeight w:val="380" w:hRule="atLeast"/>
              </w:trPr>
              <w:tc>
                <w:tcPr>
                  <w:tcW w:w="1843" w:type="dxa"/>
                  <w:vMerge w:val="restart"/>
                  <w:tcBorders>
                    <w:tl2br w:val="nil"/>
                    <w:tr2bl w:val="nil"/>
                  </w:tcBorders>
                </w:tcPr>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主要排放口</w:t>
                  </w:r>
                </w:p>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DWOOl</w:t>
                  </w:r>
                </w:p>
              </w:tc>
              <w:tc>
                <w:tcPr>
                  <w:tcW w:w="1838" w:type="dxa"/>
                  <w:vMerge w:val="restart"/>
                  <w:tcBorders>
                    <w:tl2br w:val="nil"/>
                    <w:tr2bl w:val="nil"/>
                  </w:tcBorders>
                </w:tcPr>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2020.07.10</w:t>
                  </w: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悬浮物</w:t>
                  </w: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22</w:t>
                  </w:r>
                </w:p>
              </w:tc>
              <w:tc>
                <w:tcPr>
                  <w:tcW w:w="184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mg/L</w:t>
                  </w:r>
                </w:p>
              </w:tc>
            </w:tr>
            <w:tr>
              <w:tblPrEx>
                <w:tblBorders>
                  <w:top w:val="single" w:color="131313" w:sz="12" w:space="0"/>
                  <w:left w:val="none" w:color="auto" w:sz="0" w:space="0"/>
                  <w:bottom w:val="single" w:color="131313" w:sz="12" w:space="0"/>
                  <w:right w:val="none" w:color="auto" w:sz="0" w:space="0"/>
                  <w:insideH w:val="single" w:color="131313" w:sz="4" w:space="0"/>
                  <w:insideV w:val="single" w:color="131313" w:sz="4" w:space="0"/>
                </w:tblBorders>
                <w:tblCellMar>
                  <w:top w:w="0" w:type="dxa"/>
                  <w:left w:w="0" w:type="dxa"/>
                  <w:bottom w:w="0" w:type="dxa"/>
                  <w:right w:w="0" w:type="dxa"/>
                </w:tblCellMar>
              </w:tblPrEx>
              <w:trPr>
                <w:trHeight w:val="360" w:hRule="atLeast"/>
              </w:trPr>
              <w:tc>
                <w:tcPr>
                  <w:tcW w:w="1843"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8"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化学需氧量</w:t>
                  </w: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86</w:t>
                  </w:r>
                </w:p>
              </w:tc>
              <w:tc>
                <w:tcPr>
                  <w:tcW w:w="184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mg/L</w:t>
                  </w:r>
                </w:p>
              </w:tc>
            </w:tr>
            <w:tr>
              <w:tblPrEx>
                <w:tblBorders>
                  <w:top w:val="single" w:color="131313" w:sz="12" w:space="0"/>
                  <w:left w:val="none" w:color="auto" w:sz="0" w:space="0"/>
                  <w:bottom w:val="single" w:color="131313" w:sz="12" w:space="0"/>
                  <w:right w:val="none" w:color="auto" w:sz="0" w:space="0"/>
                  <w:insideH w:val="single" w:color="131313" w:sz="4" w:space="0"/>
                  <w:insideV w:val="single" w:color="131313" w:sz="4" w:space="0"/>
                </w:tblBorders>
                <w:tblCellMar>
                  <w:top w:w="0" w:type="dxa"/>
                  <w:left w:w="0" w:type="dxa"/>
                  <w:bottom w:w="0" w:type="dxa"/>
                  <w:right w:w="0" w:type="dxa"/>
                </w:tblCellMar>
              </w:tblPrEx>
              <w:trPr>
                <w:trHeight w:val="380" w:hRule="atLeast"/>
              </w:trPr>
              <w:tc>
                <w:tcPr>
                  <w:tcW w:w="1843"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8"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生化需氧量</w:t>
                  </w: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20.0</w:t>
                  </w:r>
                </w:p>
              </w:tc>
              <w:tc>
                <w:tcPr>
                  <w:tcW w:w="184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mg/L</w:t>
                  </w:r>
                </w:p>
              </w:tc>
            </w:tr>
            <w:tr>
              <w:tblPrEx>
                <w:tblBorders>
                  <w:top w:val="single" w:color="131313" w:sz="12" w:space="0"/>
                  <w:left w:val="none" w:color="auto" w:sz="0" w:space="0"/>
                  <w:bottom w:val="single" w:color="131313" w:sz="12" w:space="0"/>
                  <w:right w:val="none" w:color="auto" w:sz="0" w:space="0"/>
                  <w:insideH w:val="single" w:color="131313" w:sz="4" w:space="0"/>
                  <w:insideV w:val="single" w:color="131313" w:sz="4" w:space="0"/>
                </w:tblBorders>
                <w:tblCellMar>
                  <w:top w:w="0" w:type="dxa"/>
                  <w:left w:w="0" w:type="dxa"/>
                  <w:bottom w:w="0" w:type="dxa"/>
                  <w:right w:w="0" w:type="dxa"/>
                </w:tblCellMar>
              </w:tblPrEx>
              <w:trPr>
                <w:trHeight w:val="380" w:hRule="atLeast"/>
              </w:trPr>
              <w:tc>
                <w:tcPr>
                  <w:tcW w:w="1843"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8"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色度</w:t>
                  </w: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32</w:t>
                  </w:r>
                </w:p>
              </w:tc>
              <w:tc>
                <w:tcPr>
                  <w:tcW w:w="184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倍</w:t>
                  </w:r>
                </w:p>
              </w:tc>
            </w:tr>
            <w:tr>
              <w:tblPrEx>
                <w:tblBorders>
                  <w:top w:val="single" w:color="131313" w:sz="12" w:space="0"/>
                  <w:left w:val="none" w:color="auto" w:sz="0" w:space="0"/>
                  <w:bottom w:val="single" w:color="131313" w:sz="12" w:space="0"/>
                  <w:right w:val="none" w:color="auto" w:sz="0" w:space="0"/>
                  <w:insideH w:val="single" w:color="131313" w:sz="4" w:space="0"/>
                  <w:insideV w:val="single" w:color="131313" w:sz="4" w:space="0"/>
                </w:tblBorders>
                <w:tblCellMar>
                  <w:top w:w="0" w:type="dxa"/>
                  <w:left w:w="0" w:type="dxa"/>
                  <w:bottom w:w="0" w:type="dxa"/>
                  <w:right w:w="0" w:type="dxa"/>
                </w:tblCellMar>
              </w:tblPrEx>
              <w:trPr>
                <w:trHeight w:val="105" w:hRule="atLeast"/>
              </w:trPr>
              <w:tc>
                <w:tcPr>
                  <w:tcW w:w="1843"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8"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氨氮</w:t>
                  </w: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18.2</w:t>
                  </w:r>
                </w:p>
              </w:tc>
              <w:tc>
                <w:tcPr>
                  <w:tcW w:w="184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mg/L</w:t>
                  </w:r>
                </w:p>
              </w:tc>
            </w:tr>
            <w:tr>
              <w:tblPrEx>
                <w:tblBorders>
                  <w:top w:val="single" w:color="131313" w:sz="12" w:space="0"/>
                  <w:left w:val="none" w:color="auto" w:sz="0" w:space="0"/>
                  <w:bottom w:val="single" w:color="131313" w:sz="12" w:space="0"/>
                  <w:right w:val="none" w:color="auto" w:sz="0" w:space="0"/>
                  <w:insideH w:val="single" w:color="131313" w:sz="4" w:space="0"/>
                  <w:insideV w:val="single" w:color="131313" w:sz="4" w:space="0"/>
                </w:tblBorders>
                <w:tblCellMar>
                  <w:top w:w="0" w:type="dxa"/>
                  <w:left w:w="0" w:type="dxa"/>
                  <w:bottom w:w="0" w:type="dxa"/>
                  <w:right w:w="0" w:type="dxa"/>
                </w:tblCellMar>
              </w:tblPrEx>
              <w:trPr>
                <w:trHeight w:val="380" w:hRule="atLeast"/>
              </w:trPr>
              <w:tc>
                <w:tcPr>
                  <w:tcW w:w="1843"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8"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总氮</w:t>
                  </w: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29.3</w:t>
                  </w:r>
                </w:p>
              </w:tc>
              <w:tc>
                <w:tcPr>
                  <w:tcW w:w="184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mg/L</w:t>
                  </w:r>
                </w:p>
              </w:tc>
            </w:tr>
            <w:tr>
              <w:tblPrEx>
                <w:tblBorders>
                  <w:top w:val="single" w:color="131313" w:sz="12" w:space="0"/>
                  <w:left w:val="none" w:color="auto" w:sz="0" w:space="0"/>
                  <w:bottom w:val="single" w:color="131313" w:sz="12" w:space="0"/>
                  <w:right w:val="none" w:color="auto" w:sz="0" w:space="0"/>
                  <w:insideH w:val="single" w:color="131313" w:sz="4" w:space="0"/>
                  <w:insideV w:val="single" w:color="131313" w:sz="4" w:space="0"/>
                </w:tblBorders>
                <w:tblCellMar>
                  <w:top w:w="0" w:type="dxa"/>
                  <w:left w:w="0" w:type="dxa"/>
                  <w:bottom w:w="0" w:type="dxa"/>
                  <w:right w:w="0" w:type="dxa"/>
                </w:tblCellMar>
              </w:tblPrEx>
              <w:trPr>
                <w:trHeight w:val="280" w:hRule="atLeast"/>
              </w:trPr>
              <w:tc>
                <w:tcPr>
                  <w:tcW w:w="1843"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8"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总磷</w:t>
                  </w: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1.02</w:t>
                  </w:r>
                </w:p>
              </w:tc>
              <w:tc>
                <w:tcPr>
                  <w:tcW w:w="184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mg/L</w:t>
                  </w:r>
                </w:p>
              </w:tc>
            </w:tr>
            <w:tr>
              <w:tblPrEx>
                <w:tblBorders>
                  <w:top w:val="single" w:color="131313" w:sz="12" w:space="0"/>
                  <w:left w:val="none" w:color="auto" w:sz="0" w:space="0"/>
                  <w:bottom w:val="single" w:color="131313" w:sz="12" w:space="0"/>
                  <w:right w:val="none" w:color="auto" w:sz="0" w:space="0"/>
                  <w:insideH w:val="single" w:color="131313" w:sz="4" w:space="0"/>
                  <w:insideV w:val="single" w:color="131313" w:sz="4" w:space="0"/>
                </w:tblBorders>
                <w:tblCellMar>
                  <w:top w:w="0" w:type="dxa"/>
                  <w:left w:w="0" w:type="dxa"/>
                  <w:bottom w:w="0" w:type="dxa"/>
                  <w:right w:w="0" w:type="dxa"/>
                </w:tblCellMar>
              </w:tblPrEx>
              <w:trPr>
                <w:trHeight w:val="440" w:hRule="atLeast"/>
              </w:trPr>
              <w:tc>
                <w:tcPr>
                  <w:tcW w:w="1843"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8"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总铭</w:t>
                  </w: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0.009</w:t>
                  </w:r>
                </w:p>
              </w:tc>
              <w:tc>
                <w:tcPr>
                  <w:tcW w:w="184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mg/L</w:t>
                  </w:r>
                </w:p>
              </w:tc>
            </w:tr>
            <w:tr>
              <w:tblPrEx>
                <w:tblBorders>
                  <w:top w:val="single" w:color="131313" w:sz="12" w:space="0"/>
                  <w:left w:val="none" w:color="auto" w:sz="0" w:space="0"/>
                  <w:bottom w:val="single" w:color="131313" w:sz="12" w:space="0"/>
                  <w:right w:val="none" w:color="auto" w:sz="0" w:space="0"/>
                  <w:insideH w:val="single" w:color="131313" w:sz="4" w:space="0"/>
                  <w:insideV w:val="single" w:color="131313" w:sz="4" w:space="0"/>
                </w:tblBorders>
                <w:tblCellMar>
                  <w:top w:w="0" w:type="dxa"/>
                  <w:left w:w="0" w:type="dxa"/>
                  <w:bottom w:w="0" w:type="dxa"/>
                  <w:right w:w="0" w:type="dxa"/>
                </w:tblCellMar>
              </w:tblPrEx>
              <w:trPr>
                <w:trHeight w:val="360" w:hRule="atLeast"/>
              </w:trPr>
              <w:tc>
                <w:tcPr>
                  <w:tcW w:w="1843"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8"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六价铭</w:t>
                  </w: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0.004L</w:t>
                  </w:r>
                </w:p>
              </w:tc>
              <w:tc>
                <w:tcPr>
                  <w:tcW w:w="184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mg/L</w:t>
                  </w:r>
                </w:p>
              </w:tc>
            </w:tr>
            <w:tr>
              <w:tblPrEx>
                <w:tblBorders>
                  <w:top w:val="single" w:color="131313" w:sz="12" w:space="0"/>
                  <w:left w:val="none" w:color="auto" w:sz="0" w:space="0"/>
                  <w:bottom w:val="single" w:color="131313" w:sz="12" w:space="0"/>
                  <w:right w:val="none" w:color="auto" w:sz="0" w:space="0"/>
                  <w:insideH w:val="single" w:color="131313" w:sz="4" w:space="0"/>
                  <w:insideV w:val="single" w:color="131313" w:sz="4" w:space="0"/>
                </w:tblBorders>
                <w:tblCellMar>
                  <w:top w:w="0" w:type="dxa"/>
                  <w:left w:w="0" w:type="dxa"/>
                  <w:bottom w:w="0" w:type="dxa"/>
                  <w:right w:w="0" w:type="dxa"/>
                </w:tblCellMar>
              </w:tblPrEx>
              <w:trPr>
                <w:trHeight w:val="360" w:hRule="atLeast"/>
              </w:trPr>
              <w:tc>
                <w:tcPr>
                  <w:tcW w:w="1843"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8"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粪大肠菌群</w:t>
                  </w: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l.7x1</w:t>
                  </w:r>
                  <w:r>
                    <w:rPr>
                      <w:rStyle w:val="125"/>
                      <w:rFonts w:hint="default" w:ascii="Times New Roman" w:hAnsi="Times New Roman" w:cs="Times New Roman"/>
                      <w:color w:val="auto"/>
                      <w:szCs w:val="22"/>
                      <w:lang w:val="en-US" w:eastAsia="zh-CN"/>
                    </w:rPr>
                    <w:t>0</w:t>
                  </w:r>
                  <w:r>
                    <w:rPr>
                      <w:rStyle w:val="125"/>
                      <w:rFonts w:hint="default" w:ascii="Times New Roman" w:hAnsi="Times New Roman" w:eastAsia="宋体" w:cs="Times New Roman"/>
                      <w:color w:val="auto"/>
                      <w:szCs w:val="22"/>
                      <w:vertAlign w:val="superscript"/>
                    </w:rPr>
                    <w:t>3</w:t>
                  </w:r>
                </w:p>
              </w:tc>
              <w:tc>
                <w:tcPr>
                  <w:tcW w:w="184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MPN/L</w:t>
                  </w:r>
                </w:p>
              </w:tc>
            </w:tr>
            <w:tr>
              <w:tblPrEx>
                <w:tblBorders>
                  <w:top w:val="single" w:color="131313" w:sz="12" w:space="0"/>
                  <w:left w:val="none" w:color="auto" w:sz="0" w:space="0"/>
                  <w:bottom w:val="single" w:color="131313" w:sz="12" w:space="0"/>
                  <w:right w:val="none" w:color="auto" w:sz="0" w:space="0"/>
                  <w:insideH w:val="single" w:color="131313" w:sz="4" w:space="0"/>
                  <w:insideV w:val="single" w:color="131313" w:sz="4" w:space="0"/>
                </w:tblBorders>
                <w:tblCellMar>
                  <w:top w:w="0" w:type="dxa"/>
                  <w:left w:w="0" w:type="dxa"/>
                  <w:bottom w:w="0" w:type="dxa"/>
                  <w:right w:w="0" w:type="dxa"/>
                </w:tblCellMar>
              </w:tblPrEx>
              <w:trPr>
                <w:trHeight w:val="380" w:hRule="atLeast"/>
              </w:trPr>
              <w:tc>
                <w:tcPr>
                  <w:tcW w:w="1843"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8"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lang w:eastAsia="zh-CN"/>
                    </w:rPr>
                  </w:pPr>
                  <w:r>
                    <w:rPr>
                      <w:rStyle w:val="125"/>
                      <w:rFonts w:hint="default" w:ascii="Times New Roman" w:hAnsi="Times New Roman" w:eastAsia="宋体" w:cs="Times New Roman"/>
                      <w:color w:val="auto"/>
                      <w:szCs w:val="22"/>
                      <w:lang w:val="en-US" w:eastAsia="zh-CN"/>
                    </w:rPr>
                    <w:t>汞</w:t>
                  </w: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0.04L</w:t>
                  </w:r>
                </w:p>
              </w:tc>
              <w:tc>
                <w:tcPr>
                  <w:tcW w:w="184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µg/L</w:t>
                  </w:r>
                </w:p>
              </w:tc>
            </w:tr>
            <w:tr>
              <w:tblPrEx>
                <w:tblBorders>
                  <w:top w:val="single" w:color="131313" w:sz="12" w:space="0"/>
                  <w:left w:val="none" w:color="auto" w:sz="0" w:space="0"/>
                  <w:bottom w:val="single" w:color="131313" w:sz="12" w:space="0"/>
                  <w:right w:val="none" w:color="auto" w:sz="0" w:space="0"/>
                  <w:insideH w:val="single" w:color="131313" w:sz="4" w:space="0"/>
                  <w:insideV w:val="single" w:color="131313" w:sz="4" w:space="0"/>
                </w:tblBorders>
                <w:tblCellMar>
                  <w:top w:w="0" w:type="dxa"/>
                  <w:left w:w="0" w:type="dxa"/>
                  <w:bottom w:w="0" w:type="dxa"/>
                  <w:right w:w="0" w:type="dxa"/>
                </w:tblCellMar>
              </w:tblPrEx>
              <w:trPr>
                <w:trHeight w:val="360" w:hRule="atLeast"/>
              </w:trPr>
              <w:tc>
                <w:tcPr>
                  <w:tcW w:w="1843"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8"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lang w:eastAsia="zh-CN"/>
                    </w:rPr>
                  </w:pPr>
                  <w:r>
                    <w:rPr>
                      <w:rStyle w:val="125"/>
                      <w:rFonts w:hint="default" w:ascii="Times New Roman" w:hAnsi="Times New Roman" w:eastAsia="宋体" w:cs="Times New Roman"/>
                      <w:color w:val="auto"/>
                      <w:szCs w:val="22"/>
                      <w:lang w:val="en-US" w:eastAsia="zh-CN"/>
                    </w:rPr>
                    <w:t>镉</w:t>
                  </w: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IL</w:t>
                  </w:r>
                </w:p>
              </w:tc>
              <w:tc>
                <w:tcPr>
                  <w:tcW w:w="184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µg/L</w:t>
                  </w:r>
                </w:p>
              </w:tc>
            </w:tr>
            <w:tr>
              <w:tblPrEx>
                <w:tblBorders>
                  <w:top w:val="single" w:color="131313" w:sz="12" w:space="0"/>
                  <w:left w:val="none" w:color="auto" w:sz="0" w:space="0"/>
                  <w:bottom w:val="single" w:color="131313" w:sz="12" w:space="0"/>
                  <w:right w:val="none" w:color="auto" w:sz="0" w:space="0"/>
                  <w:insideH w:val="single" w:color="131313" w:sz="4" w:space="0"/>
                  <w:insideV w:val="single" w:color="131313" w:sz="4" w:space="0"/>
                </w:tblBorders>
                <w:tblCellMar>
                  <w:top w:w="0" w:type="dxa"/>
                  <w:left w:w="0" w:type="dxa"/>
                  <w:bottom w:w="0" w:type="dxa"/>
                  <w:right w:w="0" w:type="dxa"/>
                </w:tblCellMar>
              </w:tblPrEx>
              <w:trPr>
                <w:trHeight w:val="380" w:hRule="atLeast"/>
              </w:trPr>
              <w:tc>
                <w:tcPr>
                  <w:tcW w:w="1843"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8"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lang w:eastAsia="zh-CN"/>
                    </w:rPr>
                  </w:pPr>
                  <w:r>
                    <w:rPr>
                      <w:rStyle w:val="125"/>
                      <w:rFonts w:hint="default" w:ascii="Times New Roman" w:hAnsi="Times New Roman" w:eastAsia="宋体" w:cs="Times New Roman"/>
                      <w:color w:val="auto"/>
                      <w:szCs w:val="22"/>
                      <w:lang w:val="en-US" w:eastAsia="zh-CN"/>
                    </w:rPr>
                    <w:t>砷</w:t>
                  </w: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0.3L</w:t>
                  </w:r>
                </w:p>
              </w:tc>
              <w:tc>
                <w:tcPr>
                  <w:tcW w:w="184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µg/L</w:t>
                  </w:r>
                </w:p>
              </w:tc>
            </w:tr>
            <w:tr>
              <w:tblPrEx>
                <w:tblBorders>
                  <w:top w:val="single" w:color="131313" w:sz="12" w:space="0"/>
                  <w:left w:val="none" w:color="auto" w:sz="0" w:space="0"/>
                  <w:bottom w:val="single" w:color="131313" w:sz="12" w:space="0"/>
                  <w:right w:val="none" w:color="auto" w:sz="0" w:space="0"/>
                  <w:insideH w:val="single" w:color="131313" w:sz="4" w:space="0"/>
                  <w:insideV w:val="single" w:color="131313" w:sz="4" w:space="0"/>
                </w:tblBorders>
                <w:tblCellMar>
                  <w:top w:w="0" w:type="dxa"/>
                  <w:left w:w="0" w:type="dxa"/>
                  <w:bottom w:w="0" w:type="dxa"/>
                  <w:right w:w="0" w:type="dxa"/>
                </w:tblCellMar>
              </w:tblPrEx>
              <w:trPr>
                <w:trHeight w:val="380" w:hRule="atLeast"/>
              </w:trPr>
              <w:tc>
                <w:tcPr>
                  <w:tcW w:w="1843"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8"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lang w:eastAsia="zh-CN"/>
                    </w:rPr>
                  </w:pPr>
                  <w:r>
                    <w:rPr>
                      <w:rStyle w:val="125"/>
                      <w:rFonts w:hint="default" w:ascii="Times New Roman" w:hAnsi="Times New Roman" w:eastAsia="宋体" w:cs="Times New Roman"/>
                      <w:color w:val="auto"/>
                      <w:szCs w:val="22"/>
                      <w:lang w:val="en-US" w:eastAsia="zh-CN"/>
                    </w:rPr>
                    <w:t>铅</w:t>
                  </w: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0.2L</w:t>
                  </w:r>
                </w:p>
              </w:tc>
              <w:tc>
                <w:tcPr>
                  <w:tcW w:w="184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mg/L</w:t>
                  </w:r>
                </w:p>
              </w:tc>
            </w:tr>
            <w:tr>
              <w:tblPrEx>
                <w:tblBorders>
                  <w:top w:val="single" w:color="131313" w:sz="12" w:space="0"/>
                  <w:left w:val="none" w:color="auto" w:sz="0" w:space="0"/>
                  <w:bottom w:val="single" w:color="131313" w:sz="12" w:space="0"/>
                  <w:right w:val="none" w:color="auto" w:sz="0" w:space="0"/>
                  <w:insideH w:val="single" w:color="131313" w:sz="4" w:space="0"/>
                  <w:insideV w:val="single" w:color="131313" w:sz="4" w:space="0"/>
                </w:tblBorders>
                <w:tblCellMar>
                  <w:top w:w="0" w:type="dxa"/>
                  <w:left w:w="0" w:type="dxa"/>
                  <w:bottom w:w="0" w:type="dxa"/>
                  <w:right w:w="0" w:type="dxa"/>
                </w:tblCellMar>
              </w:tblPrEx>
              <w:trPr>
                <w:trHeight w:val="360" w:hRule="atLeast"/>
              </w:trPr>
              <w:tc>
                <w:tcPr>
                  <w:tcW w:w="1843" w:type="dxa"/>
                  <w:vMerge w:val="restart"/>
                  <w:tcBorders>
                    <w:tl2br w:val="nil"/>
                    <w:tr2bl w:val="nil"/>
                  </w:tcBorders>
                </w:tcPr>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一般排放口</w:t>
                  </w:r>
                </w:p>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DW002</w:t>
                  </w:r>
                </w:p>
              </w:tc>
              <w:tc>
                <w:tcPr>
                  <w:tcW w:w="1838" w:type="dxa"/>
                  <w:vMerge w:val="restart"/>
                  <w:tcBorders>
                    <w:tl2br w:val="nil"/>
                    <w:tr2bl w:val="nil"/>
                  </w:tcBorders>
                </w:tcPr>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p>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2020.07.10</w:t>
                  </w: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pH 值</w:t>
                  </w: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7.74</w:t>
                  </w:r>
                </w:p>
              </w:tc>
              <w:tc>
                <w:tcPr>
                  <w:tcW w:w="184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无量纲</w:t>
                  </w:r>
                </w:p>
              </w:tc>
            </w:tr>
            <w:tr>
              <w:tblPrEx>
                <w:tblBorders>
                  <w:top w:val="single" w:color="131313" w:sz="12" w:space="0"/>
                  <w:left w:val="none" w:color="auto" w:sz="0" w:space="0"/>
                  <w:bottom w:val="single" w:color="131313" w:sz="12" w:space="0"/>
                  <w:right w:val="none" w:color="auto" w:sz="0" w:space="0"/>
                  <w:insideH w:val="single" w:color="131313" w:sz="4" w:space="0"/>
                  <w:insideV w:val="single" w:color="131313" w:sz="4" w:space="0"/>
                </w:tblBorders>
                <w:tblCellMar>
                  <w:top w:w="0" w:type="dxa"/>
                  <w:left w:w="0" w:type="dxa"/>
                  <w:bottom w:w="0" w:type="dxa"/>
                  <w:right w:w="0" w:type="dxa"/>
                </w:tblCellMar>
              </w:tblPrEx>
              <w:trPr>
                <w:trHeight w:val="380" w:hRule="atLeast"/>
              </w:trPr>
              <w:tc>
                <w:tcPr>
                  <w:tcW w:w="1843"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8"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总氯</w:t>
                  </w: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0.43</w:t>
                  </w:r>
                </w:p>
              </w:tc>
              <w:tc>
                <w:tcPr>
                  <w:tcW w:w="184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mg/L</w:t>
                  </w:r>
                </w:p>
              </w:tc>
            </w:tr>
            <w:tr>
              <w:tblPrEx>
                <w:tblBorders>
                  <w:top w:val="single" w:color="131313" w:sz="12" w:space="0"/>
                  <w:left w:val="none" w:color="auto" w:sz="0" w:space="0"/>
                  <w:bottom w:val="single" w:color="131313" w:sz="12" w:space="0"/>
                  <w:right w:val="none" w:color="auto" w:sz="0" w:space="0"/>
                  <w:insideH w:val="single" w:color="131313" w:sz="4" w:space="0"/>
                  <w:insideV w:val="single" w:color="131313" w:sz="4" w:space="0"/>
                </w:tblBorders>
                <w:tblCellMar>
                  <w:top w:w="0" w:type="dxa"/>
                  <w:left w:w="0" w:type="dxa"/>
                  <w:bottom w:w="0" w:type="dxa"/>
                  <w:right w:w="0" w:type="dxa"/>
                </w:tblCellMar>
              </w:tblPrEx>
              <w:trPr>
                <w:trHeight w:val="360" w:hRule="atLeast"/>
              </w:trPr>
              <w:tc>
                <w:tcPr>
                  <w:tcW w:w="1843"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8"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悬浮物</w:t>
                  </w: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15</w:t>
                  </w:r>
                </w:p>
              </w:tc>
              <w:tc>
                <w:tcPr>
                  <w:tcW w:w="184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mg/L</w:t>
                  </w:r>
                </w:p>
              </w:tc>
            </w:tr>
            <w:tr>
              <w:tblPrEx>
                <w:tblBorders>
                  <w:top w:val="single" w:color="131313" w:sz="12" w:space="0"/>
                  <w:left w:val="none" w:color="auto" w:sz="0" w:space="0"/>
                  <w:bottom w:val="single" w:color="131313" w:sz="12" w:space="0"/>
                  <w:right w:val="none" w:color="auto" w:sz="0" w:space="0"/>
                  <w:insideH w:val="single" w:color="131313" w:sz="4" w:space="0"/>
                  <w:insideV w:val="single" w:color="131313" w:sz="4" w:space="0"/>
                </w:tblBorders>
                <w:tblCellMar>
                  <w:top w:w="0" w:type="dxa"/>
                  <w:left w:w="0" w:type="dxa"/>
                  <w:bottom w:w="0" w:type="dxa"/>
                  <w:right w:w="0" w:type="dxa"/>
                </w:tblCellMar>
              </w:tblPrEx>
              <w:trPr>
                <w:trHeight w:val="440" w:hRule="atLeast"/>
              </w:trPr>
              <w:tc>
                <w:tcPr>
                  <w:tcW w:w="1843"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8"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化学需氧量</w:t>
                  </w: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126</w:t>
                  </w:r>
                </w:p>
              </w:tc>
              <w:tc>
                <w:tcPr>
                  <w:tcW w:w="184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mg/L</w:t>
                  </w:r>
                </w:p>
              </w:tc>
            </w:tr>
            <w:tr>
              <w:tblPrEx>
                <w:tblBorders>
                  <w:top w:val="single" w:color="131313" w:sz="12" w:space="0"/>
                  <w:left w:val="none" w:color="auto" w:sz="0" w:space="0"/>
                  <w:bottom w:val="single" w:color="131313" w:sz="12" w:space="0"/>
                  <w:right w:val="none" w:color="auto" w:sz="0" w:space="0"/>
                  <w:insideH w:val="single" w:color="131313" w:sz="4" w:space="0"/>
                  <w:insideV w:val="single" w:color="131313" w:sz="4" w:space="0"/>
                </w:tblBorders>
                <w:tblCellMar>
                  <w:top w:w="0" w:type="dxa"/>
                  <w:left w:w="0" w:type="dxa"/>
                  <w:bottom w:w="0" w:type="dxa"/>
                  <w:right w:w="0" w:type="dxa"/>
                </w:tblCellMar>
              </w:tblPrEx>
              <w:trPr>
                <w:trHeight w:val="300" w:hRule="atLeast"/>
              </w:trPr>
              <w:tc>
                <w:tcPr>
                  <w:tcW w:w="1843"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8"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生化需氧量</w:t>
                  </w: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32.5</w:t>
                  </w:r>
                </w:p>
              </w:tc>
              <w:tc>
                <w:tcPr>
                  <w:tcW w:w="184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mg/L</w:t>
                  </w:r>
                </w:p>
              </w:tc>
            </w:tr>
            <w:tr>
              <w:tblPrEx>
                <w:tblBorders>
                  <w:top w:val="single" w:color="131313" w:sz="12" w:space="0"/>
                  <w:left w:val="none" w:color="auto" w:sz="0" w:space="0"/>
                  <w:bottom w:val="single" w:color="131313" w:sz="12" w:space="0"/>
                  <w:right w:val="none" w:color="auto" w:sz="0" w:space="0"/>
                  <w:insideH w:val="single" w:color="131313" w:sz="4" w:space="0"/>
                  <w:insideV w:val="single" w:color="131313" w:sz="4" w:space="0"/>
                </w:tblBorders>
                <w:tblCellMar>
                  <w:top w:w="0" w:type="dxa"/>
                  <w:left w:w="0" w:type="dxa"/>
                  <w:bottom w:w="0" w:type="dxa"/>
                  <w:right w:w="0" w:type="dxa"/>
                </w:tblCellMar>
              </w:tblPrEx>
              <w:trPr>
                <w:trHeight w:val="360" w:hRule="atLeast"/>
              </w:trPr>
              <w:tc>
                <w:tcPr>
                  <w:tcW w:w="1843"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8"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氨氮</w:t>
                  </w: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11.1</w:t>
                  </w:r>
                </w:p>
              </w:tc>
              <w:tc>
                <w:tcPr>
                  <w:tcW w:w="184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mg/L</w:t>
                  </w:r>
                </w:p>
              </w:tc>
            </w:tr>
            <w:tr>
              <w:tblPrEx>
                <w:tblBorders>
                  <w:top w:val="single" w:color="131313" w:sz="12" w:space="0"/>
                  <w:left w:val="none" w:color="auto" w:sz="0" w:space="0"/>
                  <w:bottom w:val="single" w:color="131313" w:sz="12" w:space="0"/>
                  <w:right w:val="none" w:color="auto" w:sz="0" w:space="0"/>
                  <w:insideH w:val="single" w:color="131313" w:sz="4" w:space="0"/>
                  <w:insideV w:val="single" w:color="131313" w:sz="4" w:space="0"/>
                </w:tblBorders>
                <w:tblCellMar>
                  <w:top w:w="0" w:type="dxa"/>
                  <w:left w:w="0" w:type="dxa"/>
                  <w:bottom w:w="0" w:type="dxa"/>
                  <w:right w:w="0" w:type="dxa"/>
                </w:tblCellMar>
              </w:tblPrEx>
              <w:trPr>
                <w:trHeight w:val="380" w:hRule="atLeast"/>
              </w:trPr>
              <w:tc>
                <w:tcPr>
                  <w:tcW w:w="1843"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8" w:type="dxa"/>
                  <w:vMerge w:val="continue"/>
                  <w:tcBorders>
                    <w:tl2br w:val="nil"/>
                    <w:tr2bl w:val="nil"/>
                  </w:tcBorders>
                </w:tcPr>
                <w:p>
                  <w:pPr>
                    <w:pStyle w:val="127"/>
                    <w:jc w:val="center"/>
                    <w:rPr>
                      <w:rStyle w:val="125"/>
                      <w:rFonts w:hint="default" w:ascii="Times New Roman" w:hAnsi="Times New Roman" w:eastAsia="宋体" w:cs="Times New Roman"/>
                      <w:color w:val="auto"/>
                      <w:szCs w:val="22"/>
                    </w:rPr>
                  </w:pP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粪大肠菌群</w:t>
                  </w:r>
                </w:p>
              </w:tc>
              <w:tc>
                <w:tcPr>
                  <w:tcW w:w="183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20L</w:t>
                  </w:r>
                </w:p>
              </w:tc>
              <w:tc>
                <w:tcPr>
                  <w:tcW w:w="1843" w:type="dxa"/>
                  <w:tcBorders>
                    <w:tl2br w:val="nil"/>
                    <w:tr2bl w:val="nil"/>
                  </w:tcBorders>
                </w:tcPr>
                <w:p>
                  <w:pPr>
                    <w:pStyle w:val="127"/>
                    <w:jc w:val="center"/>
                    <w:rPr>
                      <w:rStyle w:val="125"/>
                      <w:rFonts w:hint="default" w:ascii="Times New Roman" w:hAnsi="Times New Roman" w:eastAsia="宋体" w:cs="Times New Roman"/>
                      <w:color w:val="auto"/>
                      <w:szCs w:val="22"/>
                    </w:rPr>
                  </w:pPr>
                  <w:r>
                    <w:rPr>
                      <w:rStyle w:val="125"/>
                      <w:rFonts w:hint="default" w:ascii="Times New Roman" w:hAnsi="Times New Roman" w:eastAsia="宋体" w:cs="Times New Roman"/>
                      <w:color w:val="auto"/>
                      <w:szCs w:val="22"/>
                    </w:rPr>
                    <w:t>MPN/L</w:t>
                  </w:r>
                </w:p>
              </w:tc>
            </w:tr>
          </w:tbl>
          <w:p>
            <w:pPr>
              <w:pStyle w:val="12"/>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kern w:val="0"/>
                <w:sz w:val="24"/>
                <w:szCs w:val="22"/>
                <w:lang w:val="en-US" w:eastAsia="zh-CN" w:bidi="ar-SA"/>
              </w:rPr>
            </w:pPr>
            <w:r>
              <w:rPr>
                <w:rFonts w:hint="eastAsia" w:ascii="Times New Roman" w:hAnsi="Times New Roman" w:eastAsia="宋体" w:cs="Times New Roman"/>
                <w:b/>
                <w:bCs/>
                <w:color w:val="auto"/>
                <w:kern w:val="0"/>
                <w:sz w:val="24"/>
                <w:szCs w:val="22"/>
                <w:lang w:val="en-US" w:eastAsia="zh-CN" w:bidi="ar-SA"/>
              </w:rPr>
              <w:t>表</w:t>
            </w:r>
            <w:r>
              <w:rPr>
                <w:rFonts w:hint="default" w:ascii="Times New Roman" w:hAnsi="Times New Roman" w:eastAsia="宋体" w:cs="Times New Roman"/>
                <w:b/>
                <w:bCs/>
                <w:color w:val="auto"/>
                <w:kern w:val="0"/>
                <w:sz w:val="24"/>
                <w:szCs w:val="22"/>
                <w:lang w:val="en-US" w:eastAsia="zh-CN" w:bidi="ar-SA"/>
              </w:rPr>
              <w:t>1-1</w:t>
            </w:r>
            <w:r>
              <w:rPr>
                <w:rFonts w:hint="eastAsia" w:ascii="Times New Roman" w:hAnsi="Times New Roman" w:eastAsia="宋体" w:cs="Times New Roman"/>
                <w:b/>
                <w:bCs/>
                <w:color w:val="auto"/>
                <w:kern w:val="0"/>
                <w:sz w:val="24"/>
                <w:szCs w:val="22"/>
                <w:lang w:val="en-US" w:eastAsia="zh-CN" w:bidi="ar-SA"/>
              </w:rPr>
              <w:t>5</w:t>
            </w:r>
            <w:r>
              <w:rPr>
                <w:rFonts w:hint="default" w:ascii="Times New Roman" w:hAnsi="Times New Roman" w:eastAsia="宋体" w:cs="Times New Roman"/>
                <w:b/>
                <w:bCs/>
                <w:color w:val="auto"/>
                <w:kern w:val="0"/>
                <w:sz w:val="24"/>
                <w:szCs w:val="22"/>
                <w:lang w:val="en-US" w:eastAsia="zh-CN" w:bidi="ar-SA"/>
              </w:rPr>
              <w:t>废水</w:t>
            </w:r>
            <w:r>
              <w:rPr>
                <w:rFonts w:hint="eastAsia" w:ascii="Times New Roman" w:hAnsi="Times New Roman" w:eastAsia="宋体" w:cs="Times New Roman"/>
                <w:b/>
                <w:bCs/>
                <w:color w:val="auto"/>
                <w:kern w:val="0"/>
                <w:sz w:val="24"/>
                <w:szCs w:val="22"/>
                <w:lang w:val="en-US" w:eastAsia="zh-CN" w:bidi="ar-SA"/>
              </w:rPr>
              <w:t>污染物排放总量</w:t>
            </w:r>
          </w:p>
          <w:tbl>
            <w:tblPr>
              <w:tblStyle w:val="36"/>
              <w:tblW w:w="4998" w:type="pct"/>
              <w:tblInd w:w="0" w:type="dxa"/>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87"/>
              <w:gridCol w:w="1617"/>
              <w:gridCol w:w="1070"/>
              <w:gridCol w:w="3354"/>
            </w:tblGrid>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9" w:type="pct"/>
                  <w:tcBorders>
                    <w:bottom w:val="nil"/>
                    <w:right w:val="nil"/>
                    <w:tl2br w:val="nil"/>
                    <w:tr2bl w:val="nil"/>
                  </w:tcBorders>
                  <w:vAlign w:val="center"/>
                </w:tcPr>
                <w:p>
                  <w:pPr>
                    <w:jc w:val="center"/>
                    <w:rPr>
                      <w:rFonts w:hint="eastAsia" w:ascii="Times New Roman" w:hAnsi="Times New Roman" w:eastAsia="宋体" w:cs="Times New Roman"/>
                      <w:i w:val="0"/>
                      <w:iCs/>
                      <w:color w:val="auto"/>
                      <w:lang w:val="en-US" w:eastAsia="zh-CN"/>
                    </w:rPr>
                  </w:pPr>
                  <w:r>
                    <w:rPr>
                      <w:rFonts w:hint="eastAsia" w:eastAsia="宋体" w:cs="Times New Roman"/>
                      <w:i w:val="0"/>
                      <w:iCs/>
                      <w:color w:val="auto"/>
                      <w:lang w:val="en-US" w:eastAsia="zh-CN"/>
                    </w:rPr>
                    <w:t>单元</w:t>
                  </w:r>
                </w:p>
              </w:tc>
              <w:tc>
                <w:tcPr>
                  <w:tcW w:w="1539" w:type="pct"/>
                  <w:gridSpan w:val="2"/>
                  <w:tcBorders>
                    <w:bottom w:val="nil"/>
                    <w:right w:val="nil"/>
                    <w:tl2br w:val="nil"/>
                    <w:tr2bl w:val="nil"/>
                  </w:tcBorders>
                  <w:vAlign w:val="center"/>
                </w:tcPr>
                <w:p>
                  <w:pPr>
                    <w:jc w:val="center"/>
                    <w:rPr>
                      <w:rFonts w:hint="default" w:ascii="Times New Roman" w:hAnsi="Times New Roman" w:eastAsia="Times New Roman" w:cs="Times New Roman"/>
                      <w:i/>
                      <w:iCs w:val="0"/>
                      <w:color w:val="auto"/>
                    </w:rPr>
                  </w:pPr>
                  <w:r>
                    <w:rPr>
                      <w:rFonts w:hint="default" w:ascii="Times New Roman" w:hAnsi="Times New Roman" w:eastAsia="Times New Roman" w:cs="Times New Roman"/>
                      <w:i w:val="0"/>
                      <w:iCs/>
                      <w:color w:val="auto"/>
                    </w:rPr>
                    <w:t>污染物名称</w:t>
                  </w:r>
                </w:p>
              </w:tc>
              <w:tc>
                <w:tcPr>
                  <w:tcW w:w="1921" w:type="pct"/>
                  <w:tcBorders>
                    <w:bottom w:val="nil"/>
                    <w:tl2br w:val="nil"/>
                    <w:tr2bl w:val="nil"/>
                  </w:tcBorders>
                  <w:vAlign w:val="center"/>
                </w:tcPr>
                <w:p>
                  <w:pPr>
                    <w:jc w:val="center"/>
                    <w:rPr>
                      <w:rFonts w:hint="default" w:ascii="Times New Roman" w:hAnsi="Times New Roman" w:eastAsia="宋体" w:cs="Times New Roman"/>
                      <w:i/>
                      <w:iCs w:val="0"/>
                      <w:color w:val="auto"/>
                      <w:kern w:val="2"/>
                      <w:szCs w:val="21"/>
                      <w:lang w:val="en-US" w:eastAsia="zh-CN"/>
                    </w:rPr>
                  </w:pPr>
                  <w:r>
                    <w:rPr>
                      <w:rFonts w:hint="eastAsia" w:eastAsia="宋体" w:cs="Times New Roman"/>
                      <w:i w:val="0"/>
                      <w:iCs/>
                      <w:color w:val="auto"/>
                      <w:lang w:val="en-US" w:eastAsia="zh-CN"/>
                    </w:rPr>
                    <w:t>排放量</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9" w:type="pct"/>
                  <w:vMerge w:val="restart"/>
                  <w:tcBorders>
                    <w:right w:val="nil"/>
                    <w:tl2br w:val="nil"/>
                    <w:tr2bl w:val="nil"/>
                  </w:tcBorders>
                  <w:vAlign w:val="center"/>
                </w:tcPr>
                <w:p>
                  <w:pPr>
                    <w:jc w:val="center"/>
                    <w:rPr>
                      <w:rFonts w:hint="default" w:ascii="Times New Roman" w:hAnsi="Times New Roman" w:eastAsia="宋体" w:cs="Times New Roman"/>
                      <w:iCs/>
                      <w:color w:val="auto"/>
                      <w:lang w:val="en-US" w:eastAsia="zh-CN"/>
                    </w:rPr>
                  </w:pPr>
                  <w:r>
                    <w:rPr>
                      <w:rFonts w:hint="eastAsia" w:eastAsia="宋体" w:cs="Times New Roman"/>
                      <w:iCs/>
                      <w:color w:val="auto"/>
                      <w:lang w:val="en-US" w:eastAsia="zh-CN"/>
                    </w:rPr>
                    <w:t>原渗滤液处理车间</w:t>
                  </w:r>
                </w:p>
              </w:tc>
              <w:tc>
                <w:tcPr>
                  <w:tcW w:w="926" w:type="pct"/>
                  <w:tcBorders>
                    <w:right w:val="nil"/>
                    <w:tl2br w:val="nil"/>
                    <w:tr2bl w:val="nil"/>
                  </w:tcBorders>
                  <w:vAlign w:val="center"/>
                </w:tcPr>
                <w:p>
                  <w:pPr>
                    <w:jc w:val="center"/>
                    <w:rPr>
                      <w:rFonts w:hint="default" w:ascii="Times New Roman" w:hAnsi="Times New Roman" w:eastAsia="Times New Roman" w:cs="Times New Roman"/>
                      <w:iCs/>
                      <w:color w:val="auto"/>
                    </w:rPr>
                  </w:pPr>
                  <w:r>
                    <w:rPr>
                      <w:rFonts w:hint="default" w:ascii="Times New Roman" w:hAnsi="Times New Roman" w:eastAsia="Times New Roman" w:cs="Times New Roman"/>
                      <w:iCs/>
                      <w:color w:val="auto"/>
                    </w:rPr>
                    <w:t>COD</w:t>
                  </w:r>
                </w:p>
              </w:tc>
              <w:tc>
                <w:tcPr>
                  <w:tcW w:w="612" w:type="pct"/>
                  <w:vAlign w:val="center"/>
                </w:tcPr>
                <w:p>
                  <w:pPr>
                    <w:jc w:val="center"/>
                    <w:rPr>
                      <w:rFonts w:hint="default" w:ascii="Times New Roman" w:hAnsi="Times New Roman" w:eastAsia="Times New Roman" w:cs="Times New Roman"/>
                      <w:iCs/>
                      <w:color w:val="auto"/>
                    </w:rPr>
                  </w:pPr>
                  <w:r>
                    <w:rPr>
                      <w:rFonts w:hint="default" w:ascii="Times New Roman" w:hAnsi="Times New Roman" w:eastAsia="Times New Roman" w:cs="Times New Roman"/>
                      <w:iCs/>
                      <w:color w:val="auto"/>
                    </w:rPr>
                    <w:t>t/a</w:t>
                  </w:r>
                </w:p>
              </w:tc>
              <w:tc>
                <w:tcPr>
                  <w:tcW w:w="1921" w:type="pct"/>
                  <w:vAlign w:val="center"/>
                </w:tcPr>
                <w:p>
                  <w:pPr>
                    <w:jc w:val="center"/>
                    <w:rPr>
                      <w:rFonts w:hint="default" w:ascii="Times New Roman" w:hAnsi="Times New Roman" w:cs="Times New Roman" w:eastAsiaTheme="minorEastAsia"/>
                      <w:color w:val="auto"/>
                      <w:kern w:val="2"/>
                      <w:szCs w:val="21"/>
                      <w:lang w:val="en-US" w:eastAsia="zh-CN"/>
                    </w:rPr>
                  </w:pPr>
                  <w:r>
                    <w:rPr>
                      <w:rFonts w:hint="eastAsia" w:cs="Times New Roman" w:eastAsiaTheme="minorEastAsia"/>
                      <w:color w:val="auto"/>
                      <w:kern w:val="2"/>
                      <w:szCs w:val="21"/>
                      <w:lang w:val="en-US" w:eastAsia="zh-CN"/>
                    </w:rPr>
                    <w:t>0.74</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PrEx>
              <w:trPr>
                <w:trHeight w:val="360" w:hRule="atLeast"/>
              </w:trPr>
              <w:tc>
                <w:tcPr>
                  <w:tcW w:w="1539" w:type="pct"/>
                  <w:vMerge w:val="continue"/>
                  <w:tcBorders>
                    <w:right w:val="nil"/>
                    <w:tl2br w:val="nil"/>
                    <w:tr2bl w:val="nil"/>
                  </w:tcBorders>
                  <w:vAlign w:val="center"/>
                </w:tcPr>
                <w:p>
                  <w:pPr>
                    <w:jc w:val="center"/>
                    <w:rPr>
                      <w:rFonts w:hint="default" w:ascii="Times New Roman" w:hAnsi="Times New Roman" w:eastAsia="Times New Roman" w:cs="Times New Roman"/>
                      <w:iCs/>
                      <w:color w:val="auto"/>
                    </w:rPr>
                  </w:pPr>
                </w:p>
              </w:tc>
              <w:tc>
                <w:tcPr>
                  <w:tcW w:w="926" w:type="pct"/>
                  <w:tcBorders>
                    <w:right w:val="nil"/>
                    <w:tl2br w:val="nil"/>
                    <w:tr2bl w:val="nil"/>
                  </w:tcBorders>
                  <w:vAlign w:val="center"/>
                </w:tcPr>
                <w:p>
                  <w:pPr>
                    <w:jc w:val="center"/>
                    <w:rPr>
                      <w:rFonts w:hint="default" w:ascii="Times New Roman" w:hAnsi="Times New Roman" w:eastAsia="Times New Roman" w:cs="Times New Roman"/>
                      <w:iCs/>
                      <w:color w:val="auto"/>
                    </w:rPr>
                  </w:pPr>
                  <w:r>
                    <w:rPr>
                      <w:rFonts w:hint="default" w:ascii="Times New Roman" w:hAnsi="Times New Roman" w:eastAsia="Times New Roman" w:cs="Times New Roman"/>
                      <w:iCs/>
                      <w:color w:val="auto"/>
                    </w:rPr>
                    <w:t>氨氮</w:t>
                  </w:r>
                </w:p>
              </w:tc>
              <w:tc>
                <w:tcPr>
                  <w:tcW w:w="612" w:type="pct"/>
                  <w:vAlign w:val="center"/>
                </w:tcPr>
                <w:p>
                  <w:pPr>
                    <w:jc w:val="center"/>
                    <w:rPr>
                      <w:rFonts w:hint="default" w:ascii="Times New Roman" w:hAnsi="Times New Roman" w:eastAsia="Times New Roman" w:cs="Times New Roman"/>
                      <w:iCs/>
                      <w:color w:val="auto"/>
                    </w:rPr>
                  </w:pPr>
                  <w:r>
                    <w:rPr>
                      <w:rFonts w:hint="default" w:ascii="Times New Roman" w:hAnsi="Times New Roman" w:eastAsia="Times New Roman" w:cs="Times New Roman"/>
                      <w:iCs/>
                      <w:color w:val="auto"/>
                    </w:rPr>
                    <w:t>t/a</w:t>
                  </w:r>
                </w:p>
              </w:tc>
              <w:tc>
                <w:tcPr>
                  <w:tcW w:w="1921" w:type="pct"/>
                  <w:vAlign w:val="center"/>
                </w:tcPr>
                <w:p>
                  <w:pPr>
                    <w:jc w:val="center"/>
                    <w:rPr>
                      <w:rFonts w:hint="default" w:ascii="Times New Roman" w:hAnsi="Times New Roman" w:cs="Times New Roman" w:eastAsiaTheme="minorEastAsia"/>
                      <w:color w:val="auto"/>
                      <w:kern w:val="2"/>
                      <w:szCs w:val="21"/>
                      <w:lang w:val="en-US" w:eastAsia="zh-CN"/>
                    </w:rPr>
                  </w:pPr>
                  <w:r>
                    <w:rPr>
                      <w:rFonts w:hint="eastAsia" w:cs="Times New Roman" w:eastAsiaTheme="minorEastAsia"/>
                      <w:color w:val="auto"/>
                      <w:kern w:val="2"/>
                      <w:szCs w:val="21"/>
                      <w:lang w:val="en-US" w:eastAsia="zh-CN"/>
                    </w:rPr>
                    <w:t>0.16</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PrEx>
              <w:trPr>
                <w:trHeight w:val="360" w:hRule="atLeast"/>
              </w:trPr>
              <w:tc>
                <w:tcPr>
                  <w:tcW w:w="1539" w:type="pct"/>
                  <w:vMerge w:val="continue"/>
                  <w:tcBorders>
                    <w:right w:val="nil"/>
                    <w:tl2br w:val="nil"/>
                    <w:tr2bl w:val="nil"/>
                  </w:tcBorders>
                  <w:vAlign w:val="center"/>
                </w:tcPr>
                <w:p>
                  <w:pPr>
                    <w:jc w:val="center"/>
                    <w:rPr>
                      <w:rFonts w:hint="default" w:ascii="Times New Roman" w:hAnsi="Times New Roman" w:eastAsia="Times New Roman" w:cs="Times New Roman"/>
                      <w:iCs/>
                      <w:color w:val="auto"/>
                    </w:rPr>
                  </w:pPr>
                </w:p>
              </w:tc>
              <w:tc>
                <w:tcPr>
                  <w:tcW w:w="926" w:type="pct"/>
                  <w:tcBorders>
                    <w:right w:val="nil"/>
                    <w:tl2br w:val="nil"/>
                    <w:tr2bl w:val="nil"/>
                  </w:tcBorders>
                  <w:vAlign w:val="center"/>
                </w:tcPr>
                <w:p>
                  <w:pPr>
                    <w:jc w:val="center"/>
                    <w:rPr>
                      <w:rFonts w:hint="default" w:ascii="Times New Roman" w:hAnsi="Times New Roman" w:eastAsia="Times New Roman" w:cs="Times New Roman"/>
                      <w:iCs/>
                      <w:color w:val="auto"/>
                    </w:rPr>
                  </w:pPr>
                  <w:r>
                    <w:rPr>
                      <w:rFonts w:hint="default" w:ascii="Times New Roman" w:hAnsi="Times New Roman" w:eastAsia="Times New Roman" w:cs="Times New Roman"/>
                      <w:iCs/>
                      <w:color w:val="auto"/>
                    </w:rPr>
                    <w:t>总氮</w:t>
                  </w:r>
                </w:p>
              </w:tc>
              <w:tc>
                <w:tcPr>
                  <w:tcW w:w="612" w:type="pct"/>
                  <w:vAlign w:val="center"/>
                </w:tcPr>
                <w:p>
                  <w:pPr>
                    <w:jc w:val="center"/>
                    <w:rPr>
                      <w:rFonts w:hint="default" w:ascii="Times New Roman" w:hAnsi="Times New Roman" w:eastAsia="Times New Roman" w:cs="Times New Roman"/>
                      <w:iCs/>
                      <w:color w:val="auto"/>
                    </w:rPr>
                  </w:pPr>
                  <w:r>
                    <w:rPr>
                      <w:rFonts w:hint="default" w:ascii="Times New Roman" w:hAnsi="Times New Roman" w:eastAsia="Times New Roman" w:cs="Times New Roman"/>
                      <w:iCs/>
                      <w:color w:val="auto"/>
                    </w:rPr>
                    <w:t>t/a</w:t>
                  </w:r>
                </w:p>
              </w:tc>
              <w:tc>
                <w:tcPr>
                  <w:tcW w:w="1921" w:type="pct"/>
                  <w:vAlign w:val="center"/>
                </w:tcPr>
                <w:p>
                  <w:pPr>
                    <w:jc w:val="center"/>
                    <w:rPr>
                      <w:rFonts w:hint="default" w:ascii="Times New Roman" w:hAnsi="Times New Roman" w:cs="Times New Roman" w:eastAsiaTheme="minorEastAsia"/>
                      <w:color w:val="auto"/>
                      <w:lang w:val="en-US" w:eastAsia="zh-CN"/>
                    </w:rPr>
                  </w:pPr>
                  <w:r>
                    <w:rPr>
                      <w:rFonts w:hint="eastAsia" w:cs="Times New Roman" w:eastAsiaTheme="minorEastAsia"/>
                      <w:color w:val="auto"/>
                      <w:lang w:val="en-US" w:eastAsia="zh-CN"/>
                    </w:rPr>
                    <w:t>0.26</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PrEx>
              <w:trPr>
                <w:trHeight w:val="360" w:hRule="atLeast"/>
              </w:trPr>
              <w:tc>
                <w:tcPr>
                  <w:tcW w:w="1539" w:type="pct"/>
                  <w:vMerge w:val="continue"/>
                  <w:tcBorders>
                    <w:right w:val="nil"/>
                    <w:tl2br w:val="nil"/>
                    <w:tr2bl w:val="nil"/>
                  </w:tcBorders>
                  <w:vAlign w:val="center"/>
                </w:tcPr>
                <w:p>
                  <w:pPr>
                    <w:jc w:val="center"/>
                    <w:rPr>
                      <w:rFonts w:hint="default" w:ascii="Times New Roman" w:hAnsi="Times New Roman" w:eastAsia="Times New Roman" w:cs="Times New Roman"/>
                      <w:iCs/>
                      <w:color w:val="auto"/>
                    </w:rPr>
                  </w:pPr>
                </w:p>
              </w:tc>
              <w:tc>
                <w:tcPr>
                  <w:tcW w:w="926" w:type="pct"/>
                  <w:tcBorders>
                    <w:right w:val="nil"/>
                    <w:tl2br w:val="nil"/>
                    <w:tr2bl w:val="nil"/>
                  </w:tcBorders>
                  <w:vAlign w:val="center"/>
                </w:tcPr>
                <w:p>
                  <w:pPr>
                    <w:jc w:val="center"/>
                    <w:rPr>
                      <w:rFonts w:hint="default" w:ascii="Times New Roman" w:hAnsi="Times New Roman" w:eastAsia="Times New Roman" w:cs="Times New Roman"/>
                      <w:iCs/>
                      <w:color w:val="auto"/>
                    </w:rPr>
                  </w:pPr>
                  <w:r>
                    <w:rPr>
                      <w:rFonts w:hint="default" w:ascii="Times New Roman" w:hAnsi="Times New Roman" w:eastAsia="Times New Roman" w:cs="Times New Roman"/>
                      <w:iCs/>
                      <w:color w:val="auto"/>
                    </w:rPr>
                    <w:t>总磷</w:t>
                  </w:r>
                </w:p>
              </w:tc>
              <w:tc>
                <w:tcPr>
                  <w:tcW w:w="612" w:type="pct"/>
                  <w:vAlign w:val="center"/>
                </w:tcPr>
                <w:p>
                  <w:pPr>
                    <w:jc w:val="center"/>
                    <w:rPr>
                      <w:rFonts w:hint="default" w:ascii="Times New Roman" w:hAnsi="Times New Roman" w:eastAsia="Times New Roman" w:cs="Times New Roman"/>
                      <w:iCs/>
                      <w:color w:val="auto"/>
                    </w:rPr>
                  </w:pPr>
                  <w:r>
                    <w:rPr>
                      <w:rFonts w:hint="default" w:ascii="Times New Roman" w:hAnsi="Times New Roman" w:eastAsia="Times New Roman" w:cs="Times New Roman"/>
                      <w:iCs/>
                      <w:color w:val="auto"/>
                    </w:rPr>
                    <w:t>t/a</w:t>
                  </w:r>
                </w:p>
              </w:tc>
              <w:tc>
                <w:tcPr>
                  <w:tcW w:w="1921" w:type="pct"/>
                  <w:vAlign w:val="center"/>
                </w:tcPr>
                <w:p>
                  <w:pPr>
                    <w:jc w:val="center"/>
                    <w:rPr>
                      <w:rFonts w:hint="default" w:ascii="Times New Roman" w:hAnsi="Times New Roman" w:cs="Times New Roman" w:eastAsiaTheme="minorEastAsia"/>
                      <w:color w:val="auto"/>
                      <w:lang w:val="en-US" w:eastAsia="zh-CN"/>
                    </w:rPr>
                  </w:pPr>
                  <w:r>
                    <w:rPr>
                      <w:rFonts w:hint="eastAsia" w:cs="Times New Roman" w:eastAsiaTheme="minorEastAsia"/>
                      <w:color w:val="auto"/>
                      <w:lang w:val="en-US" w:eastAsia="zh-CN"/>
                    </w:rPr>
                    <w:t>0.01</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PrEx>
              <w:trPr>
                <w:trHeight w:val="360" w:hRule="atLeast"/>
              </w:trPr>
              <w:tc>
                <w:tcPr>
                  <w:tcW w:w="1539" w:type="pct"/>
                  <w:vMerge w:val="restart"/>
                  <w:tcBorders>
                    <w:right w:val="nil"/>
                    <w:tl2br w:val="nil"/>
                    <w:tr2bl w:val="nil"/>
                  </w:tcBorders>
                  <w:vAlign w:val="center"/>
                </w:tcPr>
                <w:p>
                  <w:pPr>
                    <w:jc w:val="center"/>
                    <w:rPr>
                      <w:rFonts w:hint="default" w:ascii="Times New Roman" w:hAnsi="Times New Roman" w:eastAsia="宋体" w:cs="Times New Roman"/>
                      <w:iCs/>
                      <w:color w:val="auto"/>
                      <w:lang w:val="en-US" w:eastAsia="zh-CN"/>
                    </w:rPr>
                  </w:pPr>
                  <w:r>
                    <w:rPr>
                      <w:rFonts w:hint="eastAsia" w:eastAsia="宋体" w:cs="Times New Roman"/>
                      <w:iCs/>
                      <w:color w:val="auto"/>
                      <w:lang w:val="en-US" w:eastAsia="zh-CN"/>
                    </w:rPr>
                    <w:t>医疗废物污水处理车间</w:t>
                  </w:r>
                </w:p>
              </w:tc>
              <w:tc>
                <w:tcPr>
                  <w:tcW w:w="926" w:type="pct"/>
                  <w:tcBorders>
                    <w:right w:val="nil"/>
                    <w:tl2br w:val="nil"/>
                    <w:tr2bl w:val="nil"/>
                  </w:tcBorders>
                  <w:vAlign w:val="center"/>
                </w:tcPr>
                <w:p>
                  <w:pPr>
                    <w:jc w:val="center"/>
                    <w:rPr>
                      <w:rFonts w:hint="default" w:ascii="Times New Roman" w:hAnsi="Times New Roman" w:eastAsia="Times New Roman" w:cs="Times New Roman"/>
                      <w:iCs/>
                      <w:color w:val="auto"/>
                    </w:rPr>
                  </w:pPr>
                  <w:r>
                    <w:rPr>
                      <w:rFonts w:hint="default" w:ascii="Times New Roman" w:hAnsi="Times New Roman" w:eastAsia="Times New Roman" w:cs="Times New Roman"/>
                      <w:iCs/>
                      <w:color w:val="auto"/>
                    </w:rPr>
                    <w:t>COD</w:t>
                  </w:r>
                </w:p>
              </w:tc>
              <w:tc>
                <w:tcPr>
                  <w:tcW w:w="1070" w:type="dxa"/>
                  <w:vAlign w:val="center"/>
                </w:tcPr>
                <w:p>
                  <w:pPr>
                    <w:jc w:val="center"/>
                    <w:rPr>
                      <w:rFonts w:hint="default" w:ascii="Times New Roman" w:hAnsi="Times New Roman" w:eastAsia="Times New Roman" w:cs="Times New Roman"/>
                      <w:iCs/>
                      <w:color w:val="auto"/>
                    </w:rPr>
                  </w:pPr>
                  <w:r>
                    <w:rPr>
                      <w:rFonts w:hint="default" w:ascii="Times New Roman" w:hAnsi="Times New Roman" w:eastAsia="Times New Roman" w:cs="Times New Roman"/>
                      <w:iCs/>
                      <w:color w:val="auto"/>
                    </w:rPr>
                    <w:t>t/a</w:t>
                  </w:r>
                </w:p>
              </w:tc>
              <w:tc>
                <w:tcPr>
                  <w:tcW w:w="1921" w:type="pct"/>
                  <w:vAlign w:val="center"/>
                </w:tcPr>
                <w:p>
                  <w:pPr>
                    <w:jc w:val="center"/>
                    <w:rPr>
                      <w:rFonts w:hint="default" w:ascii="Times New Roman" w:hAnsi="Times New Roman" w:cs="Times New Roman" w:eastAsiaTheme="minorEastAsia"/>
                      <w:color w:val="auto"/>
                      <w:lang w:val="en-US" w:eastAsia="zh-CN"/>
                    </w:rPr>
                  </w:pPr>
                  <w:r>
                    <w:rPr>
                      <w:rFonts w:hint="eastAsia" w:cs="Times New Roman" w:eastAsiaTheme="minorEastAsia"/>
                      <w:color w:val="auto"/>
                      <w:lang w:val="en-US" w:eastAsia="zh-CN"/>
                    </w:rPr>
                    <w:t>0.23</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PrEx>
              <w:trPr>
                <w:trHeight w:val="360" w:hRule="atLeast"/>
              </w:trPr>
              <w:tc>
                <w:tcPr>
                  <w:tcW w:w="1539" w:type="pct"/>
                  <w:vMerge w:val="continue"/>
                  <w:tcBorders>
                    <w:right w:val="nil"/>
                    <w:tl2br w:val="nil"/>
                    <w:tr2bl w:val="nil"/>
                  </w:tcBorders>
                  <w:vAlign w:val="center"/>
                </w:tcPr>
                <w:p>
                  <w:pPr>
                    <w:jc w:val="center"/>
                    <w:rPr>
                      <w:rFonts w:hint="eastAsia" w:eastAsia="宋体" w:cs="Times New Roman"/>
                      <w:iCs/>
                      <w:color w:val="auto"/>
                      <w:lang w:val="en-US" w:eastAsia="zh-CN"/>
                    </w:rPr>
                  </w:pPr>
                </w:p>
              </w:tc>
              <w:tc>
                <w:tcPr>
                  <w:tcW w:w="926" w:type="pct"/>
                  <w:tcBorders>
                    <w:right w:val="nil"/>
                    <w:tl2br w:val="nil"/>
                    <w:tr2bl w:val="nil"/>
                  </w:tcBorders>
                  <w:vAlign w:val="center"/>
                </w:tcPr>
                <w:p>
                  <w:pPr>
                    <w:jc w:val="center"/>
                    <w:rPr>
                      <w:rFonts w:hint="default" w:ascii="Times New Roman" w:hAnsi="Times New Roman" w:eastAsia="Times New Roman" w:cs="Times New Roman"/>
                      <w:iCs/>
                      <w:color w:val="auto"/>
                    </w:rPr>
                  </w:pPr>
                  <w:r>
                    <w:rPr>
                      <w:rFonts w:hint="default" w:ascii="Times New Roman" w:hAnsi="Times New Roman" w:eastAsia="Times New Roman" w:cs="Times New Roman"/>
                      <w:iCs/>
                      <w:color w:val="auto"/>
                    </w:rPr>
                    <w:t>氨氮</w:t>
                  </w:r>
                </w:p>
              </w:tc>
              <w:tc>
                <w:tcPr>
                  <w:tcW w:w="1070" w:type="dxa"/>
                  <w:vAlign w:val="center"/>
                </w:tcPr>
                <w:p>
                  <w:pPr>
                    <w:jc w:val="center"/>
                    <w:rPr>
                      <w:rFonts w:hint="default" w:ascii="Times New Roman" w:hAnsi="Times New Roman" w:eastAsia="Times New Roman" w:cs="Times New Roman"/>
                      <w:iCs/>
                      <w:color w:val="auto"/>
                    </w:rPr>
                  </w:pPr>
                  <w:r>
                    <w:rPr>
                      <w:rFonts w:hint="default" w:ascii="Times New Roman" w:hAnsi="Times New Roman" w:eastAsia="Times New Roman" w:cs="Times New Roman"/>
                      <w:iCs/>
                      <w:color w:val="auto"/>
                    </w:rPr>
                    <w:t>t/a</w:t>
                  </w:r>
                </w:p>
              </w:tc>
              <w:tc>
                <w:tcPr>
                  <w:tcW w:w="1921" w:type="pct"/>
                  <w:vAlign w:val="center"/>
                </w:tcPr>
                <w:p>
                  <w:pPr>
                    <w:jc w:val="center"/>
                    <w:rPr>
                      <w:rFonts w:hint="default" w:ascii="Times New Roman" w:hAnsi="Times New Roman" w:cs="Times New Roman" w:eastAsiaTheme="minorEastAsia"/>
                      <w:color w:val="auto"/>
                      <w:lang w:val="en-US" w:eastAsia="zh-CN"/>
                    </w:rPr>
                  </w:pPr>
                  <w:r>
                    <w:rPr>
                      <w:rFonts w:hint="eastAsia" w:cs="Times New Roman" w:eastAsiaTheme="minorEastAsia"/>
                      <w:color w:val="auto"/>
                      <w:lang w:val="en-US" w:eastAsia="zh-CN"/>
                    </w:rPr>
                    <w:t>0.02</w:t>
                  </w:r>
                </w:p>
              </w:tc>
            </w:tr>
          </w:tbl>
          <w:p>
            <w:pPr>
              <w:pStyle w:val="12"/>
              <w:keepNext w:val="0"/>
              <w:keepLines w:val="0"/>
              <w:pageBreakBefore w:val="0"/>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（4）固体废物</w:t>
            </w:r>
          </w:p>
          <w:p>
            <w:pPr>
              <w:pStyle w:val="12"/>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现有工程生活垃圾产生量6.74t/a，就近纳入填埋区填埋处理。</w:t>
            </w:r>
          </w:p>
          <w:p>
            <w:pPr>
              <w:pStyle w:val="12"/>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医疗废物处置产生的废活性炭0.5t/a，尾气处理装置产生的废滤芯0.1t/a，医疗废物处置单元废水处理产生的污泥0.9t/a，上述废物为危险废物委托黑龙江京盛华环保科技有限公司处置。</w:t>
            </w:r>
          </w:p>
          <w:p>
            <w:pPr>
              <w:pStyle w:val="12"/>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高温蒸煮单元产的废渣为一般工业固废，近纳入填埋区填埋处理。</w:t>
            </w:r>
          </w:p>
          <w:p>
            <w:pPr>
              <w:adjustRightInd/>
              <w:spacing w:line="360" w:lineRule="auto"/>
              <w:textAlignment w:val="auto"/>
              <w:rPr>
                <w:rFonts w:hint="default" w:ascii="Times New Roman" w:hAnsi="Times New Roman" w:cs="Times New Roman"/>
                <w:b/>
                <w:bCs/>
                <w:color w:val="auto"/>
                <w:kern w:val="2"/>
                <w:sz w:val="24"/>
                <w:szCs w:val="24"/>
              </w:rPr>
            </w:pPr>
            <w:r>
              <w:rPr>
                <w:rFonts w:hint="default" w:ascii="Times New Roman" w:hAnsi="Times New Roman" w:cs="Times New Roman"/>
                <w:b/>
                <w:bCs/>
                <w:color w:val="auto"/>
                <w:kern w:val="2"/>
                <w:sz w:val="24"/>
                <w:szCs w:val="24"/>
              </w:rPr>
              <w:t>三、排污许可</w:t>
            </w:r>
          </w:p>
          <w:p>
            <w:pPr>
              <w:adjustRightIn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kern w:val="2"/>
                <w:sz w:val="24"/>
                <w:szCs w:val="24"/>
                <w:lang w:val="en-US" w:eastAsia="zh-CN"/>
              </w:rPr>
              <w:t>企业已经申领排污许可证，许可证编号12230881325908850Y001V，</w:t>
            </w:r>
            <w:r>
              <w:rPr>
                <w:rFonts w:hint="default" w:ascii="Times New Roman" w:hAnsi="Times New Roman" w:cs="Times New Roman"/>
                <w:color w:val="auto"/>
                <w:kern w:val="2"/>
                <w:sz w:val="24"/>
                <w:szCs w:val="24"/>
              </w:rPr>
              <w:t>根据排污许可，污水许可浓度限值为</w:t>
            </w:r>
            <w:r>
              <w:rPr>
                <w:rFonts w:hint="default" w:ascii="Times New Roman" w:hAnsi="Times New Roman" w:eastAsia="宋体" w:cs="Times New Roman"/>
                <w:color w:val="auto"/>
                <w:sz w:val="24"/>
                <w:szCs w:val="24"/>
                <w:lang w:val="en-US" w:eastAsia="zh-CN"/>
              </w:rPr>
              <w:t>《生活垃圾填埋场污染控制标准》（GB16889-2008）中表2规定的水污染物排放浓度限值</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《医疗机构水污染物排放标准》（GB18466-2005）预处理标准</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废气排放执行《恶臭污染物排放标准》（GB14554-93），《大气污染物综合排放标准》（GB16297-1996）。</w:t>
            </w:r>
          </w:p>
          <w:p>
            <w:pPr>
              <w:adjustRightInd/>
              <w:spacing w:line="360" w:lineRule="auto"/>
              <w:textAlignment w:val="auto"/>
              <w:rPr>
                <w:rFonts w:hint="default" w:ascii="Times New Roman" w:hAnsi="Times New Roman" w:eastAsia="仿宋_GB2312" w:cs="Times New Roman"/>
                <w:b/>
                <w:bCs/>
                <w:color w:val="auto"/>
                <w:kern w:val="2"/>
                <w:sz w:val="24"/>
                <w:szCs w:val="24"/>
              </w:rPr>
            </w:pPr>
            <w:r>
              <w:rPr>
                <w:rFonts w:hint="default" w:ascii="Times New Roman" w:hAnsi="Times New Roman" w:cs="Times New Roman"/>
                <w:b/>
                <w:bCs/>
                <w:color w:val="auto"/>
                <w:kern w:val="2"/>
                <w:sz w:val="24"/>
                <w:szCs w:val="24"/>
              </w:rPr>
              <w:t>三、现有工程主要环境问题</w:t>
            </w:r>
          </w:p>
          <w:p>
            <w:pPr>
              <w:snapToGrid w:val="0"/>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渗滤液处理设施设计规模偏小，不能满足处理实际水量的要求。</w:t>
            </w:r>
          </w:p>
          <w:p>
            <w:pPr>
              <w:snapToGrid w:val="0"/>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lang w:val="en-US" w:eastAsia="zh-CN"/>
              </w:rPr>
              <w:t>现状垃圾渗滤液处理处理车间恶臭为无组织排放。</w:t>
            </w:r>
          </w:p>
          <w:p>
            <w:pPr>
              <w:adjustRightInd/>
              <w:spacing w:line="360" w:lineRule="auto"/>
              <w:textAlignment w:val="auto"/>
              <w:rPr>
                <w:rFonts w:hint="default" w:ascii="Times New Roman" w:hAnsi="Times New Roman" w:cs="Times New Roman"/>
                <w:b/>
                <w:bCs/>
                <w:color w:val="auto"/>
                <w:kern w:val="2"/>
                <w:sz w:val="24"/>
                <w:szCs w:val="24"/>
              </w:rPr>
            </w:pPr>
            <w:r>
              <w:rPr>
                <w:rFonts w:hint="default" w:ascii="Times New Roman" w:hAnsi="Times New Roman" w:cs="Times New Roman"/>
                <w:b/>
                <w:bCs/>
                <w:color w:val="auto"/>
                <w:kern w:val="2"/>
                <w:sz w:val="24"/>
                <w:szCs w:val="24"/>
              </w:rPr>
              <w:t>四、以新带老</w:t>
            </w:r>
          </w:p>
          <w:p>
            <w:pPr>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本次扩建渗滤液处理车间，保留原有渗滤液处理车间，用做事故状态或设备检修时备用设施</w:t>
            </w:r>
            <w:r>
              <w:rPr>
                <w:rFonts w:hint="eastAsia" w:cs="Times New Roman"/>
                <w:color w:val="auto"/>
                <w:sz w:val="24"/>
                <w:szCs w:val="24"/>
                <w:lang w:val="en-US" w:eastAsia="zh-CN"/>
              </w:rPr>
              <w:t>，原有</w:t>
            </w:r>
            <w:r>
              <w:rPr>
                <w:rFonts w:hint="default" w:ascii="Times New Roman" w:hAnsi="Times New Roman" w:cs="Times New Roman"/>
                <w:color w:val="auto"/>
                <w:sz w:val="24"/>
                <w:szCs w:val="24"/>
                <w:lang w:val="en-US" w:eastAsia="zh-CN"/>
              </w:rPr>
              <w:t>渗滤液处理车间</w:t>
            </w:r>
            <w:r>
              <w:rPr>
                <w:rFonts w:hint="eastAsia" w:cs="Times New Roman"/>
                <w:color w:val="auto"/>
                <w:sz w:val="24"/>
                <w:szCs w:val="24"/>
                <w:lang w:val="en-US" w:eastAsia="zh-CN"/>
              </w:rPr>
              <w:t>废气治理设施沿用现在治理设施不变。</w:t>
            </w:r>
          </w:p>
          <w:p>
            <w:pPr>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新建滤液处理车间产生的恶臭统一收集经高能光量子除臭装置处置后经15m高排气筒排放。</w:t>
            </w: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tc>
      </w:tr>
    </w:tbl>
    <w:p>
      <w:pPr>
        <w:pStyle w:val="3"/>
        <w:keepNext w:val="0"/>
        <w:keepLines w:val="0"/>
        <w:spacing w:after="0" w:line="240" w:lineRule="auto"/>
        <w:jc w:val="left"/>
        <w:rPr>
          <w:rFonts w:hint="default" w:ascii="Times New Roman" w:hAnsi="Times New Roman" w:cs="Times New Roman"/>
          <w:color w:val="auto"/>
        </w:rPr>
        <w:sectPr>
          <w:headerReference r:id="rId7" w:type="first"/>
          <w:footerReference r:id="rId9" w:type="first"/>
          <w:headerReference r:id="rId6" w:type="default"/>
          <w:footerReference r:id="rId8" w:type="default"/>
          <w:pgSz w:w="11907" w:h="16840"/>
          <w:pgMar w:top="1588" w:right="1588" w:bottom="1588" w:left="1588" w:header="851" w:footer="1247" w:gutter="0"/>
          <w:pgBorders>
            <w:top w:val="none" w:sz="0" w:space="0"/>
            <w:left w:val="none" w:sz="0" w:space="0"/>
            <w:bottom w:val="none" w:sz="0" w:space="0"/>
            <w:right w:val="none" w:sz="0" w:space="0"/>
          </w:pgBorders>
          <w:pgNumType w:start="1"/>
          <w:cols w:space="720" w:num="1"/>
          <w:titlePg/>
          <w:docGrid w:linePitch="286" w:charSpace="0"/>
        </w:sectPr>
      </w:pPr>
    </w:p>
    <w:p>
      <w:pPr>
        <w:pStyle w:val="3"/>
        <w:keepNext w:val="0"/>
        <w:keepLines w:val="0"/>
        <w:spacing w:after="0" w:line="240" w:lineRule="auto"/>
        <w:jc w:val="left"/>
        <w:rPr>
          <w:rFonts w:hint="default" w:ascii="Times New Roman" w:hAnsi="Times New Roman" w:cs="Times New Roman"/>
          <w:color w:val="auto"/>
        </w:rPr>
      </w:pPr>
      <w:bookmarkStart w:id="1" w:name="_Toc25154381"/>
      <w:r>
        <w:rPr>
          <w:rFonts w:hint="default" w:ascii="Times New Roman" w:hAnsi="Times New Roman" w:cs="Times New Roman"/>
          <w:color w:val="auto"/>
        </w:rPr>
        <w:t>建设项目所在地自然环境简况</w:t>
      </w:r>
      <w:bookmarkEnd w:id="1"/>
    </w:p>
    <w:tbl>
      <w:tblPr>
        <w:tblStyle w:val="33"/>
        <w:tblW w:w="890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90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478" w:hRule="atLeast"/>
          <w:jc w:val="center"/>
        </w:trPr>
        <w:tc>
          <w:tcPr>
            <w:tcW w:w="8907" w:type="dxa"/>
          </w:tcPr>
          <w:p>
            <w:pPr>
              <w:spacing w:before="120" w:line="360" w:lineRule="auto"/>
              <w:rPr>
                <w:rFonts w:hint="default" w:ascii="Times New Roman" w:hAnsi="Times New Roman" w:cs="Times New Roman"/>
                <w:color w:val="auto"/>
                <w:sz w:val="24"/>
              </w:rPr>
            </w:pPr>
            <w:r>
              <w:rPr>
                <w:rFonts w:hint="default" w:ascii="Times New Roman" w:hAnsi="Times New Roman" w:cs="Times New Roman"/>
                <w:b/>
                <w:color w:val="auto"/>
                <w:sz w:val="28"/>
              </w:rPr>
              <w:t>自然环境简况(地形、地貌、地质、气候、气象、水文、植被、生物多样性等):</w:t>
            </w:r>
          </w:p>
          <w:p>
            <w:pPr>
              <w:spacing w:line="360" w:lineRule="auto"/>
              <w:ind w:firstLine="480"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1、地理位置</w:t>
            </w:r>
          </w:p>
          <w:p>
            <w:pPr>
              <w:pStyle w:val="105"/>
              <w:rPr>
                <w:rFonts w:hint="default" w:ascii="Times New Roman" w:hAnsi="Times New Roman" w:cs="Times New Roman"/>
                <w:color w:val="auto"/>
                <w:szCs w:val="24"/>
              </w:rPr>
            </w:pPr>
            <w:r>
              <w:rPr>
                <w:rFonts w:hint="default" w:ascii="Times New Roman" w:hAnsi="Times New Roman" w:cs="Times New Roman"/>
                <w:color w:val="auto"/>
              </w:rPr>
              <w:t>同江市隶属于黑龙江省佳木斯市，位于黑龙江省的东北部，三江平原腹地、黑龙江和松花江交汇处南岸，地理坐标N47°25′47″-48°17′20″、E132°18′32″-134°07′15″。同江市东与抚远县接壤，南与富锦市、饶河县为邻，西隔松花江与绥滨县相连，北隔黑龙江与俄罗斯相望。</w:t>
            </w:r>
          </w:p>
          <w:p>
            <w:pPr>
              <w:spacing w:line="360" w:lineRule="auto"/>
              <w:ind w:firstLine="480"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2、地形地貌</w:t>
            </w:r>
          </w:p>
          <w:p>
            <w:pPr>
              <w:pStyle w:val="105"/>
              <w:rPr>
                <w:rFonts w:hint="default" w:ascii="Times New Roman" w:hAnsi="Times New Roman" w:cs="Times New Roman"/>
                <w:color w:val="auto"/>
                <w:szCs w:val="24"/>
              </w:rPr>
            </w:pPr>
            <w:r>
              <w:rPr>
                <w:rFonts w:hint="default" w:ascii="Times New Roman" w:hAnsi="Times New Roman" w:cs="Times New Roman"/>
                <w:color w:val="auto"/>
              </w:rPr>
              <w:t>同江市域东西宽146km，南北长42km，总面积6164km</w:t>
            </w:r>
            <w:r>
              <w:rPr>
                <w:rFonts w:hint="default" w:ascii="Times New Roman" w:hAnsi="Times New Roman" w:cs="Times New Roman"/>
                <w:color w:val="auto"/>
                <w:vertAlign w:val="superscript"/>
              </w:rPr>
              <w:t>2</w:t>
            </w:r>
            <w:r>
              <w:rPr>
                <w:rFonts w:hint="default" w:ascii="Times New Roman" w:hAnsi="Times New Roman" w:cs="Times New Roman"/>
                <w:color w:val="auto"/>
              </w:rPr>
              <w:t>，辖区内中俄边境线沿黑龙江中心线总长166km。同江市属于三江低地冲积平原，地势由西南向东逐渐倾斜，平均海拔高度为45m-65m之间，最高山脉额图山海拔高度626.8m，西部为漫川漫岗，中部为低山残丘和平原，东部为低平地，沿江是泛滥地。由于黑龙江多次泛滥冲积和沉积作用，在沿江一带形成高漫滩，地势绝大部分比较平坦，局部地区是“钱搭子”地形，俗称漫川漫岗，坡度平缓，岗顶平坦，海拔在62m-52m，缓坡地带，坡度一般在3度以下。成土母质为黄土状粘土和砂壤质冲积物。</w:t>
            </w:r>
          </w:p>
          <w:p>
            <w:pPr>
              <w:spacing w:line="360" w:lineRule="auto"/>
              <w:ind w:firstLine="480"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3、水文及水文地质</w:t>
            </w:r>
          </w:p>
          <w:p>
            <w:pPr>
              <w:pStyle w:val="105"/>
              <w:rPr>
                <w:rFonts w:hint="default" w:ascii="Times New Roman" w:hAnsi="Times New Roman" w:cs="Times New Roman"/>
                <w:color w:val="auto"/>
              </w:rPr>
            </w:pPr>
            <w:r>
              <w:rPr>
                <w:rFonts w:hint="default" w:ascii="Times New Roman" w:hAnsi="Times New Roman" w:cs="Times New Roman"/>
                <w:color w:val="auto"/>
              </w:rPr>
              <w:t>同江境内有黑龙江、松花江两大干流及12条主要支流，河叉、江通43条，泡沼400余处。</w:t>
            </w:r>
          </w:p>
          <w:p>
            <w:pPr>
              <w:pStyle w:val="105"/>
              <w:rPr>
                <w:rFonts w:hint="default" w:ascii="Times New Roman" w:hAnsi="Times New Roman" w:cs="Times New Roman"/>
                <w:color w:val="auto"/>
              </w:rPr>
            </w:pPr>
            <w:r>
              <w:rPr>
                <w:rFonts w:hint="default" w:ascii="Times New Roman" w:hAnsi="Times New Roman" w:cs="Times New Roman"/>
                <w:color w:val="auto"/>
              </w:rPr>
              <w:t>（1）黑龙江</w:t>
            </w:r>
          </w:p>
          <w:p>
            <w:pPr>
              <w:pStyle w:val="105"/>
              <w:rPr>
                <w:rFonts w:hint="default" w:ascii="Times New Roman" w:hAnsi="Times New Roman" w:cs="Times New Roman"/>
                <w:color w:val="auto"/>
              </w:rPr>
            </w:pPr>
            <w:r>
              <w:rPr>
                <w:rFonts w:hint="default" w:ascii="Times New Roman" w:hAnsi="Times New Roman" w:cs="Times New Roman"/>
                <w:color w:val="auto"/>
              </w:rPr>
              <w:t>黑龙江为境内第一大河，位于同江东北部。该河西起三江口，东至黑鱼泡河口。境内流长166km，江宽1-2km，水域面积144756 亩，江水墨绿，水深流急，是同江航运的主动脉。</w:t>
            </w:r>
          </w:p>
          <w:p>
            <w:pPr>
              <w:pStyle w:val="105"/>
              <w:rPr>
                <w:rFonts w:hint="default" w:ascii="Times New Roman" w:hAnsi="Times New Roman" w:cs="Times New Roman"/>
                <w:color w:val="auto"/>
              </w:rPr>
            </w:pPr>
            <w:r>
              <w:rPr>
                <w:rFonts w:hint="default" w:ascii="Times New Roman" w:hAnsi="Times New Roman" w:cs="Times New Roman"/>
                <w:color w:val="auto"/>
              </w:rPr>
              <w:t>（2）松花江</w:t>
            </w:r>
          </w:p>
          <w:p>
            <w:pPr>
              <w:pStyle w:val="105"/>
              <w:rPr>
                <w:rFonts w:hint="default" w:ascii="Times New Roman" w:hAnsi="Times New Roman" w:cs="Times New Roman"/>
                <w:color w:val="auto"/>
              </w:rPr>
            </w:pPr>
            <w:r>
              <w:rPr>
                <w:rFonts w:hint="default" w:ascii="Times New Roman" w:hAnsi="Times New Roman" w:cs="Times New Roman"/>
                <w:color w:val="auto"/>
              </w:rPr>
              <w:t>松花江流经同江市，在距同江城东北6km的三江口处汇入黑龙江，松花江在同江市城北边形成一较大支叉为西小河，亦于三江口汇入松花江，故在西小河与松花江主河道之间形成一“8”字型岛，称之为同江岛。同江市区及沿江公园位于西小河右岸。境内流长33km，江面冬季宽度为400-800m，夏季宽度为1000-1500m，洪水期宽度为1500-2000m。全部水域面积49505亩，其中：主河道水域面积为42031亩，江通水域面积为7474亩，是同江县主要渔业水域之一。干流平均宽度（主航道同江一侧江面）为800m，水深平均在4-7m之间。黑龙江江水混浊，含沙量大，江面平稳，少风浪，江底平坦，多沙质，明水期可通航3000t泊位的轮船，是境内最重要的内航河道。松花江50 年一遇洪水，水位在海拔55.6m。历史上最高洪水位海拔54.77m，最低洪水位海拔52.54m，水位差2.3m，年平均水位为53.6m，最大流量1.66×10</w:t>
            </w:r>
            <w:r>
              <w:rPr>
                <w:rFonts w:hint="default" w:ascii="Times New Roman" w:hAnsi="Times New Roman" w:cs="Times New Roman"/>
                <w:color w:val="auto"/>
                <w:vertAlign w:val="superscript"/>
              </w:rPr>
              <w:t>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/s，江水封冻时间每年11月20日左右，解冻期为4月20日左右。</w:t>
            </w:r>
          </w:p>
          <w:p>
            <w:pPr>
              <w:pStyle w:val="105"/>
              <w:rPr>
                <w:rFonts w:hint="default" w:ascii="Times New Roman" w:hAnsi="Times New Roman" w:cs="Times New Roman"/>
                <w:color w:val="auto"/>
              </w:rPr>
            </w:pPr>
            <w:r>
              <w:rPr>
                <w:rFonts w:hint="default" w:ascii="Times New Roman" w:hAnsi="Times New Roman" w:cs="Times New Roman"/>
                <w:color w:val="auto"/>
              </w:rPr>
              <w:t>（3）莲花河</w:t>
            </w:r>
          </w:p>
          <w:p>
            <w:pPr>
              <w:pStyle w:val="105"/>
              <w:jc w:val="both"/>
              <w:rPr>
                <w:rFonts w:hint="default" w:ascii="Times New Roman" w:hAnsi="Times New Roman" w:cs="Times New Roman"/>
                <w:color w:val="auto"/>
              </w:rPr>
            </w:pPr>
            <w:r>
              <w:rPr>
                <w:rFonts w:hint="default" w:ascii="Times New Roman" w:hAnsi="Times New Roman" w:cs="Times New Roman"/>
                <w:color w:val="auto"/>
              </w:rPr>
              <w:t>同江市区东北45km处有一座街津山，山脚下有一条莲花河。莲花河在街津山脚下注入黑龙江。莲花河全长141km，由乐业乡庆丰村入境，因莲花丛生而得名。其水清澈见底，河底多淤泥，水浅处不足1m，深入2m开外，间有游鱼浮沉，河宽30m—50m，沿岸多低洼湿地、杂草丛生。莲花河自西南向东北，流经青龙山，而后转北向，经街津口注入黑龙江。当黑龙江洪泛期到来时，黑龙江水大量倒灌，河槽溢出，淹没大片沼泽地，形成了大面积泛水区。洪水消落后，低地沟塘遍为水泊。又形成了大量的泛水泡沼，大者常年有水，小者按季节时见时隐。总数为300余处，水域面积为78504亩，其中：主河道面积达30294亩，河口地带为渔业基地。在莲花河两侧分布有5条较大的支流，即：青龙河、拉起河、寒葱河、新富河、东莲花河，这些河的形态特征从属于莲花河。境内黑龙江从此流过，同抚路穿乡而过，交通便利。</w:t>
            </w:r>
          </w:p>
          <w:p>
            <w:pPr>
              <w:pStyle w:val="105"/>
              <w:rPr>
                <w:rFonts w:hint="default" w:ascii="Times New Roman" w:hAnsi="Times New Roman" w:cs="Times New Roman"/>
                <w:color w:val="auto"/>
                <w:szCs w:val="24"/>
              </w:rPr>
            </w:pPr>
            <w:r>
              <w:rPr>
                <w:rFonts w:hint="default" w:ascii="Times New Roman" w:hAnsi="Times New Roman" w:cs="Times New Roman"/>
                <w:color w:val="auto"/>
              </w:rPr>
              <w:t>同江市地质构造属漫滩冲积地区，地表下0.5m以内属腐植土，0.5m～1.5m为亚粘土和粘土，地基压力为160～140kPa，地下1.5m～5m多为细砂，地基承压力140kPa。总的地质情况沿松花江东侧100m以内和西小河南侧300m以内地基承压力较低，城市中心区较高。根据《中国地震烈度区划图》，同江地区地震烈度为六级，地震加速度值为 0.05g。</w:t>
            </w:r>
          </w:p>
          <w:p>
            <w:pPr>
              <w:pStyle w:val="105"/>
              <w:ind w:firstLine="482"/>
              <w:rPr>
                <w:rFonts w:hint="default" w:ascii="Times New Roman" w:hAnsi="Times New Roman" w:cs="Times New Roman"/>
                <w:b/>
                <w:bCs/>
                <w:color w:val="auto"/>
                <w:szCs w:val="24"/>
              </w:rPr>
            </w:pPr>
            <w:r>
              <w:rPr>
                <w:rFonts w:hint="default" w:ascii="Times New Roman" w:hAnsi="Times New Roman" w:cs="Times New Roman"/>
                <w:b/>
                <w:bCs/>
                <w:color w:val="auto"/>
                <w:szCs w:val="24"/>
              </w:rPr>
              <w:t>4、气候条件</w:t>
            </w:r>
          </w:p>
          <w:p>
            <w:pPr>
              <w:pStyle w:val="105"/>
              <w:rPr>
                <w:rFonts w:hint="default" w:ascii="Times New Roman" w:hAnsi="Times New Roman" w:cs="Times New Roman"/>
                <w:color w:val="auto"/>
              </w:rPr>
            </w:pPr>
            <w:r>
              <w:rPr>
                <w:rFonts w:hint="default" w:ascii="Times New Roman" w:hAnsi="Times New Roman" w:cs="Times New Roman"/>
                <w:color w:val="auto"/>
              </w:rPr>
              <w:t>同江市位于中温带湿润气候区，属于大陆性季风气候，四季差别明显。冬季严寒漫长，多西北风，气候干燥；夏季短暂，温热多雨，多偏南风，雨水集中，气候较为湿润；春、秋季节由于冬夏季风交替，气候多变，多大风天气。</w:t>
            </w:r>
          </w:p>
          <w:p>
            <w:pPr>
              <w:pStyle w:val="105"/>
              <w:rPr>
                <w:rFonts w:hint="default" w:ascii="Times New Roman" w:hAnsi="Times New Roman" w:cs="Times New Roman"/>
                <w:color w:val="auto"/>
              </w:rPr>
            </w:pPr>
            <w:r>
              <w:rPr>
                <w:rFonts w:hint="default" w:ascii="Times New Roman" w:hAnsi="Times New Roman" w:cs="Times New Roman"/>
                <w:color w:val="auto"/>
              </w:rPr>
              <w:t>根据同江市近20年气象统计资料（1996-2015），同江多年平均气温2.9℃，最冷月（一月）平均气温-20.12℃，极端最低气温-40.4℃（2010-01-13）；最热月（七月）平均气温22.27℃，极端最高气温38.0℃（2010-06-26）。多年平均降水量510.8mm，其中5-9 月降水量占全年的79%。年平均日照时数2432.9h，6月日照时间最长（256.51h），12月日照时间最短（140.32h）。近10年平均无霜期146天，采暖期198天（4356h），采暖室外计算温度-22.4℃，采暖期室外平均温度-9.6℃。同江市地处西风带，盛行偏西风，多年平均风速3.9m/s。春季风势最大，风力达7-8 级，多年平均大风日18天，由于春季风大雨少，易造成春旱。主要风向为W和WSW、WNW、SW，占42.6%，其中以W 为主导风向，占到全年14.4%左右。同江市近20年的风玫瑰见图1。</w:t>
            </w:r>
          </w:p>
          <w:p>
            <w:pPr>
              <w:pStyle w:val="105"/>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3629660" cy="2515235"/>
                  <wp:effectExtent l="0" t="0" r="8890" b="18415"/>
                  <wp:docPr id="32" name="图片 12" descr="1541560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descr="1541560523(1)"/>
                          <pic:cNvPicPr>
                            <a:picLocks noChangeAspect="1"/>
                          </pic:cNvPicPr>
                        </pic:nvPicPr>
                        <pic:blipFill>
                          <a:blip r:embed="rId16"/>
                          <a:stretch>
                            <a:fillRect/>
                          </a:stretch>
                        </pic:blipFill>
                        <pic:spPr>
                          <a:xfrm>
                            <a:off x="0" y="0"/>
                            <a:ext cx="3629660" cy="2515235"/>
                          </a:xfrm>
                          <a:prstGeom prst="rect">
                            <a:avLst/>
                          </a:prstGeom>
                          <a:noFill/>
                          <a:ln>
                            <a:noFill/>
                          </a:ln>
                        </pic:spPr>
                      </pic:pic>
                    </a:graphicData>
                  </a:graphic>
                </wp:inline>
              </w:drawing>
            </w:r>
          </w:p>
          <w:p>
            <w:pPr>
              <w:pStyle w:val="105"/>
              <w:jc w:val="center"/>
              <w:rPr>
                <w:rFonts w:hint="default" w:ascii="Times New Roman" w:hAnsi="Times New Roman" w:cs="Times New Roman"/>
                <w:b/>
                <w:bCs/>
                <w:color w:val="auto"/>
                <w:szCs w:val="24"/>
              </w:rPr>
            </w:pPr>
            <w:r>
              <w:rPr>
                <w:rFonts w:hint="default" w:ascii="Times New Roman" w:hAnsi="Times New Roman" w:eastAsia="黑体" w:cs="Times New Roman"/>
                <w:b/>
                <w:bCs/>
                <w:color w:val="auto"/>
              </w:rPr>
              <w:t>图2-1同江市近20年风玫瑰图</w:t>
            </w:r>
          </w:p>
          <w:p>
            <w:pPr>
              <w:pStyle w:val="68"/>
              <w:ind w:firstLine="482"/>
              <w:rPr>
                <w:rFonts w:hint="default" w:ascii="Times New Roman" w:hAnsi="Times New Roman" w:cs="Times New Roman"/>
                <w:color w:val="auto"/>
              </w:rPr>
            </w:pPr>
            <w:r>
              <w:rPr>
                <w:rFonts w:hint="default" w:ascii="Times New Roman" w:hAnsi="Times New Roman" w:cs="Times New Roman"/>
                <w:color w:val="auto"/>
              </w:rPr>
              <w:t>5、本项目周边环境</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2"/>
              </w:rPr>
              <w:t>本项目位于同江垃圾处理原有渗滤液处理间东侧空地，项目北侧为同秀公路，南侧为垃圾填埋场填埋区，西侧为原有垃圾渗滤液处理间，东侧为调节池。周边500m范围内无环境敏感点。</w:t>
            </w:r>
          </w:p>
        </w:tc>
      </w:tr>
    </w:tbl>
    <w:p>
      <w:pPr>
        <w:spacing w:line="240" w:lineRule="auto"/>
        <w:jc w:val="left"/>
        <w:rPr>
          <w:rFonts w:hint="default" w:ascii="Times New Roman" w:hAnsi="Times New Roman" w:cs="Times New Roman"/>
          <w:color w:val="auto"/>
        </w:rPr>
      </w:pPr>
    </w:p>
    <w:p>
      <w:pPr>
        <w:bidi w:val="0"/>
        <w:rPr>
          <w:rFonts w:hint="default" w:ascii="Times New Roman" w:hAnsi="Times New Roman" w:cs="Times New Roman"/>
          <w:color w:val="auto"/>
        </w:rPr>
      </w:pPr>
      <w:bookmarkStart w:id="2" w:name="_Toc25154382"/>
    </w:p>
    <w:p>
      <w:pPr>
        <w:pStyle w:val="3"/>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baseline"/>
        <w:rPr>
          <w:rFonts w:hint="default" w:ascii="Times New Roman" w:hAnsi="Times New Roman" w:cs="Times New Roman"/>
          <w:color w:val="auto"/>
        </w:rPr>
      </w:pPr>
      <w:r>
        <w:rPr>
          <w:rFonts w:hint="default" w:ascii="Times New Roman" w:hAnsi="Times New Roman" w:cs="Times New Roman"/>
          <w:color w:val="auto"/>
        </w:rPr>
        <w:t>环境质量状况</w:t>
      </w:r>
      <w:bookmarkEnd w:id="2"/>
    </w:p>
    <w:tbl>
      <w:tblPr>
        <w:tblStyle w:val="33"/>
        <w:tblW w:w="92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43" w:type="dxa"/>
            <w:tcBorders>
              <w:bottom w:val="single" w:color="auto" w:sz="8" w:space="0"/>
            </w:tcBorders>
            <w:vAlign w:val="top"/>
          </w:tcPr>
          <w:p>
            <w:pPr>
              <w:spacing w:before="120" w:line="360" w:lineRule="auto"/>
              <w:rPr>
                <w:rFonts w:hint="default" w:ascii="Times New Roman" w:hAnsi="Times New Roman" w:cs="Times New Roman"/>
                <w:b/>
                <w:color w:val="auto"/>
                <w:sz w:val="28"/>
              </w:rPr>
            </w:pPr>
            <w:r>
              <w:rPr>
                <w:rFonts w:hint="default" w:ascii="Times New Roman" w:hAnsi="Times New Roman" w:cs="Times New Roman"/>
                <w:b/>
                <w:color w:val="auto"/>
                <w:sz w:val="28"/>
              </w:rPr>
              <w:t>建设项目所在地区域环境现状及主要环境问题(环境空气、地面水、地下水、声环境、生态环境等)</w:t>
            </w:r>
          </w:p>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rPr>
              <w:t>1、环境空气质量现状</w:t>
            </w:r>
          </w:p>
          <w:p>
            <w:pPr>
              <w:spacing w:line="360" w:lineRule="auto"/>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1.1区域环境空气质量达标情况</w:t>
            </w:r>
          </w:p>
          <w:p>
            <w:pPr>
              <w:pStyle w:val="68"/>
              <w:ind w:firstLine="480"/>
              <w:rPr>
                <w:rStyle w:val="61"/>
                <w:rFonts w:hint="default" w:ascii="Times New Roman" w:hAnsi="Times New Roman" w:cs="Times New Roman"/>
                <w:b w:val="0"/>
                <w:bCs/>
                <w:color w:val="auto"/>
              </w:rPr>
            </w:pPr>
            <w:r>
              <w:rPr>
                <w:rFonts w:hint="default" w:ascii="Times New Roman" w:hAnsi="Times New Roman" w:cs="Times New Roman"/>
                <w:b w:val="0"/>
                <w:bCs/>
                <w:color w:val="auto"/>
                <w:kern w:val="2"/>
                <w:szCs w:val="24"/>
              </w:rPr>
              <w:t>本项目所在地为环境空气质量二类功能区，评价标准执行《环境空气质量标准》（GB3095-2012）二级标准及修改单。</w:t>
            </w:r>
            <w:r>
              <w:rPr>
                <w:rStyle w:val="61"/>
                <w:rFonts w:hint="default" w:ascii="Times New Roman" w:hAnsi="Times New Roman" w:cs="Times New Roman"/>
                <w:b w:val="0"/>
                <w:bCs/>
                <w:color w:val="auto"/>
              </w:rPr>
              <w:t>根据中国环境影响评价网环境空气质量模型技术支持服务系统平台提供的达标区判定数据可知，佳木斯市2019年SO</w:t>
            </w:r>
            <w:r>
              <w:rPr>
                <w:rStyle w:val="61"/>
                <w:rFonts w:hint="default" w:ascii="Times New Roman" w:hAnsi="Times New Roman" w:cs="Times New Roman"/>
                <w:b w:val="0"/>
                <w:bCs/>
                <w:color w:val="auto"/>
                <w:vertAlign w:val="subscript"/>
              </w:rPr>
              <w:t>2</w:t>
            </w:r>
            <w:r>
              <w:rPr>
                <w:rStyle w:val="61"/>
                <w:rFonts w:hint="default" w:ascii="Times New Roman" w:hAnsi="Times New Roman" w:cs="Times New Roman"/>
                <w:b w:val="0"/>
                <w:bCs/>
                <w:color w:val="auto"/>
              </w:rPr>
              <w:t>、NO</w:t>
            </w:r>
            <w:r>
              <w:rPr>
                <w:rStyle w:val="61"/>
                <w:rFonts w:hint="default" w:ascii="Times New Roman" w:hAnsi="Times New Roman" w:cs="Times New Roman"/>
                <w:b w:val="0"/>
                <w:bCs/>
                <w:color w:val="auto"/>
                <w:vertAlign w:val="subscript"/>
              </w:rPr>
              <w:t>2</w:t>
            </w:r>
            <w:r>
              <w:rPr>
                <w:rStyle w:val="61"/>
                <w:rFonts w:hint="default" w:ascii="Times New Roman" w:hAnsi="Times New Roman" w:cs="Times New Roman"/>
                <w:b w:val="0"/>
                <w:bCs/>
                <w:color w:val="auto"/>
              </w:rPr>
              <w:t>、PM</w:t>
            </w:r>
            <w:r>
              <w:rPr>
                <w:rStyle w:val="61"/>
                <w:rFonts w:hint="default" w:ascii="Times New Roman" w:hAnsi="Times New Roman" w:cs="Times New Roman"/>
                <w:b w:val="0"/>
                <w:bCs/>
                <w:color w:val="auto"/>
                <w:vertAlign w:val="subscript"/>
              </w:rPr>
              <w:t>10</w:t>
            </w:r>
            <w:r>
              <w:rPr>
                <w:rStyle w:val="61"/>
                <w:rFonts w:hint="default" w:ascii="Times New Roman" w:hAnsi="Times New Roman" w:cs="Times New Roman"/>
                <w:b w:val="0"/>
                <w:bCs/>
                <w:color w:val="auto"/>
              </w:rPr>
              <w:t>、PM</w:t>
            </w:r>
            <w:r>
              <w:rPr>
                <w:rStyle w:val="61"/>
                <w:rFonts w:hint="default" w:ascii="Times New Roman" w:hAnsi="Times New Roman" w:cs="Times New Roman"/>
                <w:b w:val="0"/>
                <w:bCs/>
                <w:color w:val="auto"/>
                <w:vertAlign w:val="subscript"/>
              </w:rPr>
              <w:t>2.5</w:t>
            </w:r>
            <w:r>
              <w:rPr>
                <w:rStyle w:val="61"/>
                <w:rFonts w:hint="default" w:ascii="Times New Roman" w:hAnsi="Times New Roman" w:cs="Times New Roman"/>
                <w:b w:val="0"/>
                <w:bCs/>
                <w:color w:val="auto"/>
              </w:rPr>
              <w:t>年均浓度分别为8 ug/m</w:t>
            </w:r>
            <w:r>
              <w:rPr>
                <w:rStyle w:val="61"/>
                <w:rFonts w:hint="default" w:ascii="Times New Roman" w:hAnsi="Times New Roman" w:cs="Times New Roman"/>
                <w:b w:val="0"/>
                <w:bCs/>
                <w:color w:val="auto"/>
                <w:vertAlign w:val="superscript"/>
              </w:rPr>
              <w:t>3</w:t>
            </w:r>
            <w:r>
              <w:rPr>
                <w:rStyle w:val="61"/>
                <w:rFonts w:hint="default" w:ascii="Times New Roman" w:hAnsi="Times New Roman" w:cs="Times New Roman"/>
                <w:b w:val="0"/>
                <w:bCs/>
                <w:color w:val="auto"/>
              </w:rPr>
              <w:t>、18 ug/m</w:t>
            </w:r>
            <w:r>
              <w:rPr>
                <w:rStyle w:val="61"/>
                <w:rFonts w:hint="default" w:ascii="Times New Roman" w:hAnsi="Times New Roman" w:cs="Times New Roman"/>
                <w:b w:val="0"/>
                <w:bCs/>
                <w:color w:val="auto"/>
                <w:vertAlign w:val="superscript"/>
              </w:rPr>
              <w:t>3</w:t>
            </w:r>
            <w:r>
              <w:rPr>
                <w:rStyle w:val="61"/>
                <w:rFonts w:hint="default" w:ascii="Times New Roman" w:hAnsi="Times New Roman" w:cs="Times New Roman"/>
                <w:b w:val="0"/>
                <w:bCs/>
                <w:color w:val="auto"/>
              </w:rPr>
              <w:t>、44 ug/m</w:t>
            </w:r>
            <w:r>
              <w:rPr>
                <w:rStyle w:val="61"/>
                <w:rFonts w:hint="default" w:ascii="Times New Roman" w:hAnsi="Times New Roman" w:cs="Times New Roman"/>
                <w:b w:val="0"/>
                <w:bCs/>
                <w:color w:val="auto"/>
                <w:vertAlign w:val="superscript"/>
              </w:rPr>
              <w:t>3</w:t>
            </w:r>
            <w:r>
              <w:rPr>
                <w:rStyle w:val="61"/>
                <w:rFonts w:hint="default" w:ascii="Times New Roman" w:hAnsi="Times New Roman" w:cs="Times New Roman"/>
                <w:b w:val="0"/>
                <w:bCs/>
                <w:color w:val="auto"/>
              </w:rPr>
              <w:t>、28 ug/m</w:t>
            </w:r>
            <w:r>
              <w:rPr>
                <w:rStyle w:val="61"/>
                <w:rFonts w:hint="default" w:ascii="Times New Roman" w:hAnsi="Times New Roman" w:cs="Times New Roman"/>
                <w:b w:val="0"/>
                <w:bCs/>
                <w:color w:val="auto"/>
                <w:vertAlign w:val="superscript"/>
              </w:rPr>
              <w:t>3</w:t>
            </w:r>
            <w:r>
              <w:rPr>
                <w:rStyle w:val="61"/>
                <w:rFonts w:hint="default" w:ascii="Times New Roman" w:hAnsi="Times New Roman" w:cs="Times New Roman"/>
                <w:b w:val="0"/>
                <w:bCs/>
                <w:color w:val="auto"/>
              </w:rPr>
              <w:t>；CO 24小时平均第95百分位数为1mg/m</w:t>
            </w:r>
            <w:r>
              <w:rPr>
                <w:rStyle w:val="61"/>
                <w:rFonts w:hint="default" w:ascii="Times New Roman" w:hAnsi="Times New Roman" w:cs="Times New Roman"/>
                <w:b w:val="0"/>
                <w:bCs/>
                <w:color w:val="auto"/>
                <w:vertAlign w:val="superscript"/>
              </w:rPr>
              <w:t>3</w:t>
            </w:r>
            <w:r>
              <w:rPr>
                <w:rStyle w:val="61"/>
                <w:rFonts w:hint="default" w:ascii="Times New Roman" w:hAnsi="Times New Roman" w:cs="Times New Roman"/>
                <w:b w:val="0"/>
                <w:bCs/>
                <w:color w:val="auto"/>
              </w:rPr>
              <w:t>，O</w:t>
            </w:r>
            <w:r>
              <w:rPr>
                <w:rStyle w:val="61"/>
                <w:rFonts w:hint="default" w:ascii="Times New Roman" w:hAnsi="Times New Roman" w:cs="Times New Roman"/>
                <w:b w:val="0"/>
                <w:bCs/>
                <w:color w:val="auto"/>
                <w:vertAlign w:val="subscript"/>
              </w:rPr>
              <w:t>3</w:t>
            </w:r>
            <w:r>
              <w:rPr>
                <w:rStyle w:val="61"/>
                <w:rFonts w:hint="default" w:ascii="Times New Roman" w:hAnsi="Times New Roman" w:cs="Times New Roman"/>
                <w:b w:val="0"/>
                <w:bCs/>
                <w:color w:val="auto"/>
              </w:rPr>
              <w:t>日最大8小时平均第90百分位数为103 ug/m</w:t>
            </w:r>
            <w:r>
              <w:rPr>
                <w:rStyle w:val="61"/>
                <w:rFonts w:hint="default" w:ascii="Times New Roman" w:hAnsi="Times New Roman" w:cs="Times New Roman"/>
                <w:b w:val="0"/>
                <w:bCs/>
                <w:color w:val="auto"/>
                <w:vertAlign w:val="superscript"/>
              </w:rPr>
              <w:t>3</w:t>
            </w:r>
            <w:r>
              <w:rPr>
                <w:rStyle w:val="61"/>
                <w:rFonts w:hint="default" w:ascii="Times New Roman" w:hAnsi="Times New Roman" w:cs="Times New Roman"/>
                <w:b w:val="0"/>
                <w:bCs/>
                <w:color w:val="auto"/>
              </w:rPr>
              <w:t>；各污染物平均浓度均优于《环境空气质量标准》（GB3095-2012）中二级标准限值根据《环境影响评价技术导则 大气环境》（HJ2.2-2018）规定，本项目所在区域属于达标区。环境空气质量模型技术支持服务系统平台截图见图1。</w:t>
            </w:r>
          </w:p>
          <w:p>
            <w:pPr>
              <w:pStyle w:val="68"/>
              <w:ind w:firstLine="480"/>
              <w:jc w:val="center"/>
              <w:rPr>
                <w:rStyle w:val="61"/>
                <w:rFonts w:hint="default" w:ascii="Times New Roman" w:hAnsi="Times New Roman" w:cs="Times New Roman"/>
                <w:b w:val="0"/>
                <w:bCs/>
                <w:color w:val="auto"/>
              </w:rPr>
            </w:pPr>
            <w:r>
              <w:rPr>
                <w:rStyle w:val="61"/>
                <w:rFonts w:hint="default" w:ascii="Times New Roman" w:hAnsi="Times New Roman" w:cs="Times New Roman"/>
                <w:b w:val="0"/>
                <w:bCs/>
                <w:color w:val="auto"/>
              </w:rPr>
              <w:drawing>
                <wp:inline distT="0" distB="0" distL="114300" distR="114300">
                  <wp:extent cx="3653155" cy="3517265"/>
                  <wp:effectExtent l="0" t="0" r="4445" b="6985"/>
                  <wp:docPr id="37" name="图片 37" descr="空气模型达标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空气模型达标区截图"/>
                          <pic:cNvPicPr>
                            <a:picLocks noChangeAspect="1"/>
                          </pic:cNvPicPr>
                        </pic:nvPicPr>
                        <pic:blipFill>
                          <a:blip r:embed="rId17"/>
                          <a:stretch>
                            <a:fillRect/>
                          </a:stretch>
                        </pic:blipFill>
                        <pic:spPr>
                          <a:xfrm>
                            <a:off x="0" y="0"/>
                            <a:ext cx="3653155" cy="3517265"/>
                          </a:xfrm>
                          <a:prstGeom prst="rect">
                            <a:avLst/>
                          </a:prstGeom>
                        </pic:spPr>
                      </pic:pic>
                    </a:graphicData>
                  </a:graphic>
                </wp:inline>
              </w:drawing>
            </w:r>
          </w:p>
          <w:p>
            <w:pPr>
              <w:spacing w:line="360" w:lineRule="auto"/>
              <w:ind w:firstLine="480" w:firstLineChars="200"/>
              <w:jc w:val="center"/>
              <w:rPr>
                <w:rFonts w:hint="default" w:ascii="Times New Roman" w:hAnsi="Times New Roman" w:cs="Times New Roman"/>
                <w:b/>
                <w:bCs/>
                <w:color w:val="auto"/>
                <w:sz w:val="24"/>
                <w:szCs w:val="22"/>
              </w:rPr>
            </w:pPr>
            <w:r>
              <w:rPr>
                <w:rFonts w:hint="default" w:ascii="Times New Roman" w:hAnsi="Times New Roman" w:cs="Times New Roman"/>
                <w:b/>
                <w:bCs/>
                <w:color w:val="auto"/>
                <w:sz w:val="24"/>
                <w:szCs w:val="22"/>
              </w:rPr>
              <w:t>图3-1 佳木斯市环境空气达标判定结果</w:t>
            </w:r>
          </w:p>
          <w:p>
            <w:pPr>
              <w:spacing w:line="360" w:lineRule="auto"/>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1.2特征污染物环境质量现状</w:t>
            </w:r>
          </w:p>
          <w:p>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szCs w:val="22"/>
              </w:rPr>
              <w:t>委托</w:t>
            </w:r>
            <w:r>
              <w:rPr>
                <w:rFonts w:hint="default" w:ascii="Times New Roman" w:hAnsi="Times New Roman" w:cs="Times New Roman"/>
                <w:color w:val="auto"/>
                <w:sz w:val="24"/>
                <w:szCs w:val="22"/>
                <w:lang w:eastAsia="zh-CN"/>
              </w:rPr>
              <w:t>黑龙江隆嘉环境检测有限公司</w:t>
            </w:r>
            <w:r>
              <w:rPr>
                <w:rFonts w:hint="default" w:ascii="Times New Roman" w:hAnsi="Times New Roman" w:cs="Times New Roman"/>
                <w:color w:val="auto"/>
                <w:sz w:val="24"/>
                <w:szCs w:val="22"/>
              </w:rPr>
              <w:t>于</w:t>
            </w:r>
            <w:r>
              <w:rPr>
                <w:rFonts w:hint="default" w:ascii="Times New Roman" w:hAnsi="Times New Roman" w:cs="Times New Roman"/>
                <w:color w:val="auto"/>
                <w:sz w:val="24"/>
              </w:rPr>
              <w:t>20</w:t>
            </w:r>
            <w:r>
              <w:rPr>
                <w:rFonts w:hint="default" w:ascii="Times New Roman" w:hAnsi="Times New Roman" w:cs="Times New Roman"/>
                <w:color w:val="auto"/>
                <w:sz w:val="24"/>
                <w:lang w:val="en-US" w:eastAsia="zh-CN"/>
              </w:rPr>
              <w:t>20</w:t>
            </w:r>
            <w:r>
              <w:rPr>
                <w:rFonts w:hint="default" w:ascii="Times New Roman" w:hAnsi="Times New Roman" w:cs="Times New Roman"/>
                <w:color w:val="auto"/>
                <w:sz w:val="24"/>
              </w:rPr>
              <w:t>年</w:t>
            </w:r>
            <w:r>
              <w:rPr>
                <w:rFonts w:hint="default" w:ascii="Times New Roman" w:hAnsi="Times New Roman" w:cs="Times New Roman"/>
                <w:color w:val="auto"/>
                <w:sz w:val="24"/>
                <w:lang w:val="en-US" w:eastAsia="zh-CN"/>
              </w:rPr>
              <w:t>11</w:t>
            </w:r>
            <w:r>
              <w:rPr>
                <w:rFonts w:hint="default" w:ascii="Times New Roman" w:hAnsi="Times New Roman" w:cs="Times New Roman"/>
                <w:color w:val="auto"/>
                <w:sz w:val="24"/>
              </w:rPr>
              <w:t>月</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日~</w:t>
            </w:r>
            <w:r>
              <w:rPr>
                <w:rFonts w:hint="default" w:ascii="Times New Roman" w:hAnsi="Times New Roman" w:cs="Times New Roman"/>
                <w:color w:val="auto"/>
                <w:sz w:val="24"/>
                <w:lang w:val="en-US" w:eastAsia="zh-CN"/>
              </w:rPr>
              <w:t>11</w:t>
            </w:r>
            <w:r>
              <w:rPr>
                <w:rFonts w:hint="default" w:ascii="Times New Roman" w:hAnsi="Times New Roman" w:cs="Times New Roman"/>
                <w:color w:val="auto"/>
                <w:sz w:val="24"/>
              </w:rPr>
              <w:t>月</w:t>
            </w:r>
            <w:r>
              <w:rPr>
                <w:rFonts w:hint="default" w:ascii="Times New Roman" w:hAnsi="Times New Roman" w:cs="Times New Roman"/>
                <w:color w:val="auto"/>
                <w:sz w:val="24"/>
                <w:lang w:val="en-US" w:eastAsia="zh-CN"/>
              </w:rPr>
              <w:t>12</w:t>
            </w:r>
            <w:r>
              <w:rPr>
                <w:rFonts w:hint="default" w:ascii="Times New Roman" w:hAnsi="Times New Roman" w:cs="Times New Roman"/>
                <w:color w:val="auto"/>
                <w:sz w:val="24"/>
              </w:rPr>
              <w:t>日对本项目的环境空气质量的特征因子</w:t>
            </w:r>
            <w:r>
              <w:rPr>
                <w:rFonts w:hint="default" w:ascii="Times New Roman" w:hAnsi="Times New Roman" w:cs="Times New Roman"/>
                <w:color w:val="auto"/>
                <w:sz w:val="24"/>
                <w:szCs w:val="24"/>
              </w:rPr>
              <w:t>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S</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臭气浓度</w:t>
            </w:r>
            <w:r>
              <w:rPr>
                <w:rFonts w:hint="default" w:ascii="Times New Roman" w:hAnsi="Times New Roman" w:cs="Times New Roman"/>
                <w:color w:val="auto"/>
                <w:sz w:val="24"/>
              </w:rPr>
              <w:t>进行监测</w:t>
            </w:r>
            <w:r>
              <w:rPr>
                <w:rFonts w:hint="default" w:ascii="Times New Roman" w:hAnsi="Times New Roman" w:cs="Times New Roman"/>
                <w:color w:val="auto"/>
                <w:sz w:val="24"/>
                <w:lang w:eastAsia="zh-CN"/>
              </w:rPr>
              <w:t>，</w:t>
            </w:r>
          </w:p>
          <w:p>
            <w:pPr>
              <w:spacing w:line="360" w:lineRule="auto"/>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1.2.1监测点位及监测因子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本项目监测点位、监测因子、监测时间见表3-1。</w:t>
            </w:r>
          </w:p>
          <w:p>
            <w:pPr>
              <w:autoSpaceDE w:val="0"/>
              <w:autoSpaceDN w:val="0"/>
              <w:snapToGrid w:val="0"/>
              <w:spacing w:line="240" w:lineRule="auto"/>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表3-1大气监测点位一览表</w:t>
            </w:r>
          </w:p>
          <w:tbl>
            <w:tblPr>
              <w:tblStyle w:val="33"/>
              <w:tblW w:w="902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551"/>
              <w:gridCol w:w="1354"/>
              <w:gridCol w:w="1354"/>
              <w:gridCol w:w="1380"/>
              <w:gridCol w:w="1322"/>
              <w:gridCol w:w="13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restart"/>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551" w:type="dxa"/>
                  <w:vMerge w:val="restart"/>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监测点名称</w:t>
                  </w:r>
                </w:p>
              </w:tc>
              <w:tc>
                <w:tcPr>
                  <w:tcW w:w="2708" w:type="dxa"/>
                  <w:gridSpan w:val="2"/>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监测点坐标</w:t>
                  </w:r>
                </w:p>
              </w:tc>
              <w:tc>
                <w:tcPr>
                  <w:tcW w:w="1380" w:type="dxa"/>
                  <w:vMerge w:val="restart"/>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监测因子</w:t>
                  </w:r>
                </w:p>
              </w:tc>
              <w:tc>
                <w:tcPr>
                  <w:tcW w:w="1322" w:type="dxa"/>
                  <w:vMerge w:val="restart"/>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相对厂址方位</w:t>
                  </w:r>
                </w:p>
              </w:tc>
              <w:tc>
                <w:tcPr>
                  <w:tcW w:w="1357" w:type="dxa"/>
                  <w:vMerge w:val="restart"/>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snapToGrid w:val="0"/>
                    <w:spacing w:line="240" w:lineRule="auto"/>
                    <w:jc w:val="center"/>
                    <w:rPr>
                      <w:rFonts w:hint="default" w:ascii="Times New Roman" w:hAnsi="Times New Roman" w:cs="Times New Roman"/>
                      <w:color w:val="auto"/>
                      <w:szCs w:val="21"/>
                    </w:rPr>
                  </w:pPr>
                </w:p>
              </w:tc>
              <w:tc>
                <w:tcPr>
                  <w:tcW w:w="1551" w:type="dxa"/>
                  <w:vMerge w:val="continue"/>
                  <w:vAlign w:val="center"/>
                </w:tcPr>
                <w:p>
                  <w:pPr>
                    <w:snapToGrid w:val="0"/>
                    <w:spacing w:line="240" w:lineRule="auto"/>
                    <w:jc w:val="center"/>
                    <w:rPr>
                      <w:rFonts w:hint="default" w:ascii="Times New Roman" w:hAnsi="Times New Roman" w:cs="Times New Roman"/>
                      <w:color w:val="auto"/>
                      <w:szCs w:val="21"/>
                    </w:rPr>
                  </w:pPr>
                </w:p>
              </w:tc>
              <w:tc>
                <w:tcPr>
                  <w:tcW w:w="1354" w:type="dxa"/>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X</w:t>
                  </w:r>
                </w:p>
              </w:tc>
              <w:tc>
                <w:tcPr>
                  <w:tcW w:w="1354" w:type="dxa"/>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Y</w:t>
                  </w:r>
                </w:p>
              </w:tc>
              <w:tc>
                <w:tcPr>
                  <w:tcW w:w="1380" w:type="dxa"/>
                  <w:vMerge w:val="continue"/>
                  <w:vAlign w:val="center"/>
                </w:tcPr>
                <w:p>
                  <w:pPr>
                    <w:snapToGrid w:val="0"/>
                    <w:spacing w:line="240" w:lineRule="auto"/>
                    <w:jc w:val="center"/>
                    <w:rPr>
                      <w:rFonts w:hint="default" w:ascii="Times New Roman" w:hAnsi="Times New Roman" w:cs="Times New Roman"/>
                      <w:color w:val="auto"/>
                      <w:szCs w:val="21"/>
                    </w:rPr>
                  </w:pPr>
                </w:p>
              </w:tc>
              <w:tc>
                <w:tcPr>
                  <w:tcW w:w="1322" w:type="dxa"/>
                  <w:vMerge w:val="continue"/>
                  <w:vAlign w:val="center"/>
                </w:tcPr>
                <w:p>
                  <w:pPr>
                    <w:snapToGrid w:val="0"/>
                    <w:spacing w:line="240" w:lineRule="auto"/>
                    <w:jc w:val="center"/>
                    <w:rPr>
                      <w:rFonts w:hint="default" w:ascii="Times New Roman" w:hAnsi="Times New Roman" w:cs="Times New Roman"/>
                      <w:color w:val="auto"/>
                      <w:szCs w:val="21"/>
                    </w:rPr>
                  </w:pPr>
                </w:p>
              </w:tc>
              <w:tc>
                <w:tcPr>
                  <w:tcW w:w="1357" w:type="dxa"/>
                  <w:vMerge w:val="continue"/>
                  <w:vAlign w:val="center"/>
                </w:tcPr>
                <w:p>
                  <w:pPr>
                    <w:snapToGrid w:val="0"/>
                    <w:spacing w:line="240" w:lineRule="auto"/>
                    <w:jc w:val="center"/>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551" w:type="dxa"/>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厂址</w:t>
                  </w:r>
                </w:p>
              </w:tc>
              <w:tc>
                <w:tcPr>
                  <w:tcW w:w="1354" w:type="dxa"/>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132°37′31.85″</w:t>
                  </w:r>
                </w:p>
              </w:tc>
              <w:tc>
                <w:tcPr>
                  <w:tcW w:w="1354" w:type="dxa"/>
                  <w:vAlign w:val="center"/>
                </w:tcPr>
                <w:p>
                  <w:pPr>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rPr>
                    <w:t>47°38′47.86″</w:t>
                  </w:r>
                </w:p>
              </w:tc>
              <w:tc>
                <w:tcPr>
                  <w:tcW w:w="1380" w:type="dxa"/>
                  <w:vMerge w:val="restart"/>
                  <w:vAlign w:val="center"/>
                </w:tcPr>
                <w:p>
                  <w:pPr>
                    <w:snapToGrid w:val="0"/>
                    <w:spacing w:line="240"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r>
                    <w:rPr>
                      <w:rFonts w:hint="default" w:ascii="Times New Roman" w:hAnsi="Times New Roman" w:cs="Times New Roman"/>
                      <w:color w:val="auto"/>
                      <w:szCs w:val="21"/>
                      <w:lang w:eastAsia="zh-CN"/>
                    </w:rPr>
                    <w:t>、</w:t>
                  </w:r>
                  <w:r>
                    <w:rPr>
                      <w:rFonts w:hint="default" w:ascii="Times New Roman" w:hAnsi="Times New Roman" w:cs="Times New Roman"/>
                      <w:color w:val="auto"/>
                    </w:rPr>
                    <w:t>臭气浓度</w:t>
                  </w:r>
                </w:p>
              </w:tc>
              <w:tc>
                <w:tcPr>
                  <w:tcW w:w="1322" w:type="dxa"/>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357" w:type="dxa"/>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551" w:type="dxa"/>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厂址下风向</w:t>
                  </w:r>
                </w:p>
              </w:tc>
              <w:tc>
                <w:tcPr>
                  <w:tcW w:w="1354" w:type="dxa"/>
                  <w:vAlign w:val="center"/>
                </w:tcPr>
                <w:p>
                  <w:pPr>
                    <w:jc w:val="center"/>
                    <w:rPr>
                      <w:rFonts w:hint="default" w:ascii="Times New Roman" w:hAnsi="Times New Roman" w:cs="Times New Roman"/>
                      <w:color w:val="auto"/>
                    </w:rPr>
                  </w:pPr>
                  <w:r>
                    <w:rPr>
                      <w:rFonts w:hint="default" w:ascii="Times New Roman" w:hAnsi="Times New Roman" w:eastAsia="宋体" w:cs="Times New Roman"/>
                      <w:color w:val="auto"/>
                      <w:sz w:val="21"/>
                      <w:szCs w:val="21"/>
                    </w:rPr>
                    <w:t>132°38′47.37″</w:t>
                  </w:r>
                </w:p>
              </w:tc>
              <w:tc>
                <w:tcPr>
                  <w:tcW w:w="1354" w:type="dxa"/>
                  <w:vAlign w:val="center"/>
                </w:tcPr>
                <w:p>
                  <w:pPr>
                    <w:jc w:val="center"/>
                    <w:rPr>
                      <w:rFonts w:hint="default" w:ascii="Times New Roman" w:hAnsi="Times New Roman" w:cs="Times New Roman"/>
                      <w:color w:val="auto"/>
                    </w:rPr>
                  </w:pPr>
                  <w:r>
                    <w:rPr>
                      <w:rFonts w:hint="default" w:ascii="Times New Roman" w:hAnsi="Times New Roman" w:eastAsia="宋体" w:cs="Times New Roman"/>
                      <w:color w:val="auto"/>
                      <w:sz w:val="21"/>
                      <w:szCs w:val="21"/>
                    </w:rPr>
                    <w:t>47°39′10.43″</w:t>
                  </w:r>
                </w:p>
              </w:tc>
              <w:tc>
                <w:tcPr>
                  <w:tcW w:w="1380" w:type="dxa"/>
                  <w:vMerge w:val="continue"/>
                  <w:vAlign w:val="center"/>
                </w:tcPr>
                <w:p>
                  <w:pPr>
                    <w:snapToGrid w:val="0"/>
                    <w:spacing w:line="240" w:lineRule="auto"/>
                    <w:jc w:val="center"/>
                    <w:rPr>
                      <w:rFonts w:hint="default" w:ascii="Times New Roman" w:hAnsi="Times New Roman" w:cs="Times New Roman"/>
                      <w:color w:val="auto"/>
                      <w:szCs w:val="21"/>
                    </w:rPr>
                  </w:pPr>
                </w:p>
              </w:tc>
              <w:tc>
                <w:tcPr>
                  <w:tcW w:w="1322" w:type="dxa"/>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N</w:t>
                  </w:r>
                </w:p>
              </w:tc>
              <w:tc>
                <w:tcPr>
                  <w:tcW w:w="1357" w:type="dxa"/>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1000</w:t>
                  </w:r>
                </w:p>
              </w:tc>
            </w:tr>
          </w:tbl>
          <w:p>
            <w:pPr>
              <w:spacing w:line="360" w:lineRule="auto"/>
              <w:jc w:val="left"/>
              <w:rPr>
                <w:rFonts w:hint="default" w:ascii="Times New Roman" w:hAnsi="Times New Roman" w:cs="Times New Roman"/>
                <w:b/>
                <w:bCs/>
                <w:color w:val="auto"/>
                <w:sz w:val="24"/>
              </w:rPr>
            </w:pP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b/>
                <w:color w:val="auto"/>
                <w:sz w:val="28"/>
                <w:szCs w:val="30"/>
              </w:rPr>
              <w:drawing>
                <wp:anchor distT="0" distB="0" distL="114300" distR="114300" simplePos="0" relativeHeight="251665408" behindDoc="0" locked="0" layoutInCell="1" allowOverlap="1">
                  <wp:simplePos x="0" y="0"/>
                  <wp:positionH relativeFrom="column">
                    <wp:posOffset>4929505</wp:posOffset>
                  </wp:positionH>
                  <wp:positionV relativeFrom="paragraph">
                    <wp:posOffset>30480</wp:posOffset>
                  </wp:positionV>
                  <wp:extent cx="655320" cy="454025"/>
                  <wp:effectExtent l="0" t="0" r="11430" b="3175"/>
                  <wp:wrapNone/>
                  <wp:docPr id="12" name="图片 7" descr="1541560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1541560523(1)"/>
                          <pic:cNvPicPr>
                            <a:picLocks noChangeAspect="1"/>
                          </pic:cNvPicPr>
                        </pic:nvPicPr>
                        <pic:blipFill>
                          <a:blip r:embed="rId18"/>
                          <a:stretch>
                            <a:fillRect/>
                          </a:stretch>
                        </pic:blipFill>
                        <pic:spPr>
                          <a:xfrm>
                            <a:off x="0" y="0"/>
                            <a:ext cx="655320" cy="454025"/>
                          </a:xfrm>
                          <a:prstGeom prst="rect">
                            <a:avLst/>
                          </a:prstGeom>
                          <a:noFill/>
                          <a:ln>
                            <a:noFill/>
                          </a:ln>
                        </pic:spPr>
                      </pic:pic>
                    </a:graphicData>
                  </a:graphic>
                </wp:anchor>
              </w:drawing>
            </w:r>
            <w:r>
              <w:rPr>
                <w:rFonts w:hint="default" w:ascii="Times New Roman" w:hAnsi="Times New Roman" w:cs="Times New Roman"/>
                <w:color w:val="auto"/>
              </w:rPr>
              <w:drawing>
                <wp:inline distT="0" distB="0" distL="114300" distR="114300">
                  <wp:extent cx="5751830" cy="2919730"/>
                  <wp:effectExtent l="0" t="0" r="1270" b="1397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9"/>
                          <a:stretch>
                            <a:fillRect/>
                          </a:stretch>
                        </pic:blipFill>
                        <pic:spPr>
                          <a:xfrm>
                            <a:off x="0" y="0"/>
                            <a:ext cx="5751830" cy="2919730"/>
                          </a:xfrm>
                          <a:prstGeom prst="rect">
                            <a:avLst/>
                          </a:prstGeom>
                          <a:noFill/>
                          <a:ln>
                            <a:noFill/>
                          </a:ln>
                        </pic:spPr>
                      </pic:pic>
                    </a:graphicData>
                  </a:graphic>
                </wp:inline>
              </w:drawing>
            </w:r>
          </w:p>
          <w:p>
            <w:pPr>
              <w:spacing w:line="360" w:lineRule="auto"/>
              <w:jc w:val="center"/>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图3-1监测布点图</w:t>
            </w:r>
          </w:p>
          <w:p>
            <w:pPr>
              <w:spacing w:line="360" w:lineRule="auto"/>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1.2.2监测频率</w:t>
            </w:r>
          </w:p>
          <w:p>
            <w:pPr>
              <w:pStyle w:val="81"/>
              <w:spacing w:before="156" w:beforeLines="50"/>
              <w:rPr>
                <w:rFonts w:hint="default" w:ascii="Times New Roman" w:hAnsi="Times New Roman" w:cs="Times New Roman"/>
                <w:color w:val="auto"/>
                <w:sz w:val="24"/>
              </w:rPr>
            </w:pPr>
            <w:r>
              <w:rPr>
                <w:rFonts w:hint="default" w:ascii="Times New Roman" w:hAnsi="Times New Roman" w:cs="Times New Roman"/>
                <w:color w:val="auto"/>
                <w:sz w:val="24"/>
              </w:rPr>
              <w:t>表3-2监测频次、时间一览表</w:t>
            </w:r>
          </w:p>
          <w:tbl>
            <w:tblPr>
              <w:tblStyle w:val="33"/>
              <w:tblW w:w="868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57" w:type="dxa"/>
                <w:left w:w="28" w:type="dxa"/>
                <w:bottom w:w="57" w:type="dxa"/>
                <w:right w:w="28" w:type="dxa"/>
              </w:tblCellMar>
            </w:tblPr>
            <w:tblGrid>
              <w:gridCol w:w="2074"/>
              <w:gridCol w:w="660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28" w:type="dxa"/>
                  <w:bottom w:w="57" w:type="dxa"/>
                  <w:right w:w="28" w:type="dxa"/>
                </w:tblCellMar>
              </w:tblPrEx>
              <w:trPr>
                <w:trHeight w:val="340" w:hRule="atLeast"/>
              </w:trPr>
              <w:tc>
                <w:tcPr>
                  <w:tcW w:w="2074" w:type="dxa"/>
                  <w:vAlign w:val="center"/>
                </w:tcPr>
                <w:p>
                  <w:pPr>
                    <w:pStyle w:val="90"/>
                    <w:rPr>
                      <w:rFonts w:hint="default" w:ascii="Times New Roman" w:hAnsi="Times New Roman" w:cs="Times New Roman"/>
                      <w:color w:val="auto"/>
                    </w:rPr>
                  </w:pPr>
                  <w:r>
                    <w:rPr>
                      <w:rFonts w:hint="default" w:ascii="Times New Roman" w:hAnsi="Times New Roman" w:cs="Times New Roman"/>
                      <w:color w:val="auto"/>
                    </w:rPr>
                    <w:t>项目</w:t>
                  </w:r>
                </w:p>
              </w:tc>
              <w:tc>
                <w:tcPr>
                  <w:tcW w:w="6608" w:type="dxa"/>
                  <w:vAlign w:val="center"/>
                </w:tcPr>
                <w:p>
                  <w:pPr>
                    <w:pStyle w:val="90"/>
                    <w:rPr>
                      <w:rFonts w:hint="default" w:ascii="Times New Roman" w:hAnsi="Times New Roman" w:cs="Times New Roman"/>
                      <w:color w:val="auto"/>
                    </w:rPr>
                  </w:pPr>
                  <w:r>
                    <w:rPr>
                      <w:rFonts w:hint="default" w:ascii="Times New Roman" w:hAnsi="Times New Roman" w:cs="Times New Roman"/>
                      <w:color w:val="auto"/>
                    </w:rPr>
                    <w:t>特征因子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28" w:type="dxa"/>
                  <w:bottom w:w="57" w:type="dxa"/>
                  <w:right w:w="28" w:type="dxa"/>
                </w:tblCellMar>
              </w:tblPrEx>
              <w:trPr>
                <w:trHeight w:val="340" w:hRule="atLeast"/>
              </w:trPr>
              <w:tc>
                <w:tcPr>
                  <w:tcW w:w="2074" w:type="dxa"/>
                  <w:vAlign w:val="center"/>
                </w:tcPr>
                <w:p>
                  <w:pPr>
                    <w:pStyle w:val="90"/>
                    <w:rPr>
                      <w:rFonts w:hint="default" w:ascii="Times New Roman" w:hAnsi="Times New Roman" w:cs="Times New Roman"/>
                      <w:color w:val="auto"/>
                    </w:rPr>
                  </w:pPr>
                  <w:r>
                    <w:rPr>
                      <w:rFonts w:hint="default" w:ascii="Times New Roman" w:hAnsi="Times New Roman" w:cs="Times New Roman"/>
                      <w:color w:val="auto"/>
                    </w:rPr>
                    <w:t>监测因子</w:t>
                  </w:r>
                </w:p>
              </w:tc>
              <w:tc>
                <w:tcPr>
                  <w:tcW w:w="6608" w:type="dxa"/>
                  <w:vAlign w:val="center"/>
                </w:tcPr>
                <w:p>
                  <w:pPr>
                    <w:pStyle w:val="128"/>
                    <w:jc w:val="center"/>
                    <w:rPr>
                      <w:rFonts w:hint="default" w:ascii="Times New Roman" w:hAnsi="Times New Roman" w:cs="Times New Roman"/>
                      <w:color w:val="auto"/>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S、臭气浓度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28" w:type="dxa"/>
                  <w:bottom w:w="57" w:type="dxa"/>
                  <w:right w:w="28" w:type="dxa"/>
                </w:tblCellMar>
              </w:tblPrEx>
              <w:trPr>
                <w:trHeight w:val="340" w:hRule="atLeast"/>
              </w:trPr>
              <w:tc>
                <w:tcPr>
                  <w:tcW w:w="2074" w:type="dxa"/>
                  <w:vAlign w:val="center"/>
                </w:tcPr>
                <w:p>
                  <w:pPr>
                    <w:pStyle w:val="90"/>
                    <w:rPr>
                      <w:rFonts w:hint="default" w:ascii="Times New Roman" w:hAnsi="Times New Roman" w:cs="Times New Roman"/>
                      <w:color w:val="auto"/>
                    </w:rPr>
                  </w:pPr>
                  <w:r>
                    <w:rPr>
                      <w:rFonts w:hint="default" w:ascii="Times New Roman" w:hAnsi="Times New Roman" w:cs="Times New Roman"/>
                      <w:color w:val="auto"/>
                    </w:rPr>
                    <w:t>监测频率</w:t>
                  </w:r>
                </w:p>
              </w:tc>
              <w:tc>
                <w:tcPr>
                  <w:tcW w:w="6608" w:type="dxa"/>
                  <w:vAlign w:val="center"/>
                </w:tcPr>
                <w:p>
                  <w:pPr>
                    <w:pStyle w:val="90"/>
                    <w:rPr>
                      <w:rFonts w:hint="default" w:ascii="Times New Roman" w:hAnsi="Times New Roman" w:cs="Times New Roman"/>
                      <w:color w:val="auto"/>
                    </w:rPr>
                  </w:pPr>
                  <w:r>
                    <w:rPr>
                      <w:rFonts w:hint="default" w:ascii="Times New Roman" w:hAnsi="Times New Roman" w:cs="Times New Roman"/>
                      <w:color w:val="auto"/>
                    </w:rPr>
                    <w:t>连续监测7天，监测小时值，每天采样次数为4次，每小时至少连续采样45分钟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28" w:type="dxa"/>
                  <w:bottom w:w="57" w:type="dxa"/>
                  <w:right w:w="28" w:type="dxa"/>
                </w:tblCellMar>
              </w:tblPrEx>
              <w:trPr>
                <w:trHeight w:val="340" w:hRule="atLeast"/>
              </w:trPr>
              <w:tc>
                <w:tcPr>
                  <w:tcW w:w="2074" w:type="dxa"/>
                  <w:vAlign w:val="center"/>
                </w:tcPr>
                <w:p>
                  <w:pPr>
                    <w:pStyle w:val="90"/>
                    <w:rPr>
                      <w:rFonts w:hint="default" w:ascii="Times New Roman" w:hAnsi="Times New Roman" w:cs="Times New Roman"/>
                      <w:color w:val="auto"/>
                    </w:rPr>
                  </w:pPr>
                  <w:r>
                    <w:rPr>
                      <w:rFonts w:hint="default" w:ascii="Times New Roman" w:hAnsi="Times New Roman" w:cs="Times New Roman"/>
                      <w:color w:val="auto"/>
                    </w:rPr>
                    <w:t>监测时间</w:t>
                  </w:r>
                </w:p>
              </w:tc>
              <w:tc>
                <w:tcPr>
                  <w:tcW w:w="6608" w:type="dxa"/>
                  <w:vAlign w:val="center"/>
                </w:tcPr>
                <w:p>
                  <w:pPr>
                    <w:pStyle w:val="90"/>
                    <w:rPr>
                      <w:rFonts w:hint="default" w:ascii="Times New Roman" w:hAnsi="Times New Roman" w:cs="Times New Roman"/>
                      <w:color w:val="auto"/>
                    </w:rPr>
                  </w:pPr>
                  <w:r>
                    <w:rPr>
                      <w:rFonts w:hint="default" w:ascii="Times New Roman" w:hAnsi="Times New Roman" w:cs="Times New Roman"/>
                      <w:color w:val="auto"/>
                    </w:rPr>
                    <w:t>20</w:t>
                  </w:r>
                  <w:r>
                    <w:rPr>
                      <w:rFonts w:hint="default" w:ascii="Times New Roman" w:hAnsi="Times New Roman" w:cs="Times New Roman"/>
                      <w:color w:val="auto"/>
                      <w:lang w:val="en-US" w:eastAsia="zh-CN"/>
                    </w:rPr>
                    <w:t>20</w:t>
                  </w:r>
                  <w:r>
                    <w:rPr>
                      <w:rFonts w:hint="default" w:ascii="Times New Roman" w:hAnsi="Times New Roman" w:cs="Times New Roman"/>
                      <w:color w:val="auto"/>
                    </w:rPr>
                    <w:t>年</w:t>
                  </w:r>
                  <w:r>
                    <w:rPr>
                      <w:rFonts w:hint="default" w:ascii="Times New Roman" w:hAnsi="Times New Roman" w:cs="Times New Roman"/>
                      <w:color w:val="auto"/>
                      <w:lang w:val="en-US" w:eastAsia="zh-CN"/>
                    </w:rPr>
                    <w:t>11</w:t>
                  </w:r>
                  <w:r>
                    <w:rPr>
                      <w:rFonts w:hint="default" w:ascii="Times New Roman" w:hAnsi="Times New Roman" w:cs="Times New Roman"/>
                      <w:color w:val="auto"/>
                    </w:rPr>
                    <w:t>月</w:t>
                  </w:r>
                  <w:r>
                    <w:rPr>
                      <w:rFonts w:hint="default" w:ascii="Times New Roman" w:hAnsi="Times New Roman" w:cs="Times New Roman"/>
                      <w:color w:val="auto"/>
                      <w:lang w:val="en-US" w:eastAsia="zh-CN"/>
                    </w:rPr>
                    <w:t>6</w:t>
                  </w:r>
                  <w:r>
                    <w:rPr>
                      <w:rFonts w:hint="default" w:ascii="Times New Roman" w:hAnsi="Times New Roman" w:cs="Times New Roman"/>
                      <w:color w:val="auto"/>
                    </w:rPr>
                    <w:t>日~</w:t>
                  </w:r>
                  <w:r>
                    <w:rPr>
                      <w:rFonts w:hint="default" w:ascii="Times New Roman" w:hAnsi="Times New Roman" w:cs="Times New Roman"/>
                      <w:color w:val="auto"/>
                      <w:lang w:val="en-US" w:eastAsia="zh-CN"/>
                    </w:rPr>
                    <w:t>11</w:t>
                  </w:r>
                  <w:r>
                    <w:rPr>
                      <w:rFonts w:hint="default" w:ascii="Times New Roman" w:hAnsi="Times New Roman" w:cs="Times New Roman"/>
                      <w:color w:val="auto"/>
                    </w:rPr>
                    <w:t>月</w:t>
                  </w:r>
                  <w:r>
                    <w:rPr>
                      <w:rFonts w:hint="default" w:ascii="Times New Roman" w:hAnsi="Times New Roman" w:cs="Times New Roman"/>
                      <w:color w:val="auto"/>
                      <w:lang w:val="en-US" w:eastAsia="zh-CN"/>
                    </w:rPr>
                    <w:t>12</w:t>
                  </w:r>
                  <w:r>
                    <w:rPr>
                      <w:rFonts w:hint="default" w:ascii="Times New Roman" w:hAnsi="Times New Roman" w:cs="Times New Roman"/>
                      <w:color w:val="auto"/>
                    </w:rPr>
                    <w:t>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28" w:type="dxa"/>
                  <w:bottom w:w="57" w:type="dxa"/>
                  <w:right w:w="28" w:type="dxa"/>
                </w:tblCellMar>
              </w:tblPrEx>
              <w:trPr>
                <w:trHeight w:val="90" w:hRule="atLeast"/>
              </w:trPr>
              <w:tc>
                <w:tcPr>
                  <w:tcW w:w="2074" w:type="dxa"/>
                  <w:vAlign w:val="center"/>
                </w:tcPr>
                <w:p>
                  <w:pPr>
                    <w:pStyle w:val="90"/>
                    <w:rPr>
                      <w:rFonts w:hint="default" w:ascii="Times New Roman" w:hAnsi="Times New Roman" w:cs="Times New Roman"/>
                      <w:color w:val="auto"/>
                    </w:rPr>
                  </w:pPr>
                  <w:r>
                    <w:rPr>
                      <w:rFonts w:hint="default" w:ascii="Times New Roman" w:hAnsi="Times New Roman" w:cs="Times New Roman"/>
                      <w:color w:val="auto"/>
                    </w:rPr>
                    <w:t>监测单位</w:t>
                  </w:r>
                </w:p>
              </w:tc>
              <w:tc>
                <w:tcPr>
                  <w:tcW w:w="6608" w:type="dxa"/>
                  <w:vAlign w:val="center"/>
                </w:tcPr>
                <w:p>
                  <w:pPr>
                    <w:pStyle w:val="9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黑龙江隆嘉环境检测有限公司</w:t>
                  </w:r>
                </w:p>
              </w:tc>
            </w:tr>
          </w:tbl>
          <w:p>
            <w:pPr>
              <w:spacing w:line="360" w:lineRule="auto"/>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1.2.3监测指标及分析方法</w:t>
            </w:r>
          </w:p>
          <w:p>
            <w:pPr>
              <w:adjustRightInd/>
              <w:spacing w:line="360" w:lineRule="auto"/>
              <w:ind w:firstLine="480" w:firstLineChars="200"/>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监测指标及分析方法见表3-3。</w:t>
            </w:r>
          </w:p>
          <w:p>
            <w:pPr>
              <w:pStyle w:val="81"/>
              <w:spacing w:before="156" w:beforeLines="50"/>
              <w:rPr>
                <w:rFonts w:hint="default" w:ascii="Times New Roman" w:hAnsi="Times New Roman" w:cs="Times New Roman"/>
                <w:color w:val="auto"/>
                <w:sz w:val="24"/>
              </w:rPr>
            </w:pPr>
            <w:r>
              <w:rPr>
                <w:rFonts w:hint="default" w:ascii="Times New Roman" w:hAnsi="Times New Roman" w:cs="Times New Roman"/>
                <w:color w:val="auto"/>
                <w:sz w:val="24"/>
              </w:rPr>
              <w:t>表3-3 监测分析方法</w:t>
            </w:r>
          </w:p>
          <w:tbl>
            <w:tblPr>
              <w:tblStyle w:val="33"/>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46"/>
              <w:gridCol w:w="941"/>
              <w:gridCol w:w="4051"/>
              <w:gridCol w:w="318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blHeader/>
              </w:trPr>
              <w:tc>
                <w:tcPr>
                  <w:tcW w:w="469" w:type="pct"/>
                  <w:shd w:val="clear" w:color="auto" w:fill="auto"/>
                  <w:vAlign w:val="center"/>
                </w:tcPr>
                <w:p>
                  <w:pPr>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521" w:type="pct"/>
                  <w:shd w:val="clear" w:color="auto" w:fill="auto"/>
                  <w:vAlign w:val="center"/>
                </w:tcPr>
                <w:p>
                  <w:pPr>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检测项目</w:t>
                  </w:r>
                </w:p>
              </w:tc>
              <w:tc>
                <w:tcPr>
                  <w:tcW w:w="2244" w:type="pct"/>
                  <w:shd w:val="clear" w:color="auto" w:fill="auto"/>
                  <w:vAlign w:val="center"/>
                </w:tcPr>
                <w:p>
                  <w:pPr>
                    <w:widowControl/>
                    <w:spacing w:line="240" w:lineRule="auto"/>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检测标准（方法）</w:t>
                  </w:r>
                </w:p>
              </w:tc>
              <w:tc>
                <w:tcPr>
                  <w:tcW w:w="1764" w:type="pct"/>
                  <w:shd w:val="clear" w:color="auto" w:fill="auto"/>
                  <w:vAlign w:val="center"/>
                </w:tcPr>
                <w:p>
                  <w:pPr>
                    <w:widowControl/>
                    <w:spacing w:line="240" w:lineRule="auto"/>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分析、采样仪器名称/型号/编号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9" w:type="pct"/>
                  <w:shd w:val="clear" w:color="auto" w:fill="auto"/>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21" w:type="pct"/>
                  <w:shd w:val="clear" w:color="auto" w:fill="auto"/>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p>
              </w:tc>
              <w:tc>
                <w:tcPr>
                  <w:tcW w:w="2244" w:type="pct"/>
                  <w:shd w:val="clear" w:color="auto" w:fill="auto"/>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bCs/>
                      <w:color w:val="auto"/>
                      <w:szCs w:val="21"/>
                    </w:rPr>
                    <w:t>环境空气和废气 氨的测定 纳氏试</w:t>
                  </w:r>
                  <w:r>
                    <w:rPr>
                      <w:rFonts w:hint="default" w:ascii="Times New Roman" w:hAnsi="Times New Roman" w:cs="Times New Roman"/>
                      <w:color w:val="auto"/>
                      <w:szCs w:val="21"/>
                    </w:rPr>
                    <w:t xml:space="preserve">剂分光光度法 </w:t>
                  </w:r>
                  <w:r>
                    <w:rPr>
                      <w:rFonts w:hint="default" w:ascii="Times New Roman" w:hAnsi="Times New Roman" w:cs="Times New Roman"/>
                      <w:bCs/>
                      <w:color w:val="auto"/>
                      <w:szCs w:val="21"/>
                    </w:rPr>
                    <w:t>HJ 533-2009</w:t>
                  </w:r>
                </w:p>
              </w:tc>
              <w:tc>
                <w:tcPr>
                  <w:tcW w:w="1764" w:type="pct"/>
                  <w:shd w:val="clear" w:color="auto" w:fill="auto"/>
                  <w:vAlign w:val="center"/>
                </w:tcPr>
                <w:p>
                  <w:pPr>
                    <w:widowControl/>
                    <w:spacing w:line="240" w:lineRule="auto"/>
                    <w:jc w:val="center"/>
                    <w:textAlignment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kern w:val="0"/>
                      <w:szCs w:val="21"/>
                    </w:rPr>
                    <w:t>紫外可见分光光度计</w:t>
                  </w:r>
                  <w:r>
                    <w:rPr>
                      <w:rFonts w:hint="default" w:ascii="Times New Roman" w:hAnsi="Times New Roman" w:cs="Times New Roman"/>
                      <w:color w:val="auto"/>
                      <w:szCs w:val="21"/>
                    </w:rPr>
                    <w:t>DR6000</w:t>
                  </w:r>
                  <w:r>
                    <w:rPr>
                      <w:rFonts w:hint="default" w:ascii="Times New Roman" w:hAnsi="Times New Roman" w:cs="Times New Roman"/>
                      <w:color w:val="auto"/>
                      <w:szCs w:val="21"/>
                      <w:lang w:eastAsia="zh-CN"/>
                    </w:rPr>
                    <w:t>、</w:t>
                  </w:r>
                  <w:r>
                    <w:rPr>
                      <w:rFonts w:hint="default" w:ascii="Times New Roman" w:hAnsi="Times New Roman" w:cs="Times New Roman"/>
                      <w:color w:val="auto"/>
                      <w:kern w:val="0"/>
                      <w:szCs w:val="21"/>
                    </w:rPr>
                    <w:t>LJ-115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469" w:type="pct"/>
                  <w:shd w:val="clear" w:color="auto" w:fill="auto"/>
                  <w:vAlign w:val="center"/>
                </w:tcPr>
                <w:p>
                  <w:pPr>
                    <w:widowControl/>
                    <w:spacing w:line="240" w:lineRule="auto"/>
                    <w:jc w:val="center"/>
                    <w:textAlignment w:val="center"/>
                    <w:rPr>
                      <w:rFonts w:hint="default" w:ascii="Times New Roman" w:hAnsi="Times New Roman" w:cs="Times New Roman"/>
                      <w:color w:val="auto"/>
                    </w:rPr>
                  </w:pPr>
                  <w:r>
                    <w:rPr>
                      <w:rFonts w:hint="default" w:ascii="Times New Roman" w:hAnsi="Times New Roman" w:cs="Times New Roman"/>
                      <w:color w:val="auto"/>
                    </w:rPr>
                    <w:t>2</w:t>
                  </w:r>
                </w:p>
              </w:tc>
              <w:tc>
                <w:tcPr>
                  <w:tcW w:w="521" w:type="pct"/>
                  <w:shd w:val="clear" w:color="auto" w:fill="auto"/>
                  <w:vAlign w:val="center"/>
                </w:tcPr>
                <w:p>
                  <w:pPr>
                    <w:widowControl/>
                    <w:spacing w:line="240" w:lineRule="auto"/>
                    <w:jc w:val="center"/>
                    <w:textAlignment w:val="center"/>
                    <w:rPr>
                      <w:rFonts w:hint="default" w:ascii="Times New Roman" w:hAnsi="Times New Roman" w:cs="Times New Roman"/>
                      <w:color w:val="auto"/>
                    </w:rPr>
                  </w:pP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p>
              </w:tc>
              <w:tc>
                <w:tcPr>
                  <w:tcW w:w="2244" w:type="pct"/>
                  <w:shd w:val="clear" w:color="auto" w:fill="auto"/>
                  <w:vAlign w:val="center"/>
                </w:tcPr>
                <w:p>
                  <w:pPr>
                    <w:spacing w:line="240" w:lineRule="auto"/>
                    <w:jc w:val="center"/>
                    <w:rPr>
                      <w:rFonts w:hint="default" w:ascii="Times New Roman" w:hAnsi="Times New Roman" w:cs="Times New Roman"/>
                      <w:color w:val="auto"/>
                    </w:rPr>
                  </w:pPr>
                  <w:r>
                    <w:rPr>
                      <w:rFonts w:hint="default" w:ascii="Times New Roman" w:hAnsi="Times New Roman" w:cs="Times New Roman"/>
                      <w:color w:val="auto"/>
                      <w:szCs w:val="21"/>
                    </w:rPr>
                    <w:t>硫化氢  亚甲基蓝分光光度法《空气和废气监测分析方法》（第四版）国家环境保护总局 （2003年）P178</w:t>
                  </w:r>
                </w:p>
              </w:tc>
              <w:tc>
                <w:tcPr>
                  <w:tcW w:w="1764" w:type="pct"/>
                  <w:shd w:val="clear" w:color="auto" w:fill="auto"/>
                  <w:vAlign w:val="center"/>
                </w:tcPr>
                <w:p>
                  <w:pPr>
                    <w:widowControl/>
                    <w:spacing w:line="240" w:lineRule="auto"/>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紫外可见分光光度计</w:t>
                  </w:r>
                  <w:r>
                    <w:rPr>
                      <w:rFonts w:hint="default" w:ascii="Times New Roman" w:hAnsi="Times New Roman" w:cs="Times New Roman"/>
                      <w:color w:val="auto"/>
                      <w:szCs w:val="21"/>
                    </w:rPr>
                    <w:t>DR6000</w:t>
                  </w:r>
                  <w:r>
                    <w:rPr>
                      <w:rFonts w:hint="default" w:ascii="Times New Roman" w:hAnsi="Times New Roman" w:cs="Times New Roman"/>
                      <w:color w:val="auto"/>
                      <w:szCs w:val="21"/>
                      <w:lang w:eastAsia="zh-CN"/>
                    </w:rPr>
                    <w:t>、</w:t>
                  </w:r>
                  <w:r>
                    <w:rPr>
                      <w:rFonts w:hint="default" w:ascii="Times New Roman" w:hAnsi="Times New Roman" w:cs="Times New Roman"/>
                      <w:color w:val="auto"/>
                      <w:kern w:val="0"/>
                      <w:szCs w:val="21"/>
                    </w:rPr>
                    <w:t>LJ-115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2" w:hRule="atLeast"/>
              </w:trPr>
              <w:tc>
                <w:tcPr>
                  <w:tcW w:w="469" w:type="pct"/>
                  <w:shd w:val="clear" w:color="auto" w:fill="auto"/>
                  <w:vAlign w:val="center"/>
                </w:tcPr>
                <w:p>
                  <w:pPr>
                    <w:widowControl/>
                    <w:spacing w:line="240" w:lineRule="auto"/>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w:t>
                  </w:r>
                </w:p>
              </w:tc>
              <w:tc>
                <w:tcPr>
                  <w:tcW w:w="521" w:type="pct"/>
                  <w:shd w:val="clear" w:color="auto" w:fill="auto"/>
                  <w:vAlign w:val="center"/>
                </w:tcPr>
                <w:p>
                  <w:pPr>
                    <w:widowControl/>
                    <w:spacing w:line="240" w:lineRule="auto"/>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臭气浓度</w:t>
                  </w:r>
                </w:p>
              </w:tc>
              <w:tc>
                <w:tcPr>
                  <w:tcW w:w="2244" w:type="pct"/>
                  <w:shd w:val="clear" w:color="auto" w:fill="auto"/>
                  <w:vAlign w:val="center"/>
                </w:tcPr>
                <w:p>
                  <w:pPr>
                    <w:widowControl/>
                    <w:spacing w:line="240" w:lineRule="auto"/>
                    <w:jc w:val="center"/>
                    <w:textAlignment w:val="center"/>
                    <w:rPr>
                      <w:rFonts w:hint="default" w:ascii="Times New Roman" w:hAnsi="Times New Roman" w:cs="Times New Roman"/>
                      <w:color w:val="auto"/>
                    </w:rPr>
                  </w:pPr>
                  <w:r>
                    <w:rPr>
                      <w:rFonts w:hint="default" w:ascii="Times New Roman" w:hAnsi="Times New Roman" w:cs="Times New Roman"/>
                      <w:color w:val="auto"/>
                      <w:kern w:val="0"/>
                      <w:szCs w:val="21"/>
                    </w:rPr>
                    <w:t>空气质量 恶臭的测定 三点比较式臭袋法 GB/T 14675-1993</w:t>
                  </w:r>
                </w:p>
              </w:tc>
              <w:tc>
                <w:tcPr>
                  <w:tcW w:w="1764" w:type="pct"/>
                  <w:shd w:val="clear" w:color="auto" w:fill="auto"/>
                  <w:vAlign w:val="center"/>
                </w:tcPr>
                <w:p>
                  <w:pPr>
                    <w:widowControl/>
                    <w:spacing w:line="240" w:lineRule="auto"/>
                    <w:ind w:firstLine="210" w:firstLineChars="100"/>
                    <w:textAlignment w:val="center"/>
                    <w:rPr>
                      <w:rFonts w:hint="default" w:ascii="Times New Roman" w:hAnsi="Times New Roman" w:eastAsia="宋体" w:cs="Times New Roman"/>
                      <w:color w:val="auto"/>
                      <w:szCs w:val="21"/>
                      <w:lang w:eastAsia="zh-CN" w:bidi="ar"/>
                    </w:rPr>
                  </w:pPr>
                  <w:r>
                    <w:rPr>
                      <w:rFonts w:hint="default" w:ascii="Times New Roman" w:hAnsi="Times New Roman" w:cs="Times New Roman"/>
                      <w:color w:val="auto"/>
                      <w:kern w:val="0"/>
                      <w:szCs w:val="21"/>
                    </w:rPr>
                    <w:t>臭气采样瓶</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10L</w:t>
                  </w:r>
                </w:p>
              </w:tc>
            </w:tr>
          </w:tbl>
          <w:p>
            <w:pPr>
              <w:spacing w:line="360" w:lineRule="auto"/>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1.2.4评价方法</w:t>
            </w:r>
          </w:p>
          <w:p>
            <w:pPr>
              <w:adjustRightInd/>
              <w:spacing w:line="360" w:lineRule="auto"/>
              <w:ind w:firstLine="480" w:firstLineChars="200"/>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采用单因子指数法。</w:t>
            </w:r>
          </w:p>
          <w:p>
            <w:pPr>
              <w:adjustRightInd/>
              <w:spacing w:line="360" w:lineRule="auto"/>
              <w:ind w:firstLine="480" w:firstLineChars="200"/>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计算公式为：I</w:t>
            </w:r>
            <w:r>
              <w:rPr>
                <w:rFonts w:hint="default" w:ascii="Times New Roman" w:hAnsi="Times New Roman" w:cs="Times New Roman"/>
                <w:color w:val="auto"/>
                <w:kern w:val="2"/>
                <w:sz w:val="24"/>
                <w:szCs w:val="24"/>
                <w:vertAlign w:val="subscript"/>
              </w:rPr>
              <w:t>i</w:t>
            </w:r>
            <w:r>
              <w:rPr>
                <w:rFonts w:hint="default" w:ascii="Times New Roman" w:hAnsi="Times New Roman" w:cs="Times New Roman"/>
                <w:color w:val="auto"/>
                <w:kern w:val="2"/>
                <w:sz w:val="24"/>
                <w:szCs w:val="24"/>
              </w:rPr>
              <w:t>=C</w:t>
            </w:r>
            <w:r>
              <w:rPr>
                <w:rFonts w:hint="default" w:ascii="Times New Roman" w:hAnsi="Times New Roman" w:cs="Times New Roman"/>
                <w:color w:val="auto"/>
                <w:kern w:val="2"/>
                <w:sz w:val="24"/>
                <w:szCs w:val="24"/>
                <w:vertAlign w:val="subscript"/>
              </w:rPr>
              <w:t>i</w:t>
            </w:r>
            <w:r>
              <w:rPr>
                <w:rFonts w:hint="default" w:ascii="Times New Roman" w:hAnsi="Times New Roman" w:cs="Times New Roman"/>
                <w:color w:val="auto"/>
                <w:kern w:val="2"/>
                <w:sz w:val="24"/>
                <w:szCs w:val="24"/>
              </w:rPr>
              <w:t>/C</w:t>
            </w:r>
            <w:r>
              <w:rPr>
                <w:rFonts w:hint="default" w:ascii="Times New Roman" w:hAnsi="Times New Roman" w:cs="Times New Roman"/>
                <w:color w:val="auto"/>
                <w:kern w:val="2"/>
                <w:sz w:val="24"/>
                <w:szCs w:val="24"/>
                <w:vertAlign w:val="subscript"/>
              </w:rPr>
              <w:t>0i</w:t>
            </w:r>
          </w:p>
          <w:p>
            <w:pPr>
              <w:adjustRightInd/>
              <w:spacing w:line="360" w:lineRule="auto"/>
              <w:ind w:firstLine="480" w:firstLineChars="200"/>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式中： I</w:t>
            </w:r>
            <w:r>
              <w:rPr>
                <w:rFonts w:hint="default" w:ascii="Times New Roman" w:hAnsi="Times New Roman" w:cs="Times New Roman"/>
                <w:color w:val="auto"/>
                <w:kern w:val="2"/>
                <w:sz w:val="24"/>
                <w:szCs w:val="24"/>
                <w:vertAlign w:val="subscript"/>
              </w:rPr>
              <w:t>i</w:t>
            </w:r>
            <w:r>
              <w:rPr>
                <w:rFonts w:hint="default" w:ascii="Times New Roman" w:hAnsi="Times New Roman" w:cs="Times New Roman"/>
                <w:color w:val="auto"/>
                <w:kern w:val="2"/>
                <w:sz w:val="24"/>
                <w:szCs w:val="24"/>
              </w:rPr>
              <w:t>—i种污染物的单因子指数，无量纲，I</w:t>
            </w:r>
            <w:r>
              <w:rPr>
                <w:rFonts w:hint="default" w:ascii="Times New Roman" w:hAnsi="Times New Roman" w:cs="Times New Roman"/>
                <w:color w:val="auto"/>
                <w:kern w:val="2"/>
                <w:sz w:val="24"/>
                <w:szCs w:val="24"/>
                <w:vertAlign w:val="subscript"/>
              </w:rPr>
              <w:t>i</w:t>
            </w:r>
            <w:r>
              <w:rPr>
                <w:rFonts w:hint="default" w:ascii="Times New Roman" w:hAnsi="Times New Roman" w:cs="Times New Roman"/>
                <w:color w:val="auto"/>
                <w:kern w:val="2"/>
                <w:sz w:val="24"/>
                <w:szCs w:val="24"/>
              </w:rPr>
              <w:t>＞1为超标，I</w:t>
            </w:r>
            <w:r>
              <w:rPr>
                <w:rFonts w:hint="default" w:ascii="Times New Roman" w:hAnsi="Times New Roman" w:cs="Times New Roman"/>
                <w:color w:val="auto"/>
                <w:kern w:val="2"/>
                <w:sz w:val="24"/>
                <w:szCs w:val="24"/>
                <w:vertAlign w:val="subscript"/>
              </w:rPr>
              <w:t>i</w:t>
            </w:r>
            <w:r>
              <w:rPr>
                <w:rFonts w:hint="default" w:ascii="Times New Roman" w:hAnsi="Times New Roman" w:cs="Times New Roman"/>
                <w:color w:val="auto"/>
                <w:kern w:val="2"/>
                <w:sz w:val="24"/>
                <w:szCs w:val="24"/>
              </w:rPr>
              <w:t>≤1为未超标；</w:t>
            </w:r>
          </w:p>
          <w:p>
            <w:pPr>
              <w:adjustRightInd/>
              <w:spacing w:line="360" w:lineRule="auto"/>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Cs w:val="24"/>
              </w:rPr>
              <w:t xml:space="preserve">            </w:t>
            </w:r>
            <w:r>
              <w:rPr>
                <w:rFonts w:hint="default" w:ascii="Times New Roman" w:hAnsi="Times New Roman" w:cs="Times New Roman"/>
                <w:color w:val="auto"/>
                <w:kern w:val="2"/>
                <w:sz w:val="24"/>
                <w:szCs w:val="24"/>
              </w:rPr>
              <w:t>C</w:t>
            </w:r>
            <w:r>
              <w:rPr>
                <w:rFonts w:hint="default" w:ascii="Times New Roman" w:hAnsi="Times New Roman" w:cs="Times New Roman"/>
                <w:color w:val="auto"/>
                <w:kern w:val="2"/>
                <w:sz w:val="24"/>
                <w:szCs w:val="24"/>
                <w:vertAlign w:val="subscript"/>
              </w:rPr>
              <w:t>i</w:t>
            </w:r>
            <w:r>
              <w:rPr>
                <w:rFonts w:hint="default" w:ascii="Times New Roman" w:hAnsi="Times New Roman" w:cs="Times New Roman"/>
                <w:color w:val="auto"/>
                <w:kern w:val="2"/>
                <w:sz w:val="24"/>
                <w:szCs w:val="24"/>
              </w:rPr>
              <w:t>—i种污染物实测浓度值，mg/m</w:t>
            </w:r>
            <w:r>
              <w:rPr>
                <w:rFonts w:hint="default" w:ascii="Times New Roman" w:hAnsi="Times New Roman" w:cs="Times New Roman"/>
                <w:color w:val="auto"/>
                <w:kern w:val="2"/>
                <w:sz w:val="24"/>
                <w:szCs w:val="24"/>
                <w:vertAlign w:val="superscript"/>
              </w:rPr>
              <w:t>3</w:t>
            </w:r>
            <w:r>
              <w:rPr>
                <w:rFonts w:hint="default" w:ascii="Times New Roman" w:hAnsi="Times New Roman" w:cs="Times New Roman"/>
                <w:color w:val="auto"/>
                <w:kern w:val="2"/>
                <w:sz w:val="24"/>
                <w:szCs w:val="24"/>
              </w:rPr>
              <w:t>；</w:t>
            </w:r>
          </w:p>
          <w:p>
            <w:pPr>
              <w:adjustRightInd/>
              <w:spacing w:line="360" w:lineRule="auto"/>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 xml:space="preserve">          C</w:t>
            </w:r>
            <w:r>
              <w:rPr>
                <w:rFonts w:hint="default" w:ascii="Times New Roman" w:hAnsi="Times New Roman" w:cs="Times New Roman"/>
                <w:color w:val="auto"/>
                <w:kern w:val="2"/>
                <w:sz w:val="24"/>
                <w:szCs w:val="24"/>
                <w:vertAlign w:val="subscript"/>
              </w:rPr>
              <w:t>0i</w:t>
            </w:r>
            <w:r>
              <w:rPr>
                <w:rFonts w:hint="default" w:ascii="Times New Roman" w:hAnsi="Times New Roman" w:cs="Times New Roman"/>
                <w:color w:val="auto"/>
                <w:kern w:val="2"/>
                <w:sz w:val="24"/>
                <w:szCs w:val="24"/>
              </w:rPr>
              <w:t>—i种污染物的大气环境质量标准，mg/m</w:t>
            </w:r>
            <w:r>
              <w:rPr>
                <w:rFonts w:hint="default" w:ascii="Times New Roman" w:hAnsi="Times New Roman" w:cs="Times New Roman"/>
                <w:color w:val="auto"/>
                <w:kern w:val="2"/>
                <w:sz w:val="24"/>
                <w:szCs w:val="24"/>
                <w:vertAlign w:val="superscript"/>
              </w:rPr>
              <w:t>3</w:t>
            </w:r>
            <w:r>
              <w:rPr>
                <w:rFonts w:hint="default" w:ascii="Times New Roman" w:hAnsi="Times New Roman" w:cs="Times New Roman"/>
                <w:color w:val="auto"/>
                <w:kern w:val="2"/>
                <w:sz w:val="24"/>
                <w:szCs w:val="24"/>
              </w:rPr>
              <w:t>。</w:t>
            </w:r>
          </w:p>
          <w:p>
            <w:pPr>
              <w:spacing w:line="360" w:lineRule="auto"/>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1.2.5监测结果</w:t>
            </w:r>
          </w:p>
          <w:p>
            <w:pPr>
              <w:adjustRightInd/>
              <w:spacing w:line="360" w:lineRule="auto"/>
              <w:ind w:firstLine="480" w:firstLineChars="200"/>
              <w:textAlignment w:val="auto"/>
              <w:rPr>
                <w:rFonts w:hint="default" w:ascii="Times New Roman" w:hAnsi="Times New Roman" w:cs="Times New Roman"/>
                <w:bCs/>
                <w:color w:val="auto"/>
                <w:kern w:val="2"/>
                <w:sz w:val="24"/>
                <w:szCs w:val="24"/>
              </w:rPr>
            </w:pPr>
            <w:r>
              <w:rPr>
                <w:rFonts w:hint="default" w:ascii="Times New Roman" w:hAnsi="Times New Roman" w:cs="Times New Roman"/>
                <w:color w:val="auto"/>
                <w:kern w:val="2"/>
                <w:sz w:val="24"/>
                <w:szCs w:val="24"/>
              </w:rPr>
              <w:t>监测结果及评价见表3-4</w:t>
            </w:r>
            <w:r>
              <w:rPr>
                <w:rFonts w:hint="default" w:ascii="Times New Roman" w:hAnsi="Times New Roman" w:cs="Times New Roman"/>
                <w:bCs/>
                <w:color w:val="auto"/>
                <w:kern w:val="2"/>
                <w:sz w:val="24"/>
                <w:szCs w:val="24"/>
              </w:rPr>
              <w:t>。</w:t>
            </w:r>
          </w:p>
          <w:p>
            <w:pPr>
              <w:pStyle w:val="2"/>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表3-4特征污染物现状监测结果</w:t>
            </w:r>
          </w:p>
          <w:tbl>
            <w:tblPr>
              <w:tblStyle w:val="33"/>
              <w:tblW w:w="900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134"/>
              <w:gridCol w:w="2373"/>
              <w:gridCol w:w="1134"/>
              <w:gridCol w:w="1134"/>
              <w:gridCol w:w="1092"/>
              <w:gridCol w:w="10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restar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检测</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1134" w:type="dxa"/>
                  <w:vMerge w:val="restar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检测日期</w:t>
                  </w:r>
                </w:p>
              </w:tc>
              <w:tc>
                <w:tcPr>
                  <w:tcW w:w="2373" w:type="dxa"/>
                  <w:vMerge w:val="restar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检测点位</w:t>
                  </w:r>
                </w:p>
              </w:tc>
              <w:tc>
                <w:tcPr>
                  <w:tcW w:w="4394" w:type="dxa"/>
                  <w:gridSpan w:val="4"/>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2373"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tcBorders>
                    <w:tl2br w:val="nil"/>
                    <w:tr2bl w:val="nil"/>
                  </w:tcBorders>
                  <w:noWrap w:val="0"/>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02:00～03:00</w:t>
                  </w:r>
                </w:p>
              </w:tc>
              <w:tc>
                <w:tcPr>
                  <w:tcW w:w="1134" w:type="dxa"/>
                  <w:tcBorders>
                    <w:tl2br w:val="nil"/>
                    <w:tr2bl w:val="nil"/>
                  </w:tcBorders>
                  <w:noWrap w:val="0"/>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08:00～09:00</w:t>
                  </w:r>
                </w:p>
              </w:tc>
              <w:tc>
                <w:tcPr>
                  <w:tcW w:w="1092" w:type="dxa"/>
                  <w:tcBorders>
                    <w:tl2br w:val="nil"/>
                    <w:tr2bl w:val="nil"/>
                  </w:tcBorders>
                  <w:noWrap w:val="0"/>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14:00～15:00</w:t>
                  </w:r>
                </w:p>
              </w:tc>
              <w:tc>
                <w:tcPr>
                  <w:tcW w:w="1034" w:type="dxa"/>
                  <w:tcBorders>
                    <w:tl2br w:val="nil"/>
                    <w:tr2bl w:val="nil"/>
                  </w:tcBorders>
                  <w:noWrap w:val="0"/>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20:00～21:00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restar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氨(mg/m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c>
                <w:tcPr>
                  <w:tcW w:w="1134" w:type="dxa"/>
                  <w:vMerge w:val="restart"/>
                  <w:tcBorders>
                    <w:tl2br w:val="nil"/>
                    <w:tr2bl w:val="nil"/>
                  </w:tcBorders>
                  <w:noWrap w:val="0"/>
                  <w:vAlign w:val="center"/>
                </w:tcPr>
                <w:p>
                  <w:pPr>
                    <w:spacing w:before="62" w:beforeLines="2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2020年11月06日</w:t>
                  </w:r>
                </w:p>
              </w:tc>
              <w:tc>
                <w:tcPr>
                  <w:tcW w:w="2373"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1#：厂址处</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0.11</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0.13</w:t>
                  </w:r>
                </w:p>
              </w:tc>
              <w:tc>
                <w:tcPr>
                  <w:tcW w:w="1092"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0.09</w:t>
                  </w:r>
                </w:p>
              </w:tc>
              <w:tc>
                <w:tcPr>
                  <w:tcW w:w="10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continue"/>
                  <w:tcBorders>
                    <w:tl2br w:val="nil"/>
                    <w:tr2bl w:val="nil"/>
                  </w:tcBorders>
                  <w:noWrap w:val="0"/>
                  <w:vAlign w:val="center"/>
                </w:tcPr>
                <w:p>
                  <w:pPr>
                    <w:spacing w:before="62" w:beforeLines="20" w:line="360" w:lineRule="auto"/>
                    <w:jc w:val="center"/>
                    <w:rPr>
                      <w:rFonts w:hint="default" w:ascii="Times New Roman" w:hAnsi="Times New Roman" w:cs="Times New Roman"/>
                      <w:color w:val="auto"/>
                      <w:szCs w:val="21"/>
                    </w:rPr>
                  </w:pPr>
                </w:p>
              </w:tc>
              <w:tc>
                <w:tcPr>
                  <w:tcW w:w="2373"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2#：厂址下风向</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00m</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0.06</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0.07</w:t>
                  </w:r>
                </w:p>
              </w:tc>
              <w:tc>
                <w:tcPr>
                  <w:tcW w:w="1092"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0.07</w:t>
                  </w:r>
                </w:p>
              </w:tc>
              <w:tc>
                <w:tcPr>
                  <w:tcW w:w="10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restart"/>
                  <w:tcBorders>
                    <w:tl2br w:val="nil"/>
                    <w:tr2bl w:val="nil"/>
                  </w:tcBorders>
                  <w:noWrap w:val="0"/>
                  <w:vAlign w:val="center"/>
                </w:tcPr>
                <w:p>
                  <w:pPr>
                    <w:spacing w:before="62" w:beforeLines="2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2020年11月07日</w:t>
                  </w:r>
                </w:p>
              </w:tc>
              <w:tc>
                <w:tcPr>
                  <w:tcW w:w="2373"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1#：厂址处</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0.09</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0.10</w:t>
                  </w:r>
                </w:p>
              </w:tc>
              <w:tc>
                <w:tcPr>
                  <w:tcW w:w="1092"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0.09</w:t>
                  </w:r>
                </w:p>
              </w:tc>
              <w:tc>
                <w:tcPr>
                  <w:tcW w:w="10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2373"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2#：厂址下风向</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00m</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0.07</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0.08</w:t>
                  </w:r>
                </w:p>
              </w:tc>
              <w:tc>
                <w:tcPr>
                  <w:tcW w:w="1092"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0.06</w:t>
                  </w:r>
                </w:p>
              </w:tc>
              <w:tc>
                <w:tcPr>
                  <w:tcW w:w="10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restart"/>
                  <w:tcBorders>
                    <w:tl2br w:val="nil"/>
                    <w:tr2bl w:val="nil"/>
                  </w:tcBorders>
                  <w:noWrap w:val="0"/>
                  <w:vAlign w:val="center"/>
                </w:tcPr>
                <w:p>
                  <w:pPr>
                    <w:spacing w:before="62" w:beforeLines="2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2020年11月08日</w:t>
                  </w:r>
                </w:p>
              </w:tc>
              <w:tc>
                <w:tcPr>
                  <w:tcW w:w="2373"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1#：厂址处</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0.10</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0.11</w:t>
                  </w:r>
                </w:p>
              </w:tc>
              <w:tc>
                <w:tcPr>
                  <w:tcW w:w="1092"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0.11</w:t>
                  </w:r>
                </w:p>
              </w:tc>
              <w:tc>
                <w:tcPr>
                  <w:tcW w:w="10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2373"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2#：厂址下风向</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00m</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0.06</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0.06</w:t>
                  </w:r>
                </w:p>
              </w:tc>
              <w:tc>
                <w:tcPr>
                  <w:tcW w:w="1092"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0.06</w:t>
                  </w:r>
                </w:p>
              </w:tc>
              <w:tc>
                <w:tcPr>
                  <w:tcW w:w="10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restart"/>
                  <w:tcBorders>
                    <w:tl2br w:val="nil"/>
                    <w:tr2bl w:val="nil"/>
                  </w:tcBorders>
                  <w:noWrap w:val="0"/>
                  <w:vAlign w:val="center"/>
                </w:tcPr>
                <w:p>
                  <w:pPr>
                    <w:spacing w:before="62" w:beforeLines="2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2020年11月09日</w:t>
                  </w:r>
                </w:p>
              </w:tc>
              <w:tc>
                <w:tcPr>
                  <w:tcW w:w="2373"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1#：厂址处</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0.09</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0.11</w:t>
                  </w:r>
                </w:p>
              </w:tc>
              <w:tc>
                <w:tcPr>
                  <w:tcW w:w="1092"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0.10</w:t>
                  </w:r>
                </w:p>
              </w:tc>
              <w:tc>
                <w:tcPr>
                  <w:tcW w:w="10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2373"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2#：厂址下风向</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00m</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0.07</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0.06</w:t>
                  </w:r>
                </w:p>
              </w:tc>
              <w:tc>
                <w:tcPr>
                  <w:tcW w:w="1092"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0.06</w:t>
                  </w:r>
                </w:p>
              </w:tc>
              <w:tc>
                <w:tcPr>
                  <w:tcW w:w="10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restart"/>
                  <w:tcBorders>
                    <w:tl2br w:val="nil"/>
                    <w:tr2bl w:val="nil"/>
                  </w:tcBorders>
                  <w:noWrap w:val="0"/>
                  <w:vAlign w:val="center"/>
                </w:tcPr>
                <w:p>
                  <w:pPr>
                    <w:spacing w:before="62" w:beforeLines="2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2020年11月10日</w:t>
                  </w:r>
                </w:p>
              </w:tc>
              <w:tc>
                <w:tcPr>
                  <w:tcW w:w="2373"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1#：厂址处</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0.10</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0.10</w:t>
                  </w:r>
                </w:p>
              </w:tc>
              <w:tc>
                <w:tcPr>
                  <w:tcW w:w="1092"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0.13</w:t>
                  </w:r>
                </w:p>
              </w:tc>
              <w:tc>
                <w:tcPr>
                  <w:tcW w:w="10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2373"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2#：厂址下风向</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00m</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0.06</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0.07</w:t>
                  </w:r>
                </w:p>
              </w:tc>
              <w:tc>
                <w:tcPr>
                  <w:tcW w:w="1092"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0.08</w:t>
                  </w:r>
                </w:p>
              </w:tc>
              <w:tc>
                <w:tcPr>
                  <w:tcW w:w="10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restart"/>
                  <w:tcBorders>
                    <w:tl2br w:val="nil"/>
                    <w:tr2bl w:val="nil"/>
                  </w:tcBorders>
                  <w:noWrap w:val="0"/>
                  <w:vAlign w:val="center"/>
                </w:tcPr>
                <w:p>
                  <w:pPr>
                    <w:spacing w:before="62" w:beforeLines="2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2020年11月11日</w:t>
                  </w:r>
                </w:p>
              </w:tc>
              <w:tc>
                <w:tcPr>
                  <w:tcW w:w="2373"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1#：厂址处</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0.11</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0.10</w:t>
                  </w:r>
                </w:p>
              </w:tc>
              <w:tc>
                <w:tcPr>
                  <w:tcW w:w="1092"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0.11</w:t>
                  </w:r>
                </w:p>
              </w:tc>
              <w:tc>
                <w:tcPr>
                  <w:tcW w:w="10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2373"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2#：厂址下风向</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00m</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0.08</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0.06</w:t>
                  </w:r>
                </w:p>
              </w:tc>
              <w:tc>
                <w:tcPr>
                  <w:tcW w:w="1092"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0.06</w:t>
                  </w:r>
                </w:p>
              </w:tc>
              <w:tc>
                <w:tcPr>
                  <w:tcW w:w="10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restart"/>
                  <w:tcBorders>
                    <w:tl2br w:val="nil"/>
                    <w:tr2bl w:val="nil"/>
                  </w:tcBorders>
                  <w:noWrap w:val="0"/>
                  <w:vAlign w:val="center"/>
                </w:tcPr>
                <w:p>
                  <w:pPr>
                    <w:spacing w:before="62" w:beforeLines="2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2020年11月12日</w:t>
                  </w:r>
                </w:p>
              </w:tc>
              <w:tc>
                <w:tcPr>
                  <w:tcW w:w="2373"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1#：厂址处</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0.14</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0.11</w:t>
                  </w:r>
                </w:p>
              </w:tc>
              <w:tc>
                <w:tcPr>
                  <w:tcW w:w="1092"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0.13</w:t>
                  </w:r>
                </w:p>
              </w:tc>
              <w:tc>
                <w:tcPr>
                  <w:tcW w:w="10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2373"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2#：厂址下风向</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00m</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0.07</w:t>
                  </w:r>
                </w:p>
              </w:tc>
              <w:tc>
                <w:tcPr>
                  <w:tcW w:w="11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0.06</w:t>
                  </w:r>
                </w:p>
              </w:tc>
              <w:tc>
                <w:tcPr>
                  <w:tcW w:w="1092"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0.06</w:t>
                  </w:r>
                </w:p>
              </w:tc>
              <w:tc>
                <w:tcPr>
                  <w:tcW w:w="1034"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kern w:val="0"/>
                      <w:szCs w:val="21"/>
                      <w:lang w:bidi="ar"/>
                    </w:rPr>
                    <w:t>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restar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硫化氢(mg/m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c>
                <w:tcPr>
                  <w:tcW w:w="1134" w:type="dxa"/>
                  <w:vMerge w:val="restart"/>
                  <w:tcBorders>
                    <w:tl2br w:val="nil"/>
                    <w:tr2bl w:val="nil"/>
                  </w:tcBorders>
                  <w:noWrap w:val="0"/>
                  <w:vAlign w:val="center"/>
                </w:tcPr>
                <w:p>
                  <w:pPr>
                    <w:spacing w:before="62" w:beforeLines="2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2020年11月06日</w:t>
                  </w:r>
                </w:p>
              </w:tc>
              <w:tc>
                <w:tcPr>
                  <w:tcW w:w="2373"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1#：厂址处</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0.004</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w:t>
                  </w:r>
                </w:p>
              </w:tc>
              <w:tc>
                <w:tcPr>
                  <w:tcW w:w="1092"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w:t>
                  </w:r>
                </w:p>
              </w:tc>
              <w:tc>
                <w:tcPr>
                  <w:tcW w:w="10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2373"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2#：厂址下风向</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00m</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w:t>
                  </w:r>
                </w:p>
              </w:tc>
              <w:tc>
                <w:tcPr>
                  <w:tcW w:w="1092"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w:t>
                  </w:r>
                </w:p>
              </w:tc>
              <w:tc>
                <w:tcPr>
                  <w:tcW w:w="10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restart"/>
                  <w:tcBorders>
                    <w:tl2br w:val="nil"/>
                    <w:tr2bl w:val="nil"/>
                  </w:tcBorders>
                  <w:noWrap w:val="0"/>
                  <w:vAlign w:val="center"/>
                </w:tcPr>
                <w:p>
                  <w:pPr>
                    <w:spacing w:before="62" w:beforeLines="2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2020年11月07日</w:t>
                  </w:r>
                </w:p>
              </w:tc>
              <w:tc>
                <w:tcPr>
                  <w:tcW w:w="2373"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1#：厂址处</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w:t>
                  </w:r>
                </w:p>
              </w:tc>
              <w:tc>
                <w:tcPr>
                  <w:tcW w:w="1092"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0.003</w:t>
                  </w:r>
                </w:p>
              </w:tc>
              <w:tc>
                <w:tcPr>
                  <w:tcW w:w="10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2373"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2#：厂址下风向</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00m</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0.001L</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0.001L</w:t>
                  </w:r>
                </w:p>
              </w:tc>
              <w:tc>
                <w:tcPr>
                  <w:tcW w:w="1092"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0.003</w:t>
                  </w:r>
                </w:p>
              </w:tc>
              <w:tc>
                <w:tcPr>
                  <w:tcW w:w="10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restart"/>
                  <w:tcBorders>
                    <w:tl2br w:val="nil"/>
                    <w:tr2bl w:val="nil"/>
                  </w:tcBorders>
                  <w:noWrap w:val="0"/>
                  <w:vAlign w:val="center"/>
                </w:tcPr>
                <w:p>
                  <w:pPr>
                    <w:spacing w:before="62" w:beforeLines="2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2020年11月08日</w:t>
                  </w:r>
                </w:p>
              </w:tc>
              <w:tc>
                <w:tcPr>
                  <w:tcW w:w="2373"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1#：厂址处</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0.003</w:t>
                  </w:r>
                </w:p>
              </w:tc>
              <w:tc>
                <w:tcPr>
                  <w:tcW w:w="1092"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w:t>
                  </w:r>
                </w:p>
              </w:tc>
              <w:tc>
                <w:tcPr>
                  <w:tcW w:w="10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2373"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2#：厂址下风向</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00m</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w:t>
                  </w:r>
                </w:p>
              </w:tc>
              <w:tc>
                <w:tcPr>
                  <w:tcW w:w="1092"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0.001L</w:t>
                  </w:r>
                </w:p>
              </w:tc>
              <w:tc>
                <w:tcPr>
                  <w:tcW w:w="10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restart"/>
                  <w:tcBorders>
                    <w:tl2br w:val="nil"/>
                    <w:tr2bl w:val="nil"/>
                  </w:tcBorders>
                  <w:noWrap w:val="0"/>
                  <w:vAlign w:val="center"/>
                </w:tcPr>
                <w:p>
                  <w:pPr>
                    <w:spacing w:before="62" w:beforeLines="2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2020年11月09日</w:t>
                  </w:r>
                </w:p>
              </w:tc>
              <w:tc>
                <w:tcPr>
                  <w:tcW w:w="2373"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1#：厂址处</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w:t>
                  </w:r>
                </w:p>
              </w:tc>
              <w:tc>
                <w:tcPr>
                  <w:tcW w:w="1092"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0.003</w:t>
                  </w:r>
                </w:p>
              </w:tc>
              <w:tc>
                <w:tcPr>
                  <w:tcW w:w="10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2373"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2#：厂址下风向</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00m</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w:t>
                  </w:r>
                </w:p>
              </w:tc>
              <w:tc>
                <w:tcPr>
                  <w:tcW w:w="1092"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w:t>
                  </w:r>
                </w:p>
              </w:tc>
              <w:tc>
                <w:tcPr>
                  <w:tcW w:w="10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restart"/>
                  <w:tcBorders>
                    <w:tl2br w:val="nil"/>
                    <w:tr2bl w:val="nil"/>
                  </w:tcBorders>
                  <w:noWrap w:val="0"/>
                  <w:vAlign w:val="center"/>
                </w:tcPr>
                <w:p>
                  <w:pPr>
                    <w:spacing w:before="62" w:beforeLines="2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2020年11月10日</w:t>
                  </w:r>
                </w:p>
              </w:tc>
              <w:tc>
                <w:tcPr>
                  <w:tcW w:w="2373"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1#：厂址处</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w:t>
                  </w:r>
                </w:p>
              </w:tc>
              <w:tc>
                <w:tcPr>
                  <w:tcW w:w="1092"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0.004</w:t>
                  </w:r>
                </w:p>
              </w:tc>
              <w:tc>
                <w:tcPr>
                  <w:tcW w:w="10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2373"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2#：厂址下风向</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00m</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0.001L</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0.003</w:t>
                  </w:r>
                </w:p>
              </w:tc>
              <w:tc>
                <w:tcPr>
                  <w:tcW w:w="1092"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0.001L</w:t>
                  </w:r>
                </w:p>
              </w:tc>
              <w:tc>
                <w:tcPr>
                  <w:tcW w:w="10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restart"/>
                  <w:tcBorders>
                    <w:tl2br w:val="nil"/>
                    <w:tr2bl w:val="nil"/>
                  </w:tcBorders>
                  <w:noWrap w:val="0"/>
                  <w:vAlign w:val="center"/>
                </w:tcPr>
                <w:p>
                  <w:pPr>
                    <w:spacing w:before="62" w:beforeLines="2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2020年11月11日</w:t>
                  </w:r>
                </w:p>
              </w:tc>
              <w:tc>
                <w:tcPr>
                  <w:tcW w:w="2373"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1#：厂址处</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0.001L</w:t>
                  </w:r>
                </w:p>
              </w:tc>
              <w:tc>
                <w:tcPr>
                  <w:tcW w:w="1092"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0.003</w:t>
                  </w:r>
                </w:p>
              </w:tc>
              <w:tc>
                <w:tcPr>
                  <w:tcW w:w="10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2373"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2#：厂址下风向</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00m</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w:t>
                  </w:r>
                </w:p>
              </w:tc>
              <w:tc>
                <w:tcPr>
                  <w:tcW w:w="1092"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0.001L</w:t>
                  </w:r>
                </w:p>
              </w:tc>
              <w:tc>
                <w:tcPr>
                  <w:tcW w:w="10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restart"/>
                  <w:tcBorders>
                    <w:tl2br w:val="nil"/>
                    <w:tr2bl w:val="nil"/>
                  </w:tcBorders>
                  <w:noWrap w:val="0"/>
                  <w:vAlign w:val="center"/>
                </w:tcPr>
                <w:p>
                  <w:pPr>
                    <w:spacing w:before="62" w:beforeLines="2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2020年11月12日</w:t>
                  </w:r>
                </w:p>
              </w:tc>
              <w:tc>
                <w:tcPr>
                  <w:tcW w:w="2373"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1#：厂址处</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0.003</w:t>
                  </w:r>
                </w:p>
              </w:tc>
              <w:tc>
                <w:tcPr>
                  <w:tcW w:w="1092"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w:t>
                  </w:r>
                </w:p>
              </w:tc>
              <w:tc>
                <w:tcPr>
                  <w:tcW w:w="10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2373"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2#：厂址下风向</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00m</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0.001L</w:t>
                  </w:r>
                </w:p>
              </w:tc>
              <w:tc>
                <w:tcPr>
                  <w:tcW w:w="11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w:t>
                  </w:r>
                </w:p>
              </w:tc>
              <w:tc>
                <w:tcPr>
                  <w:tcW w:w="1092"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0.003</w:t>
                  </w:r>
                </w:p>
              </w:tc>
              <w:tc>
                <w:tcPr>
                  <w:tcW w:w="1034"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restar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臭气浓度(无量纲)</w:t>
                  </w:r>
                </w:p>
              </w:tc>
              <w:tc>
                <w:tcPr>
                  <w:tcW w:w="1134" w:type="dxa"/>
                  <w:vMerge w:val="restart"/>
                  <w:tcBorders>
                    <w:tl2br w:val="nil"/>
                    <w:tr2bl w:val="nil"/>
                  </w:tcBorders>
                  <w:noWrap w:val="0"/>
                  <w:vAlign w:val="center"/>
                </w:tcPr>
                <w:p>
                  <w:pPr>
                    <w:spacing w:before="62" w:beforeLines="2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2020年11月06日</w:t>
                  </w:r>
                </w:p>
              </w:tc>
              <w:tc>
                <w:tcPr>
                  <w:tcW w:w="2373"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1#：厂址处</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15</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13</w:t>
                  </w:r>
                </w:p>
              </w:tc>
              <w:tc>
                <w:tcPr>
                  <w:tcW w:w="1092"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17</w:t>
                  </w:r>
                </w:p>
              </w:tc>
              <w:tc>
                <w:tcPr>
                  <w:tcW w:w="10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2373"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2#：厂址下风向</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00m</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＜10</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12</w:t>
                  </w:r>
                </w:p>
              </w:tc>
              <w:tc>
                <w:tcPr>
                  <w:tcW w:w="1092"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11</w:t>
                  </w:r>
                </w:p>
              </w:tc>
              <w:tc>
                <w:tcPr>
                  <w:tcW w:w="10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restart"/>
                  <w:tcBorders>
                    <w:tl2br w:val="nil"/>
                    <w:tr2bl w:val="nil"/>
                  </w:tcBorders>
                  <w:noWrap w:val="0"/>
                  <w:vAlign w:val="center"/>
                </w:tcPr>
                <w:p>
                  <w:pPr>
                    <w:spacing w:before="62" w:beforeLines="2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2020年11月07日</w:t>
                  </w:r>
                </w:p>
              </w:tc>
              <w:tc>
                <w:tcPr>
                  <w:tcW w:w="2373"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1#：厂址处</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14</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16</w:t>
                  </w:r>
                </w:p>
              </w:tc>
              <w:tc>
                <w:tcPr>
                  <w:tcW w:w="1092"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14</w:t>
                  </w:r>
                </w:p>
              </w:tc>
              <w:tc>
                <w:tcPr>
                  <w:tcW w:w="10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2373"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2#：厂址下风向</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00m</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11</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12</w:t>
                  </w:r>
                </w:p>
              </w:tc>
              <w:tc>
                <w:tcPr>
                  <w:tcW w:w="1092"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14</w:t>
                  </w:r>
                </w:p>
              </w:tc>
              <w:tc>
                <w:tcPr>
                  <w:tcW w:w="10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restart"/>
                  <w:tcBorders>
                    <w:tl2br w:val="nil"/>
                    <w:tr2bl w:val="nil"/>
                  </w:tcBorders>
                  <w:noWrap w:val="0"/>
                  <w:vAlign w:val="center"/>
                </w:tcPr>
                <w:p>
                  <w:pPr>
                    <w:spacing w:before="62" w:beforeLines="2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2020年11月08日</w:t>
                  </w:r>
                </w:p>
              </w:tc>
              <w:tc>
                <w:tcPr>
                  <w:tcW w:w="2373"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1#：厂址处</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15</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15</w:t>
                  </w:r>
                </w:p>
              </w:tc>
              <w:tc>
                <w:tcPr>
                  <w:tcW w:w="1092"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17</w:t>
                  </w:r>
                </w:p>
              </w:tc>
              <w:tc>
                <w:tcPr>
                  <w:tcW w:w="10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2373"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2#：厂址下风向</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00m</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＜10</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11</w:t>
                  </w:r>
                </w:p>
              </w:tc>
              <w:tc>
                <w:tcPr>
                  <w:tcW w:w="1092"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13</w:t>
                  </w:r>
                </w:p>
              </w:tc>
              <w:tc>
                <w:tcPr>
                  <w:tcW w:w="10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restart"/>
                  <w:tcBorders>
                    <w:tl2br w:val="nil"/>
                    <w:tr2bl w:val="nil"/>
                  </w:tcBorders>
                  <w:noWrap w:val="0"/>
                  <w:vAlign w:val="center"/>
                </w:tcPr>
                <w:p>
                  <w:pPr>
                    <w:spacing w:before="62" w:beforeLines="2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2020年11月09日</w:t>
                  </w:r>
                </w:p>
              </w:tc>
              <w:tc>
                <w:tcPr>
                  <w:tcW w:w="2373"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1#：厂址处</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14</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16</w:t>
                  </w:r>
                </w:p>
              </w:tc>
              <w:tc>
                <w:tcPr>
                  <w:tcW w:w="1092"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13</w:t>
                  </w:r>
                </w:p>
              </w:tc>
              <w:tc>
                <w:tcPr>
                  <w:tcW w:w="10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2373"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2#：厂址下风向</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00m</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10</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12</w:t>
                  </w:r>
                </w:p>
              </w:tc>
              <w:tc>
                <w:tcPr>
                  <w:tcW w:w="1092"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12</w:t>
                  </w:r>
                </w:p>
              </w:tc>
              <w:tc>
                <w:tcPr>
                  <w:tcW w:w="10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restart"/>
                  <w:tcBorders>
                    <w:tl2br w:val="nil"/>
                    <w:tr2bl w:val="nil"/>
                  </w:tcBorders>
                  <w:noWrap w:val="0"/>
                  <w:vAlign w:val="center"/>
                </w:tcPr>
                <w:p>
                  <w:pPr>
                    <w:spacing w:before="62" w:beforeLines="2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2020年11月10日</w:t>
                  </w:r>
                </w:p>
              </w:tc>
              <w:tc>
                <w:tcPr>
                  <w:tcW w:w="2373"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1#：厂址处</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12</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13</w:t>
                  </w:r>
                </w:p>
              </w:tc>
              <w:tc>
                <w:tcPr>
                  <w:tcW w:w="1092"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17</w:t>
                  </w:r>
                </w:p>
              </w:tc>
              <w:tc>
                <w:tcPr>
                  <w:tcW w:w="10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2373"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2#：厂址下风向</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00m</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11</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13</w:t>
                  </w:r>
                </w:p>
              </w:tc>
              <w:tc>
                <w:tcPr>
                  <w:tcW w:w="1092"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11</w:t>
                  </w:r>
                </w:p>
              </w:tc>
              <w:tc>
                <w:tcPr>
                  <w:tcW w:w="10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restart"/>
                  <w:tcBorders>
                    <w:tl2br w:val="nil"/>
                    <w:tr2bl w:val="nil"/>
                  </w:tcBorders>
                  <w:noWrap w:val="0"/>
                  <w:vAlign w:val="center"/>
                </w:tcPr>
                <w:p>
                  <w:pPr>
                    <w:spacing w:before="62" w:beforeLines="2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2020年11月11日</w:t>
                  </w:r>
                </w:p>
              </w:tc>
              <w:tc>
                <w:tcPr>
                  <w:tcW w:w="2373"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1#：厂址处</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14</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14</w:t>
                  </w:r>
                </w:p>
              </w:tc>
              <w:tc>
                <w:tcPr>
                  <w:tcW w:w="1092"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16</w:t>
                  </w:r>
                </w:p>
              </w:tc>
              <w:tc>
                <w:tcPr>
                  <w:tcW w:w="10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2373"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2#：厂址下风向</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00m</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＜10</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10</w:t>
                  </w:r>
                </w:p>
              </w:tc>
              <w:tc>
                <w:tcPr>
                  <w:tcW w:w="1092"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12</w:t>
                  </w:r>
                </w:p>
              </w:tc>
              <w:tc>
                <w:tcPr>
                  <w:tcW w:w="10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restart"/>
                  <w:tcBorders>
                    <w:tl2br w:val="nil"/>
                    <w:tr2bl w:val="nil"/>
                  </w:tcBorders>
                  <w:noWrap w:val="0"/>
                  <w:vAlign w:val="center"/>
                </w:tcPr>
                <w:p>
                  <w:pPr>
                    <w:spacing w:before="62" w:beforeLines="2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2020年11月12日</w:t>
                  </w:r>
                </w:p>
              </w:tc>
              <w:tc>
                <w:tcPr>
                  <w:tcW w:w="2373" w:type="dxa"/>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1#：厂址处</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13</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12</w:t>
                  </w:r>
                </w:p>
              </w:tc>
              <w:tc>
                <w:tcPr>
                  <w:tcW w:w="1092"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15</w:t>
                  </w:r>
                </w:p>
              </w:tc>
              <w:tc>
                <w:tcPr>
                  <w:tcW w:w="10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134" w:type="dxa"/>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2373"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2#：厂址下风向</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00m</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11</w:t>
                  </w:r>
                </w:p>
              </w:tc>
              <w:tc>
                <w:tcPr>
                  <w:tcW w:w="11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12</w:t>
                  </w:r>
                </w:p>
              </w:tc>
              <w:tc>
                <w:tcPr>
                  <w:tcW w:w="1092"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＜10</w:t>
                  </w:r>
                </w:p>
              </w:tc>
              <w:tc>
                <w:tcPr>
                  <w:tcW w:w="1034" w:type="dxa"/>
                  <w:tcBorders>
                    <w:tl2br w:val="nil"/>
                    <w:tr2bl w:val="nil"/>
                  </w:tcBorders>
                  <w:noWrap w:val="0"/>
                  <w:vAlign w:val="center"/>
                </w:tcPr>
                <w:p>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12</w:t>
                  </w:r>
                </w:p>
              </w:tc>
            </w:tr>
          </w:tbl>
          <w:p>
            <w:pPr>
              <w:adjustRightInd/>
              <w:spacing w:before="156" w:beforeLines="50" w:line="240" w:lineRule="auto"/>
              <w:jc w:val="center"/>
              <w:textAlignment w:val="auto"/>
              <w:rPr>
                <w:rFonts w:hint="default" w:ascii="Times New Roman" w:hAnsi="Times New Roman" w:cs="Times New Roman"/>
                <w:b/>
                <w:color w:val="auto"/>
                <w:kern w:val="2"/>
                <w:sz w:val="24"/>
                <w:szCs w:val="24"/>
              </w:rPr>
            </w:pPr>
            <w:r>
              <w:rPr>
                <w:rFonts w:hint="default" w:ascii="Times New Roman" w:hAnsi="Times New Roman" w:cs="Times New Roman"/>
                <w:b/>
                <w:color w:val="auto"/>
                <w:kern w:val="2"/>
                <w:sz w:val="24"/>
                <w:szCs w:val="24"/>
              </w:rPr>
              <w:t>表3-</w:t>
            </w:r>
            <w:r>
              <w:rPr>
                <w:rFonts w:hint="default" w:ascii="Times New Roman" w:hAnsi="Times New Roman" w:cs="Times New Roman"/>
                <w:b/>
                <w:color w:val="auto"/>
                <w:kern w:val="2"/>
                <w:sz w:val="24"/>
                <w:szCs w:val="24"/>
                <w:lang w:val="en-US" w:eastAsia="zh-CN"/>
              </w:rPr>
              <w:t>5</w:t>
            </w:r>
            <w:r>
              <w:rPr>
                <w:rFonts w:hint="default" w:ascii="Times New Roman" w:hAnsi="Times New Roman" w:cs="Times New Roman"/>
                <w:b/>
                <w:color w:val="auto"/>
                <w:kern w:val="2"/>
                <w:sz w:val="24"/>
                <w:szCs w:val="24"/>
              </w:rPr>
              <w:t>监测统计结果</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0"/>
              <w:gridCol w:w="919"/>
              <w:gridCol w:w="921"/>
              <w:gridCol w:w="977"/>
              <w:gridCol w:w="627"/>
              <w:gridCol w:w="1069"/>
              <w:gridCol w:w="1080"/>
              <w:gridCol w:w="999"/>
              <w:gridCol w:w="870"/>
              <w:gridCol w:w="6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6" w:type="pct"/>
                  <w:vMerge w:val="restart"/>
                  <w:vAlign w:val="center"/>
                </w:tcPr>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监测</w:t>
                  </w:r>
                </w:p>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点位</w:t>
                  </w:r>
                </w:p>
              </w:tc>
              <w:tc>
                <w:tcPr>
                  <w:tcW w:w="1019" w:type="pct"/>
                  <w:gridSpan w:val="2"/>
                  <w:vAlign w:val="center"/>
                </w:tcPr>
                <w:p>
                  <w:pPr>
                    <w:adjustRightInd/>
                    <w:spacing w:line="240" w:lineRule="auto"/>
                    <w:ind w:left="-105" w:leftChars="-50" w:right="-105" w:rightChars="-50"/>
                    <w:jc w:val="center"/>
                    <w:textAlignment w:val="auto"/>
                    <w:rPr>
                      <w:rFonts w:hint="default" w:ascii="Times New Roman" w:hAnsi="Times New Roman" w:eastAsia="宋体" w:cs="Times New Roman"/>
                      <w:color w:val="auto"/>
                      <w:kern w:val="2"/>
                      <w:szCs w:val="24"/>
                      <w:lang w:val="en-US" w:eastAsia="zh-CN"/>
                    </w:rPr>
                  </w:pPr>
                  <w:r>
                    <w:rPr>
                      <w:rFonts w:hint="default" w:ascii="Times New Roman" w:hAnsi="Times New Roman" w:cs="Times New Roman"/>
                      <w:color w:val="auto"/>
                      <w:kern w:val="2"/>
                      <w:szCs w:val="24"/>
                    </w:rPr>
                    <w:t>监测点</w:t>
                  </w:r>
                  <w:r>
                    <w:rPr>
                      <w:rFonts w:hint="default" w:ascii="Times New Roman" w:hAnsi="Times New Roman" w:cs="Times New Roman"/>
                      <w:color w:val="auto"/>
                      <w:kern w:val="2"/>
                      <w:szCs w:val="24"/>
                      <w:lang w:val="en-US" w:eastAsia="zh-CN"/>
                    </w:rPr>
                    <w:t>经纬度</w:t>
                  </w:r>
                </w:p>
              </w:tc>
              <w:tc>
                <w:tcPr>
                  <w:tcW w:w="541" w:type="pct"/>
                  <w:vMerge w:val="restart"/>
                  <w:vAlign w:val="center"/>
                </w:tcPr>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污染</w:t>
                  </w:r>
                </w:p>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物</w:t>
                  </w:r>
                </w:p>
              </w:tc>
              <w:tc>
                <w:tcPr>
                  <w:tcW w:w="347" w:type="pct"/>
                  <w:vMerge w:val="restart"/>
                  <w:vAlign w:val="center"/>
                </w:tcPr>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平均时间</w:t>
                  </w:r>
                </w:p>
              </w:tc>
              <w:tc>
                <w:tcPr>
                  <w:tcW w:w="592" w:type="pct"/>
                  <w:vMerge w:val="restart"/>
                  <w:vAlign w:val="center"/>
                </w:tcPr>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评价标准</w:t>
                  </w:r>
                </w:p>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w:t>
                  </w:r>
                  <w:r>
                    <w:rPr>
                      <w:rFonts w:hint="default" w:ascii="Times New Roman" w:hAnsi="Times New Roman" w:cs="Times New Roman"/>
                      <w:color w:val="auto"/>
                      <w:kern w:val="2"/>
                      <w:szCs w:val="24"/>
                      <w:lang w:val="en-US" w:eastAsia="zh-CN"/>
                    </w:rPr>
                    <w:t>m</w:t>
                  </w:r>
                  <w:r>
                    <w:rPr>
                      <w:rFonts w:hint="default" w:ascii="Times New Roman" w:hAnsi="Times New Roman" w:cs="Times New Roman"/>
                      <w:color w:val="auto"/>
                      <w:kern w:val="2"/>
                      <w:szCs w:val="24"/>
                    </w:rPr>
                    <w:t>g/m</w:t>
                  </w:r>
                  <w:r>
                    <w:rPr>
                      <w:rFonts w:hint="default" w:ascii="Times New Roman" w:hAnsi="Times New Roman" w:cs="Times New Roman"/>
                      <w:color w:val="auto"/>
                      <w:kern w:val="2"/>
                      <w:szCs w:val="24"/>
                      <w:vertAlign w:val="superscript"/>
                    </w:rPr>
                    <w:t>3</w:t>
                  </w:r>
                  <w:r>
                    <w:rPr>
                      <w:rFonts w:hint="default" w:ascii="Times New Roman" w:hAnsi="Times New Roman" w:cs="Times New Roman"/>
                      <w:color w:val="auto"/>
                      <w:kern w:val="2"/>
                      <w:szCs w:val="24"/>
                    </w:rPr>
                    <w:t>）</w:t>
                  </w:r>
                </w:p>
              </w:tc>
              <w:tc>
                <w:tcPr>
                  <w:tcW w:w="598" w:type="pct"/>
                  <w:vMerge w:val="restart"/>
                  <w:vAlign w:val="center"/>
                </w:tcPr>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现状浓度范围（</w:t>
                  </w:r>
                  <w:r>
                    <w:rPr>
                      <w:rFonts w:hint="default" w:ascii="Times New Roman" w:hAnsi="Times New Roman" w:cs="Times New Roman"/>
                      <w:color w:val="auto"/>
                      <w:kern w:val="2"/>
                      <w:szCs w:val="24"/>
                      <w:lang w:val="en-US" w:eastAsia="zh-CN"/>
                    </w:rPr>
                    <w:t>m</w:t>
                  </w:r>
                  <w:r>
                    <w:rPr>
                      <w:rFonts w:hint="default" w:ascii="Times New Roman" w:hAnsi="Times New Roman" w:cs="Times New Roman"/>
                      <w:color w:val="auto"/>
                      <w:kern w:val="2"/>
                      <w:szCs w:val="24"/>
                    </w:rPr>
                    <w:t>g/m</w:t>
                  </w:r>
                  <w:r>
                    <w:rPr>
                      <w:rFonts w:hint="default" w:ascii="Times New Roman" w:hAnsi="Times New Roman" w:cs="Times New Roman"/>
                      <w:color w:val="auto"/>
                      <w:kern w:val="2"/>
                      <w:szCs w:val="24"/>
                      <w:vertAlign w:val="superscript"/>
                    </w:rPr>
                    <w:t>3</w:t>
                  </w:r>
                  <w:r>
                    <w:rPr>
                      <w:rFonts w:hint="default" w:ascii="Times New Roman" w:hAnsi="Times New Roman" w:cs="Times New Roman"/>
                      <w:color w:val="auto"/>
                      <w:kern w:val="2"/>
                      <w:szCs w:val="24"/>
                    </w:rPr>
                    <w:t>）</w:t>
                  </w:r>
                </w:p>
              </w:tc>
              <w:tc>
                <w:tcPr>
                  <w:tcW w:w="553" w:type="pct"/>
                  <w:vMerge w:val="restart"/>
                  <w:vAlign w:val="center"/>
                </w:tcPr>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最大浓度占标率/%</w:t>
                  </w:r>
                </w:p>
              </w:tc>
              <w:tc>
                <w:tcPr>
                  <w:tcW w:w="481" w:type="pct"/>
                  <w:vMerge w:val="restart"/>
                  <w:vAlign w:val="center"/>
                </w:tcPr>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超标频率（%）</w:t>
                  </w:r>
                </w:p>
              </w:tc>
              <w:tc>
                <w:tcPr>
                  <w:tcW w:w="340" w:type="pct"/>
                  <w:vMerge w:val="restart"/>
                  <w:vAlign w:val="center"/>
                </w:tcPr>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达标</w:t>
                  </w:r>
                </w:p>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6" w:type="pct"/>
                  <w:vMerge w:val="continue"/>
                  <w:vAlign w:val="center"/>
                </w:tcPr>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p>
              </w:tc>
              <w:tc>
                <w:tcPr>
                  <w:tcW w:w="509" w:type="pct"/>
                  <w:vAlign w:val="center"/>
                </w:tcPr>
                <w:p>
                  <w:pPr>
                    <w:adjustRightInd/>
                    <w:spacing w:line="240" w:lineRule="auto"/>
                    <w:ind w:left="-105" w:leftChars="-50" w:right="-105" w:rightChars="-50"/>
                    <w:jc w:val="center"/>
                    <w:textAlignment w:val="auto"/>
                    <w:rPr>
                      <w:rFonts w:hint="default" w:ascii="Times New Roman" w:hAnsi="Times New Roman" w:eastAsia="宋体" w:cs="Times New Roman"/>
                      <w:color w:val="auto"/>
                      <w:kern w:val="2"/>
                      <w:szCs w:val="24"/>
                      <w:lang w:eastAsia="zh-CN"/>
                    </w:rPr>
                  </w:pPr>
                  <w:r>
                    <w:rPr>
                      <w:rFonts w:hint="default" w:ascii="Times New Roman" w:hAnsi="Times New Roman" w:cs="Times New Roman"/>
                      <w:color w:val="auto"/>
                      <w:kern w:val="2"/>
                      <w:szCs w:val="24"/>
                      <w:lang w:val="en-US" w:eastAsia="zh-CN"/>
                    </w:rPr>
                    <w:t>经度</w:t>
                  </w:r>
                </w:p>
              </w:tc>
              <w:tc>
                <w:tcPr>
                  <w:tcW w:w="510" w:type="pct"/>
                  <w:vAlign w:val="center"/>
                </w:tcPr>
                <w:p>
                  <w:pPr>
                    <w:adjustRightInd/>
                    <w:spacing w:line="240" w:lineRule="auto"/>
                    <w:ind w:left="-105" w:leftChars="-50" w:right="-105" w:rightChars="-50"/>
                    <w:jc w:val="center"/>
                    <w:textAlignment w:val="auto"/>
                    <w:rPr>
                      <w:rFonts w:hint="default" w:ascii="Times New Roman" w:hAnsi="Times New Roman" w:eastAsia="宋体" w:cs="Times New Roman"/>
                      <w:color w:val="auto"/>
                      <w:kern w:val="2"/>
                      <w:szCs w:val="24"/>
                      <w:lang w:eastAsia="zh-CN"/>
                    </w:rPr>
                  </w:pPr>
                  <w:r>
                    <w:rPr>
                      <w:rFonts w:hint="default" w:ascii="Times New Roman" w:hAnsi="Times New Roman" w:cs="Times New Roman"/>
                      <w:color w:val="auto"/>
                      <w:kern w:val="2"/>
                      <w:szCs w:val="24"/>
                      <w:lang w:val="en-US" w:eastAsia="zh-CN"/>
                    </w:rPr>
                    <w:t>纬度</w:t>
                  </w:r>
                </w:p>
              </w:tc>
              <w:tc>
                <w:tcPr>
                  <w:tcW w:w="541" w:type="pct"/>
                  <w:vMerge w:val="continue"/>
                  <w:vAlign w:val="center"/>
                </w:tcPr>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p>
              </w:tc>
              <w:tc>
                <w:tcPr>
                  <w:tcW w:w="347" w:type="pct"/>
                  <w:vMerge w:val="continue"/>
                  <w:vAlign w:val="center"/>
                </w:tcPr>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p>
              </w:tc>
              <w:tc>
                <w:tcPr>
                  <w:tcW w:w="592" w:type="pct"/>
                  <w:vMerge w:val="continue"/>
                  <w:vAlign w:val="center"/>
                </w:tcPr>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p>
              </w:tc>
              <w:tc>
                <w:tcPr>
                  <w:tcW w:w="598" w:type="pct"/>
                  <w:vMerge w:val="continue"/>
                  <w:vAlign w:val="center"/>
                </w:tcPr>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p>
              </w:tc>
              <w:tc>
                <w:tcPr>
                  <w:tcW w:w="553" w:type="pct"/>
                  <w:vMerge w:val="continue"/>
                  <w:vAlign w:val="center"/>
                </w:tcPr>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p>
              </w:tc>
              <w:tc>
                <w:tcPr>
                  <w:tcW w:w="481" w:type="pct"/>
                  <w:vMerge w:val="continue"/>
                  <w:vAlign w:val="center"/>
                </w:tcPr>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p>
              </w:tc>
              <w:tc>
                <w:tcPr>
                  <w:tcW w:w="340" w:type="pct"/>
                  <w:vMerge w:val="continue"/>
                  <w:vAlign w:val="center"/>
                </w:tcPr>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526" w:type="pct"/>
                  <w:vMerge w:val="restart"/>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厂址处</w:t>
                  </w:r>
                </w:p>
              </w:tc>
              <w:tc>
                <w:tcPr>
                  <w:tcW w:w="509" w:type="pct"/>
                  <w:vMerge w:val="restart"/>
                  <w:vAlign w:val="center"/>
                </w:tcPr>
                <w:p>
                  <w:pPr>
                    <w:jc w:val="center"/>
                    <w:rPr>
                      <w:rFonts w:hint="default" w:ascii="Times New Roman" w:hAnsi="Times New Roman" w:cs="Times New Roman"/>
                      <w:color w:val="auto"/>
                    </w:rPr>
                  </w:pPr>
                  <w:r>
                    <w:rPr>
                      <w:rFonts w:hint="default" w:ascii="Times New Roman" w:hAnsi="Times New Roman" w:eastAsia="宋体" w:cs="Times New Roman"/>
                      <w:color w:val="auto"/>
                      <w:sz w:val="21"/>
                      <w:szCs w:val="21"/>
                    </w:rPr>
                    <w:t>132°37′31.85″</w:t>
                  </w:r>
                </w:p>
              </w:tc>
              <w:tc>
                <w:tcPr>
                  <w:tcW w:w="510" w:type="pct"/>
                  <w:vMerge w:val="restart"/>
                  <w:vAlign w:val="center"/>
                </w:tcPr>
                <w:p>
                  <w:pPr>
                    <w:jc w:val="center"/>
                    <w:rPr>
                      <w:rFonts w:hint="default" w:ascii="Times New Roman" w:hAnsi="Times New Roman" w:cs="Times New Roman"/>
                      <w:color w:val="auto"/>
                    </w:rPr>
                  </w:pPr>
                  <w:r>
                    <w:rPr>
                      <w:rFonts w:hint="default" w:ascii="Times New Roman" w:hAnsi="Times New Roman" w:eastAsia="宋体" w:cs="Times New Roman"/>
                      <w:color w:val="auto"/>
                      <w:sz w:val="21"/>
                      <w:szCs w:val="21"/>
                    </w:rPr>
                    <w:t>47°38′47.86″</w:t>
                  </w:r>
                </w:p>
              </w:tc>
              <w:tc>
                <w:tcPr>
                  <w:tcW w:w="541" w:type="pct"/>
                  <w:vAlign w:val="center"/>
                </w:tcPr>
                <w:p>
                  <w:pPr>
                    <w:pStyle w:val="48"/>
                    <w:adjustRightInd w:val="0"/>
                    <w:snapToGrid w:val="0"/>
                    <w:spacing w:after="0" w:line="240" w:lineRule="exact"/>
                    <w:ind w:left="-105" w:leftChars="-50" w:right="-105" w:rightChars="-50"/>
                    <w:rPr>
                      <w:rFonts w:hint="default" w:ascii="Times New Roman" w:hAnsi="Times New Roman" w:cs="Times New Roman"/>
                      <w:color w:val="auto"/>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p>
              </w:tc>
              <w:tc>
                <w:tcPr>
                  <w:tcW w:w="347" w:type="pct"/>
                  <w:vAlign w:val="center"/>
                </w:tcPr>
                <w:p>
                  <w:pPr>
                    <w:pStyle w:val="48"/>
                    <w:adjustRightInd w:val="0"/>
                    <w:snapToGrid w:val="0"/>
                    <w:spacing w:after="0" w:line="240" w:lineRule="exact"/>
                    <w:ind w:left="-105" w:leftChars="-50" w:right="-105" w:rightChars="-50"/>
                    <w:rPr>
                      <w:rFonts w:hint="default" w:ascii="Times New Roman" w:hAnsi="Times New Roman" w:cs="Times New Roman"/>
                      <w:color w:val="auto"/>
                    </w:rPr>
                  </w:pPr>
                  <w:r>
                    <w:rPr>
                      <w:rFonts w:hint="default" w:ascii="Times New Roman" w:hAnsi="Times New Roman" w:cs="Times New Roman"/>
                      <w:color w:val="auto"/>
                    </w:rPr>
                    <w:t>1h</w:t>
                  </w:r>
                </w:p>
              </w:tc>
              <w:tc>
                <w:tcPr>
                  <w:tcW w:w="592" w:type="pct"/>
                  <w:vAlign w:val="center"/>
                </w:tcPr>
                <w:p>
                  <w:pPr>
                    <w:pStyle w:val="48"/>
                    <w:adjustRightInd w:val="0"/>
                    <w:snapToGrid w:val="0"/>
                    <w:spacing w:after="0" w:line="240" w:lineRule="exact"/>
                    <w:ind w:left="-105" w:leftChars="-50" w:right="-105" w:rightChars="-5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0.2</w:t>
                  </w:r>
                </w:p>
              </w:tc>
              <w:tc>
                <w:tcPr>
                  <w:tcW w:w="598" w:type="pct"/>
                  <w:vAlign w:val="center"/>
                </w:tcPr>
                <w:p>
                  <w:pPr>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szCs w:val="21"/>
                      <w:lang w:val="en-US" w:eastAsia="zh-CN"/>
                    </w:rPr>
                    <w:t>0.09~0.14</w:t>
                  </w:r>
                </w:p>
              </w:tc>
              <w:tc>
                <w:tcPr>
                  <w:tcW w:w="553" w:type="pct"/>
                  <w:vAlign w:val="center"/>
                </w:tcPr>
                <w:p>
                  <w:pPr>
                    <w:adjustRightInd/>
                    <w:spacing w:line="240" w:lineRule="auto"/>
                    <w:ind w:left="-105" w:leftChars="-50" w:right="-105" w:rightChars="-50"/>
                    <w:jc w:val="center"/>
                    <w:textAlignment w:val="auto"/>
                    <w:rPr>
                      <w:rFonts w:hint="default" w:ascii="Times New Roman" w:hAnsi="Times New Roman" w:eastAsia="宋体" w:cs="Times New Roman"/>
                      <w:color w:val="auto"/>
                      <w:kern w:val="2"/>
                      <w:szCs w:val="24"/>
                      <w:lang w:val="en-US" w:eastAsia="zh-CN"/>
                    </w:rPr>
                  </w:pPr>
                  <w:r>
                    <w:rPr>
                      <w:rFonts w:hint="default" w:ascii="Times New Roman" w:hAnsi="Times New Roman" w:cs="Times New Roman"/>
                      <w:color w:val="auto"/>
                      <w:kern w:val="2"/>
                      <w:szCs w:val="24"/>
                      <w:lang w:val="en-US" w:eastAsia="zh-CN"/>
                    </w:rPr>
                    <w:t>70</w:t>
                  </w:r>
                </w:p>
              </w:tc>
              <w:tc>
                <w:tcPr>
                  <w:tcW w:w="481" w:type="pct"/>
                  <w:vAlign w:val="center"/>
                </w:tcPr>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0</w:t>
                  </w:r>
                </w:p>
              </w:tc>
              <w:tc>
                <w:tcPr>
                  <w:tcW w:w="340" w:type="pct"/>
                  <w:vAlign w:val="center"/>
                </w:tcPr>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35" w:hRule="atLeast"/>
                <w:jc w:val="center"/>
              </w:trPr>
              <w:tc>
                <w:tcPr>
                  <w:tcW w:w="526" w:type="pct"/>
                  <w:vMerge w:val="continue"/>
                  <w:vAlign w:val="center"/>
                </w:tcPr>
                <w:p>
                  <w:pPr>
                    <w:snapToGrid w:val="0"/>
                    <w:spacing w:line="240" w:lineRule="auto"/>
                    <w:jc w:val="center"/>
                    <w:rPr>
                      <w:rFonts w:hint="default" w:ascii="Times New Roman" w:hAnsi="Times New Roman" w:cs="Times New Roman"/>
                      <w:color w:val="auto"/>
                      <w:szCs w:val="21"/>
                    </w:rPr>
                  </w:pPr>
                </w:p>
              </w:tc>
              <w:tc>
                <w:tcPr>
                  <w:tcW w:w="509" w:type="pct"/>
                  <w:vMerge w:val="continue"/>
                  <w:vAlign w:val="center"/>
                </w:tcPr>
                <w:p>
                  <w:pPr>
                    <w:snapToGrid w:val="0"/>
                    <w:spacing w:line="240" w:lineRule="auto"/>
                    <w:jc w:val="center"/>
                    <w:rPr>
                      <w:rFonts w:hint="default" w:ascii="Times New Roman" w:hAnsi="Times New Roman" w:cs="Times New Roman"/>
                      <w:color w:val="auto"/>
                      <w:szCs w:val="21"/>
                    </w:rPr>
                  </w:pPr>
                </w:p>
              </w:tc>
              <w:tc>
                <w:tcPr>
                  <w:tcW w:w="510" w:type="pct"/>
                  <w:vMerge w:val="continue"/>
                  <w:vAlign w:val="center"/>
                </w:tcPr>
                <w:p>
                  <w:pPr>
                    <w:snapToGrid w:val="0"/>
                    <w:jc w:val="center"/>
                    <w:rPr>
                      <w:rFonts w:hint="default" w:ascii="Times New Roman" w:hAnsi="Times New Roman" w:cs="Times New Roman"/>
                      <w:color w:val="auto"/>
                      <w:szCs w:val="21"/>
                    </w:rPr>
                  </w:pPr>
                </w:p>
              </w:tc>
              <w:tc>
                <w:tcPr>
                  <w:tcW w:w="541" w:type="pct"/>
                  <w:vAlign w:val="center"/>
                </w:tcPr>
                <w:p>
                  <w:pPr>
                    <w:pStyle w:val="48"/>
                    <w:adjustRightInd w:val="0"/>
                    <w:snapToGrid w:val="0"/>
                    <w:spacing w:after="0" w:line="240" w:lineRule="exact"/>
                    <w:ind w:left="-105" w:leftChars="-50" w:right="-105" w:rightChars="-50"/>
                    <w:rPr>
                      <w:rFonts w:hint="default" w:ascii="Times New Roman" w:hAnsi="Times New Roman" w:cs="Times New Roman"/>
                      <w:color w:val="auto"/>
                    </w:rPr>
                  </w:pP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p>
              </w:tc>
              <w:tc>
                <w:tcPr>
                  <w:tcW w:w="347" w:type="pct"/>
                  <w:vAlign w:val="center"/>
                </w:tcPr>
                <w:p>
                  <w:pPr>
                    <w:pStyle w:val="48"/>
                    <w:adjustRightInd w:val="0"/>
                    <w:snapToGrid w:val="0"/>
                    <w:spacing w:after="0" w:line="240" w:lineRule="exact"/>
                    <w:ind w:left="-105" w:leftChars="-50" w:right="-105" w:rightChars="-50"/>
                    <w:rPr>
                      <w:rFonts w:hint="default" w:ascii="Times New Roman" w:hAnsi="Times New Roman" w:cs="Times New Roman"/>
                      <w:color w:val="auto"/>
                    </w:rPr>
                  </w:pPr>
                  <w:r>
                    <w:rPr>
                      <w:rFonts w:hint="default" w:ascii="Times New Roman" w:hAnsi="Times New Roman" w:cs="Times New Roman"/>
                      <w:color w:val="auto"/>
                    </w:rPr>
                    <w:t>1h</w:t>
                  </w:r>
                </w:p>
              </w:tc>
              <w:tc>
                <w:tcPr>
                  <w:tcW w:w="592" w:type="pct"/>
                  <w:vAlign w:val="center"/>
                </w:tcPr>
                <w:p>
                  <w:pPr>
                    <w:pStyle w:val="48"/>
                    <w:adjustRightInd w:val="0"/>
                    <w:snapToGrid w:val="0"/>
                    <w:spacing w:after="0" w:line="240" w:lineRule="exact"/>
                    <w:ind w:left="-105" w:leftChars="-50" w:right="-105" w:rightChars="-5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0.01</w:t>
                  </w:r>
                </w:p>
              </w:tc>
              <w:tc>
                <w:tcPr>
                  <w:tcW w:w="598" w:type="pct"/>
                  <w:vAlign w:val="center"/>
                </w:tcPr>
                <w:p>
                  <w:pPr>
                    <w:ind w:left="-105" w:leftChars="-50" w:right="-105" w:rightChars="-50"/>
                    <w:jc w:val="center"/>
                    <w:rPr>
                      <w:rFonts w:hint="default" w:ascii="Times New Roman" w:hAnsi="Times New Roman" w:cs="Times New Roman"/>
                      <w:color w:val="auto"/>
                      <w:lang w:val="en-US"/>
                    </w:rPr>
                  </w:pPr>
                  <w:r>
                    <w:rPr>
                      <w:rFonts w:hint="default" w:ascii="Times New Roman" w:hAnsi="Times New Roman" w:cs="Times New Roman"/>
                      <w:color w:val="auto"/>
                      <w:szCs w:val="21"/>
                      <w:lang w:val="en-US" w:eastAsia="zh-CN"/>
                    </w:rPr>
                    <w:t>0.001~0.004</w:t>
                  </w:r>
                </w:p>
              </w:tc>
              <w:tc>
                <w:tcPr>
                  <w:tcW w:w="553" w:type="pct"/>
                  <w:vAlign w:val="center"/>
                </w:tcPr>
                <w:p>
                  <w:pPr>
                    <w:adjustRightInd/>
                    <w:spacing w:line="240" w:lineRule="auto"/>
                    <w:ind w:left="-105" w:leftChars="-50" w:right="-105" w:rightChars="-50"/>
                    <w:jc w:val="center"/>
                    <w:textAlignment w:val="auto"/>
                    <w:rPr>
                      <w:rFonts w:hint="default" w:ascii="Times New Roman" w:hAnsi="Times New Roman" w:eastAsia="宋体" w:cs="Times New Roman"/>
                      <w:color w:val="auto"/>
                      <w:kern w:val="2"/>
                      <w:szCs w:val="24"/>
                      <w:lang w:val="en-US" w:eastAsia="zh-CN"/>
                    </w:rPr>
                  </w:pPr>
                  <w:r>
                    <w:rPr>
                      <w:rFonts w:hint="default" w:ascii="Times New Roman" w:hAnsi="Times New Roman" w:cs="Times New Roman"/>
                      <w:color w:val="auto"/>
                      <w:kern w:val="2"/>
                      <w:szCs w:val="24"/>
                      <w:lang w:val="en-US" w:eastAsia="zh-CN"/>
                    </w:rPr>
                    <w:t>40</w:t>
                  </w:r>
                </w:p>
              </w:tc>
              <w:tc>
                <w:tcPr>
                  <w:tcW w:w="481" w:type="pct"/>
                  <w:vAlign w:val="center"/>
                </w:tcPr>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0</w:t>
                  </w:r>
                </w:p>
              </w:tc>
              <w:tc>
                <w:tcPr>
                  <w:tcW w:w="340" w:type="pct"/>
                  <w:vAlign w:val="center"/>
                </w:tcPr>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526" w:type="pct"/>
                  <w:vMerge w:val="restart"/>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厂址下风向1000m</w:t>
                  </w:r>
                </w:p>
              </w:tc>
              <w:tc>
                <w:tcPr>
                  <w:tcW w:w="509" w:type="pct"/>
                  <w:vMerge w:val="restart"/>
                  <w:vAlign w:val="center"/>
                </w:tcPr>
                <w:p>
                  <w:pPr>
                    <w:jc w:val="center"/>
                    <w:rPr>
                      <w:rFonts w:hint="default" w:ascii="Times New Roman" w:hAnsi="Times New Roman" w:cs="Times New Roman"/>
                      <w:color w:val="auto"/>
                    </w:rPr>
                  </w:pPr>
                  <w:r>
                    <w:rPr>
                      <w:rFonts w:hint="default" w:ascii="Times New Roman" w:hAnsi="Times New Roman" w:eastAsia="宋体" w:cs="Times New Roman"/>
                      <w:color w:val="auto"/>
                      <w:sz w:val="21"/>
                      <w:szCs w:val="21"/>
                    </w:rPr>
                    <w:t>132°38′47.37″</w:t>
                  </w:r>
                </w:p>
              </w:tc>
              <w:tc>
                <w:tcPr>
                  <w:tcW w:w="510" w:type="pct"/>
                  <w:vMerge w:val="restart"/>
                  <w:vAlign w:val="center"/>
                </w:tcPr>
                <w:p>
                  <w:pPr>
                    <w:jc w:val="center"/>
                    <w:rPr>
                      <w:rFonts w:hint="default" w:ascii="Times New Roman" w:hAnsi="Times New Roman" w:cs="Times New Roman"/>
                      <w:color w:val="auto"/>
                    </w:rPr>
                  </w:pPr>
                  <w:r>
                    <w:rPr>
                      <w:rFonts w:hint="default" w:ascii="Times New Roman" w:hAnsi="Times New Roman" w:eastAsia="宋体" w:cs="Times New Roman"/>
                      <w:color w:val="auto"/>
                      <w:sz w:val="21"/>
                      <w:szCs w:val="21"/>
                    </w:rPr>
                    <w:t>47°39′10.43″</w:t>
                  </w:r>
                </w:p>
              </w:tc>
              <w:tc>
                <w:tcPr>
                  <w:tcW w:w="541" w:type="pct"/>
                  <w:vAlign w:val="center"/>
                </w:tcPr>
                <w:p>
                  <w:pPr>
                    <w:pStyle w:val="48"/>
                    <w:adjustRightInd w:val="0"/>
                    <w:snapToGrid w:val="0"/>
                    <w:spacing w:after="0" w:line="240" w:lineRule="exact"/>
                    <w:ind w:left="-105" w:leftChars="-50" w:right="-105" w:rightChars="-50"/>
                    <w:rPr>
                      <w:rFonts w:hint="default" w:ascii="Times New Roman" w:hAnsi="Times New Roman" w:cs="Times New Roman"/>
                      <w:color w:val="auto"/>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p>
              </w:tc>
              <w:tc>
                <w:tcPr>
                  <w:tcW w:w="347" w:type="pct"/>
                  <w:vAlign w:val="center"/>
                </w:tcPr>
                <w:p>
                  <w:pPr>
                    <w:pStyle w:val="48"/>
                    <w:adjustRightInd w:val="0"/>
                    <w:snapToGrid w:val="0"/>
                    <w:spacing w:after="0" w:line="240" w:lineRule="exact"/>
                    <w:ind w:left="-105" w:leftChars="-50" w:right="-105" w:rightChars="-50"/>
                    <w:rPr>
                      <w:rFonts w:hint="default" w:ascii="Times New Roman" w:hAnsi="Times New Roman" w:cs="Times New Roman"/>
                      <w:color w:val="auto"/>
                    </w:rPr>
                  </w:pPr>
                  <w:r>
                    <w:rPr>
                      <w:rFonts w:hint="default" w:ascii="Times New Roman" w:hAnsi="Times New Roman" w:cs="Times New Roman"/>
                      <w:color w:val="auto"/>
                    </w:rPr>
                    <w:t>1h</w:t>
                  </w:r>
                </w:p>
              </w:tc>
              <w:tc>
                <w:tcPr>
                  <w:tcW w:w="592" w:type="pct"/>
                  <w:vAlign w:val="center"/>
                </w:tcPr>
                <w:p>
                  <w:pPr>
                    <w:pStyle w:val="48"/>
                    <w:adjustRightInd w:val="0"/>
                    <w:snapToGrid w:val="0"/>
                    <w:spacing w:after="0" w:line="240" w:lineRule="exact"/>
                    <w:ind w:left="-105" w:leftChars="-50" w:right="-105" w:rightChars="-5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0.2</w:t>
                  </w:r>
                </w:p>
              </w:tc>
              <w:tc>
                <w:tcPr>
                  <w:tcW w:w="598" w:type="pct"/>
                  <w:vAlign w:val="center"/>
                </w:tcPr>
                <w:p>
                  <w:pPr>
                    <w:ind w:left="-105" w:leftChars="-50" w:right="-105" w:rightChars="-50"/>
                    <w:jc w:val="center"/>
                    <w:rPr>
                      <w:rFonts w:hint="default" w:ascii="Times New Roman" w:hAnsi="Times New Roman" w:cs="Times New Roman"/>
                      <w:color w:val="auto"/>
                      <w:lang w:val="en-US"/>
                    </w:rPr>
                  </w:pPr>
                  <w:r>
                    <w:rPr>
                      <w:rFonts w:hint="default" w:ascii="Times New Roman" w:hAnsi="Times New Roman" w:cs="Times New Roman"/>
                      <w:color w:val="auto"/>
                      <w:szCs w:val="21"/>
                      <w:lang w:val="en-US" w:eastAsia="zh-CN"/>
                    </w:rPr>
                    <w:t>0.06~0.09</w:t>
                  </w:r>
                </w:p>
              </w:tc>
              <w:tc>
                <w:tcPr>
                  <w:tcW w:w="553" w:type="pct"/>
                  <w:vAlign w:val="center"/>
                </w:tcPr>
                <w:p>
                  <w:pPr>
                    <w:adjustRightInd/>
                    <w:spacing w:line="240" w:lineRule="auto"/>
                    <w:ind w:left="-105" w:leftChars="-50" w:right="-105" w:rightChars="-50"/>
                    <w:jc w:val="center"/>
                    <w:textAlignment w:val="auto"/>
                    <w:rPr>
                      <w:rFonts w:hint="default" w:ascii="Times New Roman" w:hAnsi="Times New Roman" w:eastAsia="宋体" w:cs="Times New Roman"/>
                      <w:color w:val="auto"/>
                      <w:kern w:val="2"/>
                      <w:szCs w:val="24"/>
                      <w:lang w:val="en-US" w:eastAsia="zh-CN"/>
                    </w:rPr>
                  </w:pPr>
                  <w:r>
                    <w:rPr>
                      <w:rFonts w:hint="default" w:ascii="Times New Roman" w:hAnsi="Times New Roman" w:cs="Times New Roman"/>
                      <w:color w:val="auto"/>
                      <w:kern w:val="2"/>
                      <w:szCs w:val="24"/>
                      <w:lang w:val="en-US" w:eastAsia="zh-CN"/>
                    </w:rPr>
                    <w:t>45</w:t>
                  </w:r>
                </w:p>
              </w:tc>
              <w:tc>
                <w:tcPr>
                  <w:tcW w:w="481" w:type="pct"/>
                  <w:vAlign w:val="center"/>
                </w:tcPr>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0</w:t>
                  </w:r>
                </w:p>
              </w:tc>
              <w:tc>
                <w:tcPr>
                  <w:tcW w:w="340" w:type="pct"/>
                  <w:vAlign w:val="center"/>
                </w:tcPr>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526" w:type="pct"/>
                  <w:vMerge w:val="continue"/>
                  <w:vAlign w:val="center"/>
                </w:tcPr>
                <w:p>
                  <w:pPr>
                    <w:snapToGrid w:val="0"/>
                    <w:spacing w:line="240" w:lineRule="auto"/>
                    <w:jc w:val="center"/>
                    <w:rPr>
                      <w:rFonts w:hint="default" w:ascii="Times New Roman" w:hAnsi="Times New Roman" w:cs="Times New Roman"/>
                      <w:color w:val="auto"/>
                      <w:szCs w:val="21"/>
                    </w:rPr>
                  </w:pPr>
                </w:p>
              </w:tc>
              <w:tc>
                <w:tcPr>
                  <w:tcW w:w="509" w:type="pct"/>
                  <w:vMerge w:val="continue"/>
                  <w:vAlign w:val="center"/>
                </w:tcPr>
                <w:p>
                  <w:pPr>
                    <w:snapToGrid w:val="0"/>
                    <w:spacing w:line="240" w:lineRule="auto"/>
                    <w:jc w:val="center"/>
                    <w:rPr>
                      <w:rFonts w:hint="default" w:ascii="Times New Roman" w:hAnsi="Times New Roman" w:cs="Times New Roman"/>
                      <w:color w:val="auto"/>
                      <w:szCs w:val="21"/>
                    </w:rPr>
                  </w:pPr>
                </w:p>
              </w:tc>
              <w:tc>
                <w:tcPr>
                  <w:tcW w:w="510" w:type="pct"/>
                  <w:vMerge w:val="continue"/>
                  <w:vAlign w:val="center"/>
                </w:tcPr>
                <w:p>
                  <w:pPr>
                    <w:snapToGrid w:val="0"/>
                    <w:spacing w:line="240" w:lineRule="auto"/>
                    <w:jc w:val="center"/>
                    <w:rPr>
                      <w:rFonts w:hint="default" w:ascii="Times New Roman" w:hAnsi="Times New Roman" w:cs="Times New Roman"/>
                      <w:color w:val="auto"/>
                      <w:szCs w:val="21"/>
                    </w:rPr>
                  </w:pPr>
                </w:p>
              </w:tc>
              <w:tc>
                <w:tcPr>
                  <w:tcW w:w="541" w:type="pct"/>
                  <w:vAlign w:val="center"/>
                </w:tcPr>
                <w:p>
                  <w:pPr>
                    <w:pStyle w:val="48"/>
                    <w:adjustRightInd w:val="0"/>
                    <w:snapToGrid w:val="0"/>
                    <w:spacing w:after="0" w:line="240" w:lineRule="exact"/>
                    <w:ind w:left="-105" w:leftChars="-50" w:right="-105" w:rightChars="-50"/>
                    <w:rPr>
                      <w:rFonts w:hint="default" w:ascii="Times New Roman" w:hAnsi="Times New Roman" w:cs="Times New Roman"/>
                      <w:color w:val="auto"/>
                    </w:rPr>
                  </w:pP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p>
              </w:tc>
              <w:tc>
                <w:tcPr>
                  <w:tcW w:w="347" w:type="pct"/>
                  <w:vAlign w:val="center"/>
                </w:tcPr>
                <w:p>
                  <w:pPr>
                    <w:pStyle w:val="48"/>
                    <w:adjustRightInd w:val="0"/>
                    <w:snapToGrid w:val="0"/>
                    <w:spacing w:after="0" w:line="240" w:lineRule="exact"/>
                    <w:ind w:left="-105" w:leftChars="-50" w:right="-105" w:rightChars="-50"/>
                    <w:rPr>
                      <w:rFonts w:hint="default" w:ascii="Times New Roman" w:hAnsi="Times New Roman" w:cs="Times New Roman"/>
                      <w:color w:val="auto"/>
                    </w:rPr>
                  </w:pPr>
                  <w:r>
                    <w:rPr>
                      <w:rFonts w:hint="default" w:ascii="Times New Roman" w:hAnsi="Times New Roman" w:cs="Times New Roman"/>
                      <w:color w:val="auto"/>
                    </w:rPr>
                    <w:t>1h</w:t>
                  </w:r>
                </w:p>
              </w:tc>
              <w:tc>
                <w:tcPr>
                  <w:tcW w:w="592" w:type="pct"/>
                  <w:vAlign w:val="center"/>
                </w:tcPr>
                <w:p>
                  <w:pPr>
                    <w:pStyle w:val="48"/>
                    <w:adjustRightInd w:val="0"/>
                    <w:snapToGrid w:val="0"/>
                    <w:spacing w:after="0" w:line="240" w:lineRule="exact"/>
                    <w:ind w:left="-105" w:leftChars="-50" w:right="-105" w:rightChars="-5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0.01</w:t>
                  </w:r>
                </w:p>
              </w:tc>
              <w:tc>
                <w:tcPr>
                  <w:tcW w:w="598" w:type="pct"/>
                  <w:vAlign w:val="center"/>
                </w:tcPr>
                <w:p>
                  <w:pPr>
                    <w:ind w:left="-105" w:leftChars="-50" w:right="-105" w:rightChars="-50"/>
                    <w:jc w:val="center"/>
                    <w:rPr>
                      <w:rFonts w:hint="default" w:ascii="Times New Roman" w:hAnsi="Times New Roman" w:eastAsia="宋体" w:cs="Times New Roman"/>
                      <w:color w:val="auto"/>
                      <w:sz w:val="21"/>
                      <w:lang w:val="en-US" w:eastAsia="zh-CN" w:bidi="ar-SA"/>
                    </w:rPr>
                  </w:pPr>
                  <w:r>
                    <w:rPr>
                      <w:rFonts w:hint="default" w:ascii="Times New Roman" w:hAnsi="Times New Roman" w:cs="Times New Roman"/>
                      <w:color w:val="auto"/>
                      <w:szCs w:val="21"/>
                      <w:lang w:val="en-US" w:eastAsia="zh-CN"/>
                    </w:rPr>
                    <w:t>0.001~0.003</w:t>
                  </w:r>
                </w:p>
              </w:tc>
              <w:tc>
                <w:tcPr>
                  <w:tcW w:w="553" w:type="pct"/>
                  <w:vAlign w:val="center"/>
                </w:tcPr>
                <w:p>
                  <w:pPr>
                    <w:adjustRightInd/>
                    <w:spacing w:line="240" w:lineRule="auto"/>
                    <w:ind w:left="-105" w:leftChars="-50" w:right="-105" w:rightChars="-50"/>
                    <w:jc w:val="center"/>
                    <w:textAlignment w:val="auto"/>
                    <w:rPr>
                      <w:rFonts w:hint="default" w:ascii="Times New Roman" w:hAnsi="Times New Roman" w:eastAsia="宋体" w:cs="Times New Roman"/>
                      <w:color w:val="auto"/>
                      <w:kern w:val="2"/>
                      <w:szCs w:val="24"/>
                      <w:lang w:val="en-US" w:eastAsia="zh-CN"/>
                    </w:rPr>
                  </w:pPr>
                  <w:r>
                    <w:rPr>
                      <w:rFonts w:hint="default" w:ascii="Times New Roman" w:hAnsi="Times New Roman" w:cs="Times New Roman"/>
                      <w:color w:val="auto"/>
                      <w:kern w:val="2"/>
                      <w:szCs w:val="24"/>
                      <w:lang w:val="en-US" w:eastAsia="zh-CN"/>
                    </w:rPr>
                    <w:t>30</w:t>
                  </w:r>
                </w:p>
              </w:tc>
              <w:tc>
                <w:tcPr>
                  <w:tcW w:w="481" w:type="pct"/>
                  <w:vAlign w:val="center"/>
                </w:tcPr>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0</w:t>
                  </w:r>
                </w:p>
              </w:tc>
              <w:tc>
                <w:tcPr>
                  <w:tcW w:w="340" w:type="pct"/>
                  <w:vAlign w:val="center"/>
                </w:tcPr>
                <w:p>
                  <w:pPr>
                    <w:adjustRightInd/>
                    <w:spacing w:line="240" w:lineRule="auto"/>
                    <w:ind w:left="-105" w:leftChars="-50" w:right="-105" w:rightChars="-50"/>
                    <w:jc w:val="center"/>
                    <w:textAlignment w:val="auto"/>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达标</w:t>
                  </w:r>
                </w:p>
              </w:tc>
            </w:tr>
          </w:tbl>
          <w:p>
            <w:pPr>
              <w:spacing w:before="156" w:beforeLines="50"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由表3-</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可以看出，各监测点的NH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S均符合《环境影响评价技术导则 大气环境》(HJ2.2-2018)附录D中表D.1其他污染物空气质量浓度参考限值要求。</w:t>
            </w:r>
            <w:r>
              <w:rPr>
                <w:rFonts w:hint="default" w:ascii="Times New Roman" w:hAnsi="Times New Roman" w:cs="Times New Roman"/>
                <w:color w:val="auto"/>
                <w:sz w:val="24"/>
                <w:szCs w:val="24"/>
                <w:lang w:val="en-US" w:eastAsia="zh-CN"/>
              </w:rPr>
              <w:t>监测点的</w:t>
            </w:r>
            <w:r>
              <w:rPr>
                <w:rFonts w:hint="default" w:ascii="Times New Roman" w:hAnsi="Times New Roman" w:cs="Times New Roman"/>
                <w:color w:val="auto"/>
                <w:sz w:val="24"/>
                <w:szCs w:val="24"/>
              </w:rPr>
              <w:t>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S</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臭气浓度能够满足</w:t>
            </w:r>
            <w:r>
              <w:rPr>
                <w:rFonts w:hint="default" w:ascii="Times New Roman" w:hAnsi="Times New Roman" w:cs="Times New Roman"/>
                <w:color w:val="auto"/>
                <w:sz w:val="24"/>
              </w:rPr>
              <w:t>《恶臭污染物排放标准》（GB14554-93）</w:t>
            </w:r>
            <w:r>
              <w:rPr>
                <w:rFonts w:hint="default" w:ascii="Times New Roman" w:hAnsi="Times New Roman" w:cs="Times New Roman"/>
                <w:color w:val="auto"/>
                <w:sz w:val="24"/>
                <w:lang w:val="en-US" w:eastAsia="zh-CN"/>
              </w:rPr>
              <w:t>无组织排放限值要求。</w:t>
            </w:r>
          </w:p>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rPr>
              <w:t>2、地表水环境质量现状</w:t>
            </w:r>
          </w:p>
          <w:p>
            <w:pPr>
              <w:autoSpaceDE w:val="0"/>
              <w:autoSpaceDN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同江市城市生活垃圾处理场渗沥液站改造工程地表水为莲花河，最终汇入松花江。根据《全国重要江河湖泊水功能区划（2011-2030）》可知，地表水体该段为松花江三江口鱼类保护区（同江市-入黑龙江河口）范围，执行《地表水环境质量标准》（GB3838-2002）</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3 \* ROMAN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rPr>
              <w:t>III</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类标准。根据《2018年佳木斯市环境质量简报》，依据《地表水环境质量标准》（GB3838－2002）及《地表水环境质量评价办法（试行）》环办[2011]22号文件，对松花江佳木斯段及各断面水质进行评价，结果显示：2018年松花江佳木斯段干流水质达到Ⅲ类，水质状况良好；支流汤旺河口内、梧桐河口断面水质类别均为Ⅲ类，满足其水体使用功能。根据《2019年黑龙江省生态环境状况公报》，松花江干流同江断面高锰酸盐指数、化学需氧量均能达到Ⅲ类，水质状况良好。</w:t>
            </w:r>
          </w:p>
          <w:p>
            <w:pPr>
              <w:pStyle w:val="12"/>
              <w:rPr>
                <w:rFonts w:hint="default" w:ascii="Times New Roman" w:hAnsi="Times New Roman" w:cs="Times New Roman"/>
                <w:color w:val="auto"/>
              </w:rPr>
            </w:pPr>
          </w:p>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rPr>
              <w:t xml:space="preserve">3、地下水质量现状 </w:t>
            </w:r>
          </w:p>
          <w:p>
            <w:pPr>
              <w:tabs>
                <w:tab w:val="left" w:pos="4425"/>
              </w:tabs>
              <w:snapToGrid w:val="0"/>
              <w:spacing w:line="360" w:lineRule="auto"/>
              <w:ind w:firstLine="480" w:firstLineChars="200"/>
              <w:rPr>
                <w:rFonts w:hint="default" w:ascii="Times New Roman" w:hAnsi="Times New Roman" w:eastAsia="宋体" w:cs="Times New Roman"/>
                <w:color w:val="auto"/>
                <w:sz w:val="24"/>
                <w:szCs w:val="22"/>
                <w:lang w:eastAsia="zh-CN"/>
              </w:rPr>
            </w:pPr>
            <w:r>
              <w:rPr>
                <w:rFonts w:hint="default" w:ascii="Times New Roman" w:hAnsi="Times New Roman" w:cs="Times New Roman"/>
                <w:color w:val="auto"/>
                <w:sz w:val="24"/>
              </w:rPr>
              <w:t>见地下水评价专篇</w:t>
            </w:r>
            <w:r>
              <w:rPr>
                <w:rFonts w:hint="default" w:ascii="Times New Roman" w:hAnsi="Times New Roman" w:cs="Times New Roman"/>
                <w:color w:val="auto"/>
                <w:sz w:val="24"/>
                <w:lang w:eastAsia="zh-CN"/>
              </w:rPr>
              <w:t>。</w:t>
            </w:r>
          </w:p>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rPr>
              <w:t>4、声环境质量现状</w:t>
            </w:r>
          </w:p>
          <w:p>
            <w:pPr>
              <w:tabs>
                <w:tab w:val="left" w:pos="4425"/>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本项目拟选厂址厂界外200m无声环境敏感点。委托</w:t>
            </w:r>
            <w:r>
              <w:rPr>
                <w:rFonts w:hint="default" w:ascii="Times New Roman" w:hAnsi="Times New Roman" w:cs="Times New Roman"/>
                <w:color w:val="auto"/>
                <w:sz w:val="24"/>
                <w:lang w:eastAsia="zh-CN"/>
              </w:rPr>
              <w:t>黑龙江隆嘉环境检测有限公司</w:t>
            </w:r>
            <w:r>
              <w:rPr>
                <w:rFonts w:hint="default" w:ascii="Times New Roman" w:hAnsi="Times New Roman" w:cs="Times New Roman"/>
                <w:color w:val="auto"/>
                <w:sz w:val="24"/>
              </w:rPr>
              <w:t>进行声环境质量现状监测</w:t>
            </w:r>
            <w:r>
              <w:rPr>
                <w:rFonts w:hint="default" w:ascii="Times New Roman" w:hAnsi="Times New Roman" w:cs="Times New Roman"/>
                <w:color w:val="auto"/>
                <w:sz w:val="24"/>
                <w:lang w:eastAsia="zh-CN"/>
              </w:rPr>
              <w:t>。</w:t>
            </w:r>
          </w:p>
          <w:p>
            <w:pPr>
              <w:spacing w:line="360" w:lineRule="auto"/>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4.1监测点位</w:t>
            </w:r>
          </w:p>
          <w:p>
            <w:pPr>
              <w:pStyle w:val="80"/>
              <w:ind w:firstLine="480"/>
              <w:rPr>
                <w:rFonts w:hint="default" w:ascii="Times New Roman" w:hAnsi="Times New Roman" w:cs="Times New Roman"/>
                <w:color w:val="auto"/>
              </w:rPr>
            </w:pPr>
            <w:r>
              <w:rPr>
                <w:rFonts w:hint="default" w:ascii="Times New Roman" w:hAnsi="Times New Roman" w:cs="Times New Roman"/>
                <w:color w:val="auto"/>
              </w:rPr>
              <w:t>在厂界布设4个监测点位，分别为东厂界（1#）、南厂界（2#）、西厂界（3#）、北厂界（4#）。</w:t>
            </w:r>
          </w:p>
          <w:p>
            <w:pPr>
              <w:spacing w:line="360" w:lineRule="auto"/>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4.2监测时间频率及方法</w:t>
            </w:r>
          </w:p>
          <w:p>
            <w:pPr>
              <w:pStyle w:val="80"/>
              <w:ind w:firstLine="480"/>
              <w:rPr>
                <w:rFonts w:hint="default" w:ascii="Times New Roman" w:hAnsi="Times New Roman" w:cs="Times New Roman"/>
                <w:color w:val="auto"/>
              </w:rPr>
            </w:pPr>
            <w:r>
              <w:rPr>
                <w:rFonts w:hint="default" w:ascii="Times New Roman" w:hAnsi="Times New Roman" w:cs="Times New Roman"/>
                <w:color w:val="auto"/>
              </w:rPr>
              <w:t>监测时间：20</w:t>
            </w:r>
            <w:r>
              <w:rPr>
                <w:rFonts w:hint="default" w:ascii="Times New Roman" w:hAnsi="Times New Roman" w:cs="Times New Roman"/>
                <w:color w:val="auto"/>
                <w:lang w:val="en-US" w:eastAsia="zh-CN"/>
              </w:rPr>
              <w:t>20</w:t>
            </w:r>
            <w:r>
              <w:rPr>
                <w:rFonts w:hint="default" w:ascii="Times New Roman" w:hAnsi="Times New Roman" w:cs="Times New Roman"/>
                <w:color w:val="auto"/>
              </w:rPr>
              <w:t>年</w:t>
            </w:r>
            <w:r>
              <w:rPr>
                <w:rFonts w:hint="default" w:ascii="Times New Roman" w:hAnsi="Times New Roman" w:cs="Times New Roman"/>
                <w:color w:val="auto"/>
                <w:lang w:val="en-US" w:eastAsia="zh-CN"/>
              </w:rPr>
              <w:t>11</w:t>
            </w:r>
            <w:r>
              <w:rPr>
                <w:rFonts w:hint="default" w:ascii="Times New Roman" w:hAnsi="Times New Roman" w:cs="Times New Roman"/>
                <w:color w:val="auto"/>
              </w:rPr>
              <w:t>月1</w:t>
            </w:r>
            <w:r>
              <w:rPr>
                <w:rFonts w:hint="default" w:ascii="Times New Roman" w:hAnsi="Times New Roman" w:cs="Times New Roman"/>
                <w:color w:val="auto"/>
                <w:lang w:val="en-US" w:eastAsia="zh-CN"/>
              </w:rPr>
              <w:t>1</w:t>
            </w:r>
            <w:r>
              <w:rPr>
                <w:rFonts w:hint="default" w:ascii="Times New Roman" w:hAnsi="Times New Roman" w:cs="Times New Roman"/>
                <w:color w:val="auto"/>
              </w:rPr>
              <w:t>日-</w:t>
            </w:r>
            <w:r>
              <w:rPr>
                <w:rFonts w:hint="default" w:ascii="Times New Roman" w:hAnsi="Times New Roman" w:cs="Times New Roman"/>
                <w:color w:val="auto"/>
                <w:lang w:val="en-US" w:eastAsia="zh-CN"/>
              </w:rPr>
              <w:t>12</w:t>
            </w:r>
            <w:r>
              <w:rPr>
                <w:rFonts w:hint="default" w:ascii="Times New Roman" w:hAnsi="Times New Roman" w:cs="Times New Roman"/>
                <w:color w:val="auto"/>
              </w:rPr>
              <w:t>日</w:t>
            </w:r>
          </w:p>
          <w:p>
            <w:pPr>
              <w:pStyle w:val="80"/>
              <w:ind w:firstLine="480"/>
              <w:rPr>
                <w:rFonts w:hint="default" w:ascii="Times New Roman" w:hAnsi="Times New Roman" w:cs="Times New Roman"/>
                <w:color w:val="auto"/>
              </w:rPr>
            </w:pPr>
            <w:r>
              <w:rPr>
                <w:rFonts w:hint="default" w:ascii="Times New Roman" w:hAnsi="Times New Roman" w:cs="Times New Roman"/>
                <w:color w:val="auto"/>
              </w:rPr>
              <w:t>监测频率：连续两天，每天昼夜各一次。</w:t>
            </w:r>
          </w:p>
          <w:p>
            <w:pPr>
              <w:spacing w:line="360" w:lineRule="auto"/>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4.3监测指标及方法</w:t>
            </w:r>
          </w:p>
          <w:p>
            <w:pPr>
              <w:pStyle w:val="80"/>
              <w:ind w:firstLine="480"/>
              <w:rPr>
                <w:rFonts w:hint="default" w:ascii="Times New Roman" w:hAnsi="Times New Roman" w:cs="Times New Roman"/>
                <w:color w:val="auto"/>
              </w:rPr>
            </w:pPr>
            <w:r>
              <w:rPr>
                <w:rFonts w:hint="default" w:ascii="Times New Roman" w:hAnsi="Times New Roman" w:cs="Times New Roman"/>
                <w:color w:val="auto"/>
              </w:rPr>
              <w:t>监测方法见表3-</w:t>
            </w:r>
            <w:r>
              <w:rPr>
                <w:rFonts w:hint="default" w:ascii="Times New Roman" w:hAnsi="Times New Roman" w:cs="Times New Roman"/>
                <w:color w:val="auto"/>
                <w:lang w:val="en-US" w:eastAsia="zh-CN"/>
              </w:rPr>
              <w:t>6</w:t>
            </w:r>
            <w:r>
              <w:rPr>
                <w:rFonts w:hint="default" w:ascii="Times New Roman" w:hAnsi="Times New Roman" w:cs="Times New Roman"/>
                <w:color w:val="auto"/>
              </w:rPr>
              <w:t>。</w:t>
            </w:r>
          </w:p>
          <w:p>
            <w:pPr>
              <w:adjustRightInd/>
              <w:spacing w:before="156" w:beforeLines="50" w:line="240" w:lineRule="auto"/>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b/>
                <w:color w:val="auto"/>
                <w:kern w:val="2"/>
                <w:sz w:val="24"/>
                <w:szCs w:val="24"/>
              </w:rPr>
              <w:t>表3-</w:t>
            </w:r>
            <w:r>
              <w:rPr>
                <w:rFonts w:hint="default" w:ascii="Times New Roman" w:hAnsi="Times New Roman" w:cs="Times New Roman"/>
                <w:b/>
                <w:color w:val="auto"/>
                <w:kern w:val="2"/>
                <w:sz w:val="24"/>
                <w:szCs w:val="24"/>
                <w:lang w:val="en-US" w:eastAsia="zh-CN"/>
              </w:rPr>
              <w:t>6</w:t>
            </w:r>
            <w:r>
              <w:rPr>
                <w:rFonts w:hint="default" w:ascii="Times New Roman" w:hAnsi="Times New Roman" w:cs="Times New Roman"/>
                <w:b/>
                <w:color w:val="auto"/>
                <w:kern w:val="2"/>
                <w:sz w:val="24"/>
                <w:szCs w:val="24"/>
              </w:rPr>
              <w:t xml:space="preserve"> 监测方法 </w:t>
            </w:r>
            <w:r>
              <w:rPr>
                <w:rFonts w:hint="default" w:ascii="Times New Roman" w:hAnsi="Times New Roman" w:cs="Times New Roman"/>
                <w:color w:val="auto"/>
                <w:kern w:val="2"/>
                <w:sz w:val="24"/>
                <w:szCs w:val="24"/>
              </w:rPr>
              <w:t xml:space="preserve"> </w:t>
            </w:r>
          </w:p>
          <w:tbl>
            <w:tblPr>
              <w:tblStyle w:val="33"/>
              <w:tblW w:w="868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0"/>
              <w:gridCol w:w="1390"/>
              <w:gridCol w:w="3075"/>
              <w:gridCol w:w="34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0" w:type="dxa"/>
                  <w:shd w:val="clear" w:color="auto" w:fill="auto"/>
                  <w:vAlign w:val="center"/>
                </w:tcPr>
                <w:p>
                  <w:pPr>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szCs w:val="21"/>
                    </w:rPr>
                    <w:t>序号</w:t>
                  </w:r>
                </w:p>
              </w:tc>
              <w:tc>
                <w:tcPr>
                  <w:tcW w:w="1390" w:type="dxa"/>
                  <w:shd w:val="clear" w:color="auto" w:fill="auto"/>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检测项目</w:t>
                  </w:r>
                </w:p>
              </w:tc>
              <w:tc>
                <w:tcPr>
                  <w:tcW w:w="3075" w:type="dxa"/>
                  <w:shd w:val="clear" w:color="auto" w:fill="auto"/>
                  <w:vAlign w:val="center"/>
                </w:tcPr>
                <w:p>
                  <w:pPr>
                    <w:widowControl/>
                    <w:snapToGrid w:val="0"/>
                    <w:spacing w:line="240" w:lineRule="auto"/>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检测标准（方法）</w:t>
                  </w:r>
                </w:p>
              </w:tc>
              <w:tc>
                <w:tcPr>
                  <w:tcW w:w="3487" w:type="dxa"/>
                  <w:shd w:val="clear" w:color="auto" w:fill="auto"/>
                  <w:vAlign w:val="center"/>
                </w:tcPr>
                <w:p>
                  <w:pPr>
                    <w:widowControl/>
                    <w:snapToGrid w:val="0"/>
                    <w:spacing w:line="240" w:lineRule="auto"/>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噪声仪器名称/型号/编号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0" w:type="dxa"/>
                  <w:shd w:val="clear" w:color="auto" w:fill="auto"/>
                  <w:vAlign w:val="center"/>
                </w:tcPr>
                <w:p>
                  <w:pPr>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szCs w:val="21"/>
                    </w:rPr>
                    <w:t>1</w:t>
                  </w:r>
                </w:p>
              </w:tc>
              <w:tc>
                <w:tcPr>
                  <w:tcW w:w="1390" w:type="dxa"/>
                  <w:shd w:val="clear" w:color="auto" w:fill="auto"/>
                  <w:vAlign w:val="center"/>
                </w:tcPr>
                <w:p>
                  <w:pPr>
                    <w:widowControl/>
                    <w:snapToGrid w:val="0"/>
                    <w:spacing w:line="240" w:lineRule="auto"/>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3075" w:type="dxa"/>
                  <w:shd w:val="clear" w:color="auto" w:fill="auto"/>
                  <w:vAlign w:val="center"/>
                </w:tcPr>
                <w:p>
                  <w:pPr>
                    <w:widowControl/>
                    <w:snapToGrid w:val="0"/>
                    <w:spacing w:line="240" w:lineRule="auto"/>
                    <w:jc w:val="center"/>
                    <w:textAlignment w:val="center"/>
                    <w:rPr>
                      <w:rFonts w:hint="default" w:ascii="Times New Roman" w:hAnsi="Times New Roman" w:cs="Times New Roman"/>
                      <w:color w:val="auto"/>
                      <w:szCs w:val="21"/>
                    </w:rPr>
                  </w:pPr>
                  <w:r>
                    <w:rPr>
                      <w:rFonts w:hint="default" w:ascii="Times New Roman" w:hAnsi="Times New Roman" w:cs="Times New Roman"/>
                      <w:color w:val="auto"/>
                    </w:rPr>
                    <w:t>《声环境质量标准》（GB3096-2008）</w:t>
                  </w:r>
                </w:p>
              </w:tc>
              <w:tc>
                <w:tcPr>
                  <w:tcW w:w="3487" w:type="dxa"/>
                  <w:shd w:val="clear" w:color="auto" w:fill="auto"/>
                  <w:vAlign w:val="center"/>
                </w:tcPr>
                <w:p>
                  <w:pPr>
                    <w:widowControl/>
                    <w:snapToGrid w:val="0"/>
                    <w:spacing w:line="240" w:lineRule="auto"/>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多功能声级计/AWA5688/LJ-075</w:t>
                  </w:r>
                </w:p>
              </w:tc>
            </w:tr>
          </w:tbl>
          <w:p>
            <w:pPr>
              <w:spacing w:line="360" w:lineRule="auto"/>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4.4监测结果</w:t>
            </w:r>
          </w:p>
          <w:p>
            <w:pPr>
              <w:tabs>
                <w:tab w:val="left" w:pos="4425"/>
              </w:tabs>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监测结果见表3-</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lang w:eastAsia="zh-CN"/>
              </w:rPr>
              <w:t>。</w:t>
            </w:r>
          </w:p>
          <w:p>
            <w:pPr>
              <w:adjustRightInd/>
              <w:spacing w:before="156" w:beforeLines="50" w:line="240" w:lineRule="auto"/>
              <w:jc w:val="center"/>
              <w:textAlignment w:val="auto"/>
              <w:rPr>
                <w:rFonts w:hint="default" w:ascii="Times New Roman" w:hAnsi="Times New Roman" w:cs="Times New Roman"/>
                <w:b/>
                <w:color w:val="auto"/>
                <w:kern w:val="2"/>
                <w:sz w:val="24"/>
                <w:szCs w:val="24"/>
              </w:rPr>
            </w:pPr>
            <w:r>
              <w:rPr>
                <w:rFonts w:hint="default" w:ascii="Times New Roman" w:hAnsi="Times New Roman" w:cs="Times New Roman"/>
                <w:b/>
                <w:color w:val="auto"/>
                <w:kern w:val="2"/>
                <w:sz w:val="24"/>
                <w:szCs w:val="24"/>
              </w:rPr>
              <w:t>表3-</w:t>
            </w:r>
            <w:r>
              <w:rPr>
                <w:rFonts w:hint="default" w:ascii="Times New Roman" w:hAnsi="Times New Roman" w:cs="Times New Roman"/>
                <w:b/>
                <w:color w:val="auto"/>
                <w:kern w:val="2"/>
                <w:sz w:val="24"/>
                <w:szCs w:val="24"/>
                <w:lang w:val="en-US" w:eastAsia="zh-CN"/>
              </w:rPr>
              <w:t>7</w:t>
            </w:r>
            <w:r>
              <w:rPr>
                <w:rFonts w:hint="default" w:ascii="Times New Roman" w:hAnsi="Times New Roman" w:cs="Times New Roman"/>
                <w:b/>
                <w:color w:val="auto"/>
                <w:kern w:val="2"/>
                <w:sz w:val="24"/>
                <w:szCs w:val="24"/>
              </w:rPr>
              <w:t xml:space="preserve"> 噪声监测结果一览表  单位：dB（A）</w:t>
            </w:r>
          </w:p>
          <w:tbl>
            <w:tblPr>
              <w:tblStyle w:val="33"/>
              <w:tblW w:w="9094" w:type="dxa"/>
              <w:tblInd w:w="-3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781"/>
              <w:gridCol w:w="773"/>
              <w:gridCol w:w="895"/>
              <w:gridCol w:w="895"/>
              <w:gridCol w:w="902"/>
              <w:gridCol w:w="895"/>
              <w:gridCol w:w="895"/>
              <w:gridCol w:w="895"/>
              <w:gridCol w:w="8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4" w:type="pct"/>
                  <w:vMerge w:val="restar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检测点位</w:t>
                  </w:r>
                </w:p>
              </w:tc>
              <w:tc>
                <w:tcPr>
                  <w:tcW w:w="429" w:type="pct"/>
                  <w:vMerge w:val="restar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3875" w:type="pct"/>
                  <w:gridSpan w:val="8"/>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4" w:type="pct"/>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429" w:type="pct"/>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1905" w:type="pct"/>
                  <w:gridSpan w:val="4"/>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2020年11月11日</w:t>
                  </w:r>
                </w:p>
              </w:tc>
              <w:tc>
                <w:tcPr>
                  <w:tcW w:w="1970" w:type="pct"/>
                  <w:gridSpan w:val="4"/>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2020年11月12日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4" w:type="pct"/>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429" w:type="pct"/>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425" w:type="pc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时间</w:t>
                  </w:r>
                </w:p>
              </w:tc>
              <w:tc>
                <w:tcPr>
                  <w:tcW w:w="492" w:type="pc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492" w:type="pc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时间</w:t>
                  </w:r>
                </w:p>
              </w:tc>
              <w:tc>
                <w:tcPr>
                  <w:tcW w:w="495" w:type="pc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492" w:type="pc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时间</w:t>
                  </w:r>
                </w:p>
              </w:tc>
              <w:tc>
                <w:tcPr>
                  <w:tcW w:w="492" w:type="pc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492" w:type="pc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时间</w:t>
                  </w:r>
                </w:p>
              </w:tc>
              <w:tc>
                <w:tcPr>
                  <w:tcW w:w="494" w:type="pc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4" w:type="pc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1#：东厂界外1m处</w:t>
                  </w:r>
                </w:p>
              </w:tc>
              <w:tc>
                <w:tcPr>
                  <w:tcW w:w="429" w:type="pc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dB(A)</w:t>
                  </w:r>
                </w:p>
              </w:tc>
              <w:tc>
                <w:tcPr>
                  <w:tcW w:w="425" w:type="pc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08:23</w:t>
                  </w:r>
                </w:p>
              </w:tc>
              <w:tc>
                <w:tcPr>
                  <w:tcW w:w="492" w:type="pct"/>
                  <w:tcBorders>
                    <w:tl2br w:val="nil"/>
                    <w:tr2bl w:val="nil"/>
                  </w:tcBorders>
                  <w:noWrap w:val="0"/>
                  <w:vAlign w:val="center"/>
                </w:tcPr>
                <w:p>
                  <w:pPr>
                    <w:spacing w:before="46" w:beforeLines="15" w:after="46" w:afterLines="15"/>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49.6</w:t>
                  </w:r>
                </w:p>
              </w:tc>
              <w:tc>
                <w:tcPr>
                  <w:tcW w:w="492" w:type="pc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22:15</w:t>
                  </w:r>
                </w:p>
              </w:tc>
              <w:tc>
                <w:tcPr>
                  <w:tcW w:w="495" w:type="pct"/>
                  <w:tcBorders>
                    <w:tl2br w:val="nil"/>
                    <w:tr2bl w:val="nil"/>
                  </w:tcBorders>
                  <w:noWrap w:val="0"/>
                  <w:vAlign w:val="center"/>
                </w:tcPr>
                <w:p>
                  <w:pPr>
                    <w:spacing w:before="46" w:beforeLines="15" w:after="46" w:afterLines="15"/>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42.5</w:t>
                  </w:r>
                </w:p>
              </w:tc>
              <w:tc>
                <w:tcPr>
                  <w:tcW w:w="492" w:type="pc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09:07</w:t>
                  </w:r>
                </w:p>
              </w:tc>
              <w:tc>
                <w:tcPr>
                  <w:tcW w:w="492" w:type="pct"/>
                  <w:tcBorders>
                    <w:tl2br w:val="nil"/>
                    <w:tr2bl w:val="nil"/>
                  </w:tcBorders>
                  <w:noWrap w:val="0"/>
                  <w:vAlign w:val="center"/>
                </w:tcPr>
                <w:p>
                  <w:pPr>
                    <w:spacing w:before="46" w:beforeLines="15" w:after="46" w:afterLines="15"/>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52.2</w:t>
                  </w:r>
                </w:p>
              </w:tc>
              <w:tc>
                <w:tcPr>
                  <w:tcW w:w="492" w:type="pc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22:03</w:t>
                  </w:r>
                </w:p>
              </w:tc>
              <w:tc>
                <w:tcPr>
                  <w:tcW w:w="494" w:type="pct"/>
                  <w:tcBorders>
                    <w:tl2br w:val="nil"/>
                    <w:tr2bl w:val="nil"/>
                  </w:tcBorders>
                  <w:noWrap w:val="0"/>
                  <w:vAlign w:val="center"/>
                </w:tcPr>
                <w:p>
                  <w:pPr>
                    <w:spacing w:before="46" w:beforeLines="15" w:after="46" w:afterLines="15"/>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43.0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4" w:type="pc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2#：南厂界外1m处</w:t>
                  </w:r>
                </w:p>
              </w:tc>
              <w:tc>
                <w:tcPr>
                  <w:tcW w:w="429" w:type="pc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dB(A)</w:t>
                  </w:r>
                </w:p>
              </w:tc>
              <w:tc>
                <w:tcPr>
                  <w:tcW w:w="425" w:type="pc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08:33</w:t>
                  </w:r>
                </w:p>
              </w:tc>
              <w:tc>
                <w:tcPr>
                  <w:tcW w:w="492" w:type="pct"/>
                  <w:tcBorders>
                    <w:tl2br w:val="nil"/>
                    <w:tr2bl w:val="nil"/>
                  </w:tcBorders>
                  <w:noWrap w:val="0"/>
                  <w:vAlign w:val="center"/>
                </w:tcPr>
                <w:p>
                  <w:pPr>
                    <w:spacing w:before="46" w:beforeLines="15" w:after="46" w:afterLines="15"/>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51.8</w:t>
                  </w:r>
                </w:p>
              </w:tc>
              <w:tc>
                <w:tcPr>
                  <w:tcW w:w="492" w:type="pc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22:23</w:t>
                  </w:r>
                </w:p>
              </w:tc>
              <w:tc>
                <w:tcPr>
                  <w:tcW w:w="495" w:type="pct"/>
                  <w:tcBorders>
                    <w:tl2br w:val="nil"/>
                    <w:tr2bl w:val="nil"/>
                  </w:tcBorders>
                  <w:noWrap w:val="0"/>
                  <w:vAlign w:val="center"/>
                </w:tcPr>
                <w:p>
                  <w:pPr>
                    <w:spacing w:before="46" w:beforeLines="15" w:after="46" w:afterLines="15"/>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40.8</w:t>
                  </w:r>
                </w:p>
              </w:tc>
              <w:tc>
                <w:tcPr>
                  <w:tcW w:w="492" w:type="pc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09:15</w:t>
                  </w:r>
                </w:p>
              </w:tc>
              <w:tc>
                <w:tcPr>
                  <w:tcW w:w="492" w:type="pct"/>
                  <w:tcBorders>
                    <w:tl2br w:val="nil"/>
                    <w:tr2bl w:val="nil"/>
                  </w:tcBorders>
                  <w:noWrap w:val="0"/>
                  <w:vAlign w:val="center"/>
                </w:tcPr>
                <w:p>
                  <w:pPr>
                    <w:spacing w:before="46" w:beforeLines="15" w:after="46" w:afterLines="15"/>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50.3</w:t>
                  </w:r>
                </w:p>
              </w:tc>
              <w:tc>
                <w:tcPr>
                  <w:tcW w:w="492" w:type="pc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22:15</w:t>
                  </w:r>
                </w:p>
              </w:tc>
              <w:tc>
                <w:tcPr>
                  <w:tcW w:w="494" w:type="pct"/>
                  <w:tcBorders>
                    <w:tl2br w:val="nil"/>
                    <w:tr2bl w:val="nil"/>
                  </w:tcBorders>
                  <w:noWrap w:val="0"/>
                  <w:vAlign w:val="center"/>
                </w:tcPr>
                <w:p>
                  <w:pPr>
                    <w:spacing w:before="46" w:beforeLines="15" w:after="46" w:afterLines="15"/>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44.2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4" w:type="pct"/>
                  <w:tcBorders>
                    <w:tl2br w:val="nil"/>
                    <w:tr2bl w:val="nil"/>
                  </w:tcBorders>
                  <w:noWrap w:val="0"/>
                  <w:vAlign w:val="center"/>
                </w:tcPr>
                <w:p>
                  <w:pPr>
                    <w:spacing w:before="36" w:after="36"/>
                    <w:jc w:val="center"/>
                    <w:rPr>
                      <w:rFonts w:hint="default" w:ascii="Times New Roman" w:hAnsi="Times New Roman" w:cs="Times New Roman"/>
                      <w:color w:val="auto"/>
                      <w:szCs w:val="21"/>
                    </w:rPr>
                  </w:pPr>
                  <w:r>
                    <w:rPr>
                      <w:rFonts w:hint="default" w:ascii="Times New Roman" w:hAnsi="Times New Roman" w:cs="Times New Roman"/>
                      <w:color w:val="auto"/>
                      <w:szCs w:val="21"/>
                    </w:rPr>
                    <w:t>3#：西厂界外1m处</w:t>
                  </w:r>
                </w:p>
              </w:tc>
              <w:tc>
                <w:tcPr>
                  <w:tcW w:w="429" w:type="pct"/>
                  <w:tcBorders>
                    <w:tl2br w:val="nil"/>
                    <w:tr2bl w:val="nil"/>
                  </w:tcBorders>
                  <w:noWrap w:val="0"/>
                  <w:vAlign w:val="center"/>
                </w:tcPr>
                <w:p>
                  <w:pPr>
                    <w:spacing w:before="36" w:after="36"/>
                    <w:jc w:val="center"/>
                    <w:rPr>
                      <w:rFonts w:hint="default" w:ascii="Times New Roman" w:hAnsi="Times New Roman" w:cs="Times New Roman"/>
                      <w:color w:val="auto"/>
                      <w:szCs w:val="21"/>
                    </w:rPr>
                  </w:pPr>
                  <w:r>
                    <w:rPr>
                      <w:rFonts w:hint="default" w:ascii="Times New Roman" w:hAnsi="Times New Roman" w:cs="Times New Roman"/>
                      <w:color w:val="auto"/>
                      <w:szCs w:val="21"/>
                    </w:rPr>
                    <w:t>dB(A)</w:t>
                  </w:r>
                </w:p>
              </w:tc>
              <w:tc>
                <w:tcPr>
                  <w:tcW w:w="425" w:type="pct"/>
                  <w:tcBorders>
                    <w:tl2br w:val="nil"/>
                    <w:tr2bl w:val="nil"/>
                  </w:tcBorders>
                  <w:noWrap w:val="0"/>
                  <w:vAlign w:val="center"/>
                </w:tcPr>
                <w:p>
                  <w:pPr>
                    <w:spacing w:before="36" w:after="36"/>
                    <w:jc w:val="center"/>
                    <w:rPr>
                      <w:rFonts w:hint="default" w:ascii="Times New Roman" w:hAnsi="Times New Roman" w:cs="Times New Roman"/>
                      <w:color w:val="auto"/>
                      <w:szCs w:val="21"/>
                    </w:rPr>
                  </w:pPr>
                  <w:r>
                    <w:rPr>
                      <w:rFonts w:hint="default" w:ascii="Times New Roman" w:hAnsi="Times New Roman" w:cs="Times New Roman"/>
                      <w:color w:val="auto"/>
                      <w:szCs w:val="21"/>
                    </w:rPr>
                    <w:t>08:44</w:t>
                  </w:r>
                </w:p>
              </w:tc>
              <w:tc>
                <w:tcPr>
                  <w:tcW w:w="492" w:type="pct"/>
                  <w:tcBorders>
                    <w:tl2br w:val="nil"/>
                    <w:tr2bl w:val="nil"/>
                  </w:tcBorders>
                  <w:noWrap w:val="0"/>
                  <w:vAlign w:val="center"/>
                </w:tcPr>
                <w:p>
                  <w:pPr>
                    <w:spacing w:before="46" w:beforeLines="15" w:after="46" w:afterLines="15"/>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49.7</w:t>
                  </w:r>
                </w:p>
              </w:tc>
              <w:tc>
                <w:tcPr>
                  <w:tcW w:w="492" w:type="pct"/>
                  <w:tcBorders>
                    <w:tl2br w:val="nil"/>
                    <w:tr2bl w:val="nil"/>
                  </w:tcBorders>
                  <w:noWrap w:val="0"/>
                  <w:vAlign w:val="center"/>
                </w:tcPr>
                <w:p>
                  <w:pPr>
                    <w:spacing w:before="36" w:after="36"/>
                    <w:jc w:val="center"/>
                    <w:rPr>
                      <w:rFonts w:hint="default" w:ascii="Times New Roman" w:hAnsi="Times New Roman" w:cs="Times New Roman"/>
                      <w:color w:val="auto"/>
                      <w:szCs w:val="21"/>
                    </w:rPr>
                  </w:pPr>
                  <w:r>
                    <w:rPr>
                      <w:rFonts w:hint="default" w:ascii="Times New Roman" w:hAnsi="Times New Roman" w:cs="Times New Roman"/>
                      <w:color w:val="auto"/>
                      <w:szCs w:val="21"/>
                    </w:rPr>
                    <w:t>22:32</w:t>
                  </w:r>
                </w:p>
              </w:tc>
              <w:tc>
                <w:tcPr>
                  <w:tcW w:w="495" w:type="pct"/>
                  <w:tcBorders>
                    <w:tl2br w:val="nil"/>
                    <w:tr2bl w:val="nil"/>
                  </w:tcBorders>
                  <w:noWrap w:val="0"/>
                  <w:vAlign w:val="center"/>
                </w:tcPr>
                <w:p>
                  <w:pPr>
                    <w:spacing w:before="46" w:beforeLines="15" w:after="46" w:afterLines="15"/>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41.5</w:t>
                  </w:r>
                </w:p>
              </w:tc>
              <w:tc>
                <w:tcPr>
                  <w:tcW w:w="492" w:type="pct"/>
                  <w:tcBorders>
                    <w:tl2br w:val="nil"/>
                    <w:tr2bl w:val="nil"/>
                  </w:tcBorders>
                  <w:noWrap w:val="0"/>
                  <w:vAlign w:val="center"/>
                </w:tcPr>
                <w:p>
                  <w:pPr>
                    <w:spacing w:before="36" w:after="36"/>
                    <w:jc w:val="center"/>
                    <w:rPr>
                      <w:rFonts w:hint="default" w:ascii="Times New Roman" w:hAnsi="Times New Roman" w:cs="Times New Roman"/>
                      <w:color w:val="auto"/>
                      <w:szCs w:val="21"/>
                    </w:rPr>
                  </w:pPr>
                  <w:r>
                    <w:rPr>
                      <w:rFonts w:hint="default" w:ascii="Times New Roman" w:hAnsi="Times New Roman" w:cs="Times New Roman"/>
                      <w:color w:val="auto"/>
                      <w:szCs w:val="21"/>
                    </w:rPr>
                    <w:t>09:23</w:t>
                  </w:r>
                </w:p>
              </w:tc>
              <w:tc>
                <w:tcPr>
                  <w:tcW w:w="492" w:type="pct"/>
                  <w:tcBorders>
                    <w:tl2br w:val="nil"/>
                    <w:tr2bl w:val="nil"/>
                  </w:tcBorders>
                  <w:noWrap w:val="0"/>
                  <w:vAlign w:val="center"/>
                </w:tcPr>
                <w:p>
                  <w:pPr>
                    <w:spacing w:before="46" w:beforeLines="15" w:after="46" w:afterLines="15"/>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48.8</w:t>
                  </w:r>
                </w:p>
              </w:tc>
              <w:tc>
                <w:tcPr>
                  <w:tcW w:w="492" w:type="pct"/>
                  <w:tcBorders>
                    <w:tl2br w:val="nil"/>
                    <w:tr2bl w:val="nil"/>
                  </w:tcBorders>
                  <w:noWrap w:val="0"/>
                  <w:vAlign w:val="center"/>
                </w:tcPr>
                <w:p>
                  <w:pPr>
                    <w:spacing w:before="36" w:after="36"/>
                    <w:jc w:val="center"/>
                    <w:rPr>
                      <w:rFonts w:hint="default" w:ascii="Times New Roman" w:hAnsi="Times New Roman" w:cs="Times New Roman"/>
                      <w:color w:val="auto"/>
                      <w:szCs w:val="21"/>
                    </w:rPr>
                  </w:pPr>
                  <w:r>
                    <w:rPr>
                      <w:rFonts w:hint="default" w:ascii="Times New Roman" w:hAnsi="Times New Roman" w:cs="Times New Roman"/>
                      <w:color w:val="auto"/>
                      <w:szCs w:val="21"/>
                    </w:rPr>
                    <w:t>22:24</w:t>
                  </w:r>
                </w:p>
              </w:tc>
              <w:tc>
                <w:tcPr>
                  <w:tcW w:w="494" w:type="pct"/>
                  <w:tcBorders>
                    <w:tl2br w:val="nil"/>
                    <w:tr2bl w:val="nil"/>
                  </w:tcBorders>
                  <w:noWrap w:val="0"/>
                  <w:vAlign w:val="center"/>
                </w:tcPr>
                <w:p>
                  <w:pPr>
                    <w:spacing w:before="46" w:beforeLines="15" w:after="46" w:afterLines="15"/>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41.6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4" w:type="pct"/>
                  <w:tcBorders>
                    <w:tl2br w:val="nil"/>
                    <w:tr2bl w:val="nil"/>
                  </w:tcBorders>
                  <w:noWrap w:val="0"/>
                  <w:vAlign w:val="center"/>
                </w:tcPr>
                <w:p>
                  <w:pPr>
                    <w:spacing w:before="36" w:after="36"/>
                    <w:jc w:val="center"/>
                    <w:rPr>
                      <w:rFonts w:hint="default" w:ascii="Times New Roman" w:hAnsi="Times New Roman" w:cs="Times New Roman"/>
                      <w:color w:val="auto"/>
                      <w:szCs w:val="21"/>
                    </w:rPr>
                  </w:pPr>
                  <w:r>
                    <w:rPr>
                      <w:rFonts w:hint="default" w:ascii="Times New Roman" w:hAnsi="Times New Roman" w:cs="Times New Roman"/>
                      <w:color w:val="auto"/>
                      <w:szCs w:val="21"/>
                    </w:rPr>
                    <w:t>4#：北厂界外1m处</w:t>
                  </w:r>
                </w:p>
              </w:tc>
              <w:tc>
                <w:tcPr>
                  <w:tcW w:w="429" w:type="pct"/>
                  <w:tcBorders>
                    <w:tl2br w:val="nil"/>
                    <w:tr2bl w:val="nil"/>
                  </w:tcBorders>
                  <w:noWrap w:val="0"/>
                  <w:vAlign w:val="center"/>
                </w:tcPr>
                <w:p>
                  <w:pPr>
                    <w:spacing w:before="36" w:after="36"/>
                    <w:jc w:val="center"/>
                    <w:rPr>
                      <w:rFonts w:hint="default" w:ascii="Times New Roman" w:hAnsi="Times New Roman" w:cs="Times New Roman"/>
                      <w:color w:val="auto"/>
                      <w:szCs w:val="21"/>
                    </w:rPr>
                  </w:pPr>
                  <w:r>
                    <w:rPr>
                      <w:rFonts w:hint="default" w:ascii="Times New Roman" w:hAnsi="Times New Roman" w:cs="Times New Roman"/>
                      <w:color w:val="auto"/>
                      <w:szCs w:val="21"/>
                    </w:rPr>
                    <w:t>dB(A)</w:t>
                  </w:r>
                </w:p>
              </w:tc>
              <w:tc>
                <w:tcPr>
                  <w:tcW w:w="425" w:type="pct"/>
                  <w:tcBorders>
                    <w:tl2br w:val="nil"/>
                    <w:tr2bl w:val="nil"/>
                  </w:tcBorders>
                  <w:noWrap w:val="0"/>
                  <w:vAlign w:val="center"/>
                </w:tcPr>
                <w:p>
                  <w:pPr>
                    <w:spacing w:before="36" w:after="36"/>
                    <w:jc w:val="center"/>
                    <w:rPr>
                      <w:rFonts w:hint="default" w:ascii="Times New Roman" w:hAnsi="Times New Roman" w:cs="Times New Roman"/>
                      <w:color w:val="auto"/>
                      <w:szCs w:val="21"/>
                    </w:rPr>
                  </w:pPr>
                  <w:r>
                    <w:rPr>
                      <w:rFonts w:hint="default" w:ascii="Times New Roman" w:hAnsi="Times New Roman" w:cs="Times New Roman"/>
                      <w:color w:val="auto"/>
                      <w:szCs w:val="21"/>
                    </w:rPr>
                    <w:t>08:51</w:t>
                  </w:r>
                </w:p>
              </w:tc>
              <w:tc>
                <w:tcPr>
                  <w:tcW w:w="492" w:type="pct"/>
                  <w:tcBorders>
                    <w:tl2br w:val="nil"/>
                    <w:tr2bl w:val="nil"/>
                  </w:tcBorders>
                  <w:noWrap w:val="0"/>
                  <w:vAlign w:val="center"/>
                </w:tcPr>
                <w:p>
                  <w:pPr>
                    <w:spacing w:before="46" w:beforeLines="15" w:after="46" w:afterLines="15"/>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52.3</w:t>
                  </w:r>
                </w:p>
              </w:tc>
              <w:tc>
                <w:tcPr>
                  <w:tcW w:w="492" w:type="pct"/>
                  <w:tcBorders>
                    <w:tl2br w:val="nil"/>
                    <w:tr2bl w:val="nil"/>
                  </w:tcBorders>
                  <w:noWrap w:val="0"/>
                  <w:vAlign w:val="center"/>
                </w:tcPr>
                <w:p>
                  <w:pPr>
                    <w:spacing w:before="36" w:after="36"/>
                    <w:jc w:val="center"/>
                    <w:rPr>
                      <w:rFonts w:hint="default" w:ascii="Times New Roman" w:hAnsi="Times New Roman" w:cs="Times New Roman"/>
                      <w:color w:val="auto"/>
                      <w:szCs w:val="21"/>
                    </w:rPr>
                  </w:pPr>
                  <w:r>
                    <w:rPr>
                      <w:rFonts w:hint="default" w:ascii="Times New Roman" w:hAnsi="Times New Roman" w:cs="Times New Roman"/>
                      <w:color w:val="auto"/>
                      <w:szCs w:val="21"/>
                    </w:rPr>
                    <w:t>22:43</w:t>
                  </w:r>
                </w:p>
              </w:tc>
              <w:tc>
                <w:tcPr>
                  <w:tcW w:w="495" w:type="pct"/>
                  <w:tcBorders>
                    <w:tl2br w:val="nil"/>
                    <w:tr2bl w:val="nil"/>
                  </w:tcBorders>
                  <w:noWrap w:val="0"/>
                  <w:vAlign w:val="center"/>
                </w:tcPr>
                <w:p>
                  <w:pPr>
                    <w:spacing w:before="46" w:beforeLines="15" w:after="46" w:afterLines="15"/>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43.3</w:t>
                  </w:r>
                </w:p>
              </w:tc>
              <w:tc>
                <w:tcPr>
                  <w:tcW w:w="492" w:type="pct"/>
                  <w:tcBorders>
                    <w:tl2br w:val="nil"/>
                    <w:tr2bl w:val="nil"/>
                  </w:tcBorders>
                  <w:noWrap w:val="0"/>
                  <w:vAlign w:val="center"/>
                </w:tcPr>
                <w:p>
                  <w:pPr>
                    <w:spacing w:before="36" w:after="36"/>
                    <w:jc w:val="center"/>
                    <w:rPr>
                      <w:rFonts w:hint="default" w:ascii="Times New Roman" w:hAnsi="Times New Roman" w:cs="Times New Roman"/>
                      <w:color w:val="auto"/>
                      <w:szCs w:val="21"/>
                    </w:rPr>
                  </w:pPr>
                  <w:r>
                    <w:rPr>
                      <w:rFonts w:hint="default" w:ascii="Times New Roman" w:hAnsi="Times New Roman" w:cs="Times New Roman"/>
                      <w:color w:val="auto"/>
                      <w:szCs w:val="21"/>
                    </w:rPr>
                    <w:t>09:35</w:t>
                  </w:r>
                </w:p>
              </w:tc>
              <w:tc>
                <w:tcPr>
                  <w:tcW w:w="492" w:type="pct"/>
                  <w:tcBorders>
                    <w:tl2br w:val="nil"/>
                    <w:tr2bl w:val="nil"/>
                  </w:tcBorders>
                  <w:noWrap w:val="0"/>
                  <w:vAlign w:val="center"/>
                </w:tcPr>
                <w:p>
                  <w:pPr>
                    <w:spacing w:before="46" w:beforeLines="15" w:after="46" w:afterLines="15"/>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51.5</w:t>
                  </w:r>
                </w:p>
              </w:tc>
              <w:tc>
                <w:tcPr>
                  <w:tcW w:w="492" w:type="pct"/>
                  <w:tcBorders>
                    <w:tl2br w:val="nil"/>
                    <w:tr2bl w:val="nil"/>
                  </w:tcBorders>
                  <w:noWrap w:val="0"/>
                  <w:vAlign w:val="center"/>
                </w:tcPr>
                <w:p>
                  <w:pPr>
                    <w:spacing w:before="36" w:after="36"/>
                    <w:jc w:val="center"/>
                    <w:rPr>
                      <w:rFonts w:hint="default" w:ascii="Times New Roman" w:hAnsi="Times New Roman" w:cs="Times New Roman"/>
                      <w:color w:val="auto"/>
                      <w:szCs w:val="21"/>
                    </w:rPr>
                  </w:pPr>
                  <w:r>
                    <w:rPr>
                      <w:rFonts w:hint="default" w:ascii="Times New Roman" w:hAnsi="Times New Roman" w:cs="Times New Roman"/>
                      <w:color w:val="auto"/>
                      <w:szCs w:val="21"/>
                    </w:rPr>
                    <w:t>22:32</w:t>
                  </w:r>
                </w:p>
              </w:tc>
              <w:tc>
                <w:tcPr>
                  <w:tcW w:w="494" w:type="pct"/>
                  <w:tcBorders>
                    <w:tl2br w:val="nil"/>
                    <w:tr2bl w:val="nil"/>
                  </w:tcBorders>
                  <w:noWrap w:val="0"/>
                  <w:vAlign w:val="center"/>
                </w:tcPr>
                <w:p>
                  <w:pPr>
                    <w:spacing w:before="46" w:beforeLines="15" w:after="46" w:afterLines="15"/>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42.7</w:t>
                  </w:r>
                </w:p>
              </w:tc>
            </w:tr>
          </w:tbl>
          <w:p>
            <w:pPr>
              <w:pStyle w:val="41"/>
              <w:rPr>
                <w:rFonts w:hint="default" w:ascii="Times New Roman" w:hAnsi="Times New Roman" w:cs="Times New Roman"/>
                <w:color w:val="auto"/>
              </w:rPr>
            </w:pPr>
          </w:p>
          <w:p>
            <w:pPr>
              <w:spacing w:line="360" w:lineRule="auto"/>
              <w:ind w:firstLine="480" w:firstLineChars="200"/>
              <w:jc w:val="left"/>
              <w:rPr>
                <w:rFonts w:hint="default" w:ascii="Times New Roman" w:hAnsi="Times New Roman" w:cs="Times New Roman"/>
                <w:color w:val="auto"/>
                <w:sz w:val="24"/>
                <w:szCs w:val="22"/>
              </w:rPr>
            </w:pPr>
            <w:r>
              <w:rPr>
                <w:rFonts w:hint="default" w:ascii="Times New Roman" w:hAnsi="Times New Roman" w:cs="Times New Roman"/>
                <w:color w:val="auto"/>
                <w:sz w:val="24"/>
                <w:szCs w:val="22"/>
              </w:rPr>
              <w:t>根据表可知，厂界噪声值均满足《声环境质量标准》(GB3096-2008)中2类标准要求，</w:t>
            </w:r>
            <w:r>
              <w:rPr>
                <w:rFonts w:hint="default" w:ascii="Times New Roman" w:hAnsi="Times New Roman" w:cs="Times New Roman"/>
                <w:color w:val="auto"/>
                <w:sz w:val="24"/>
                <w:szCs w:val="22"/>
                <w:lang w:val="en-US" w:eastAsia="zh-CN"/>
              </w:rPr>
              <w:t>同时</w:t>
            </w:r>
            <w:r>
              <w:rPr>
                <w:rFonts w:hint="default" w:ascii="Times New Roman" w:hAnsi="Times New Roman" w:cs="Times New Roman"/>
                <w:color w:val="auto"/>
                <w:sz w:val="24"/>
                <w:szCs w:val="22"/>
              </w:rPr>
              <w:t>噪声满足《工业企业厂界环境噪声排放标准》（GB12348-2008）2类。</w:t>
            </w:r>
          </w:p>
          <w:p>
            <w:pPr>
              <w:spacing w:line="360" w:lineRule="auto"/>
              <w:jc w:val="left"/>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5、土壤</w:t>
            </w:r>
          </w:p>
          <w:p>
            <w:pPr>
              <w:spacing w:line="360" w:lineRule="auto"/>
              <w:ind w:firstLine="480" w:firstLineChars="200"/>
              <w:jc w:val="left"/>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土壤现状引用黑龙江金坤醐环境检测有限公司，2020年8月对同江市城市生活垃圾处理厂土壤现状检测数据。共布设14个土壤监测点，监测方法及监测仪器，监测布点图见附件。监测结果见表3-8、3-9，</w:t>
            </w:r>
          </w:p>
          <w:p>
            <w:pPr>
              <w:pStyle w:val="2"/>
              <w:rPr>
                <w:rFonts w:hint="default" w:ascii="Times New Roman" w:hAnsi="Times New Roman" w:eastAsia="宋体" w:cs="Times New Roman"/>
                <w:color w:val="auto"/>
                <w:sz w:val="24"/>
                <w:szCs w:val="22"/>
                <w:lang w:val="en-US" w:eastAsia="zh-CN"/>
              </w:rPr>
            </w:pPr>
            <w:r>
              <w:rPr>
                <w:rFonts w:hint="default" w:ascii="Times New Roman" w:hAnsi="Times New Roman" w:cs="Times New Roman"/>
                <w:color w:val="auto"/>
                <w:sz w:val="24"/>
                <w:szCs w:val="22"/>
                <w:lang w:val="en-US" w:eastAsia="zh-CN"/>
              </w:rPr>
              <w:t>土壤环境质量现状评价采用标准指数法。评价结果见表3-10、3-11，评价结果显示，土壤监测无超标点，满足</w:t>
            </w:r>
            <w:r>
              <w:rPr>
                <w:rFonts w:hint="default" w:ascii="Times New Roman" w:hAnsi="Times New Roman" w:eastAsia="宋体" w:cs="Times New Roman"/>
                <w:b w:val="0"/>
                <w:bCs/>
                <w:color w:val="auto"/>
                <w:szCs w:val="22"/>
              </w:rPr>
              <w:t>《土壤环境质量 建设用地土壤污染风险管控标准（试行）》（GB36600-2018）</w:t>
            </w:r>
            <w:r>
              <w:rPr>
                <w:rFonts w:hint="default" w:ascii="Times New Roman" w:hAnsi="Times New Roman" w:cs="Times New Roman"/>
                <w:b w:val="0"/>
                <w:bCs/>
                <w:color w:val="auto"/>
                <w:szCs w:val="22"/>
                <w:lang w:eastAsia="zh-CN"/>
              </w:rPr>
              <w:t>。</w:t>
            </w:r>
          </w:p>
          <w:p>
            <w:pPr>
              <w:pStyle w:val="2"/>
              <w:rPr>
                <w:rFonts w:hint="default" w:ascii="Times New Roman" w:hAnsi="Times New Roman" w:cs="Times New Roman"/>
                <w:color w:val="auto"/>
                <w:sz w:val="24"/>
                <w:szCs w:val="22"/>
                <w:lang w:val="en-US" w:eastAsia="zh-CN"/>
              </w:rPr>
            </w:pPr>
          </w:p>
          <w:p>
            <w:pPr>
              <w:pStyle w:val="2"/>
              <w:rPr>
                <w:rFonts w:hint="default" w:ascii="Times New Roman" w:hAnsi="Times New Roman" w:cs="Times New Roman"/>
                <w:color w:val="auto"/>
                <w:sz w:val="24"/>
                <w:szCs w:val="22"/>
                <w:lang w:val="en-US" w:eastAsia="zh-CN"/>
              </w:rPr>
            </w:pPr>
          </w:p>
          <w:p>
            <w:pPr>
              <w:pStyle w:val="2"/>
              <w:rPr>
                <w:rFonts w:hint="default" w:ascii="Times New Roman" w:hAnsi="Times New Roman" w:cs="Times New Roman"/>
                <w:color w:val="auto"/>
                <w:sz w:val="24"/>
                <w:szCs w:val="22"/>
                <w:lang w:val="en-US" w:eastAsia="zh-CN"/>
              </w:rPr>
            </w:pPr>
          </w:p>
          <w:p>
            <w:pPr>
              <w:pStyle w:val="2"/>
              <w:rPr>
                <w:rFonts w:hint="default" w:ascii="Times New Roman" w:hAnsi="Times New Roman" w:cs="Times New Roman"/>
                <w:color w:val="auto"/>
                <w:sz w:val="24"/>
                <w:szCs w:val="22"/>
                <w:lang w:val="en-US" w:eastAsia="zh-CN"/>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tc>
      </w:tr>
    </w:tbl>
    <w:p>
      <w:pPr>
        <w:pStyle w:val="3"/>
        <w:keepNext w:val="0"/>
        <w:keepLines w:val="0"/>
        <w:spacing w:after="0" w:line="240" w:lineRule="auto"/>
        <w:jc w:val="left"/>
        <w:rPr>
          <w:rFonts w:hint="default" w:ascii="Times New Roman" w:hAnsi="Times New Roman" w:cs="Times New Roman"/>
          <w:color w:val="auto"/>
        </w:rPr>
        <w:sectPr>
          <w:headerReference r:id="rId10" w:type="first"/>
          <w:footerReference r:id="rId11" w:type="first"/>
          <w:pgSz w:w="11907" w:h="16839"/>
          <w:pgMar w:top="1800" w:right="1440" w:bottom="1800" w:left="1440" w:header="851" w:footer="992" w:gutter="0"/>
          <w:pgBorders>
            <w:top w:val="none" w:sz="0" w:space="0"/>
            <w:left w:val="none" w:sz="0" w:space="0"/>
            <w:bottom w:val="none" w:sz="0" w:space="0"/>
            <w:right w:val="none" w:sz="0" w:space="0"/>
          </w:pgBorders>
          <w:cols w:space="720" w:num="1"/>
          <w:docGrid w:type="linesAndChars" w:linePitch="312" w:charSpace="0"/>
        </w:sectPr>
      </w:pPr>
      <w:bookmarkStart w:id="3" w:name="_Toc25154383"/>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5" w:type="dxa"/>
          </w:tcPr>
          <w:p>
            <w:pPr>
              <w:rPr>
                <w:rFonts w:hint="default" w:ascii="Times New Roman" w:hAnsi="Times New Roman" w:cs="Times New Roman"/>
                <w:color w:val="auto"/>
              </w:rPr>
            </w:pPr>
          </w:p>
          <w:p>
            <w:pPr>
              <w:pStyle w:val="2"/>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cs="Times New Roman"/>
                <w:b/>
                <w:bCs/>
                <w:color w:val="auto"/>
                <w:vertAlign w:val="baseline"/>
                <w:lang w:val="en-US" w:eastAsia="zh-CN"/>
              </w:rPr>
              <w:t>表3-8土壤1-7号监测点监测结果</w:t>
            </w:r>
          </w:p>
          <w:tbl>
            <w:tblPr>
              <w:tblStyle w:val="33"/>
              <w:tblW w:w="13236"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51"/>
              <w:gridCol w:w="1660"/>
              <w:gridCol w:w="1080"/>
              <w:gridCol w:w="1525"/>
              <w:gridCol w:w="1390"/>
              <w:gridCol w:w="1390"/>
              <w:gridCol w:w="1406"/>
              <w:gridCol w:w="1016"/>
              <w:gridCol w:w="1133"/>
              <w:gridCol w:w="942"/>
              <w:gridCol w:w="94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0"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序号</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检测项目</w:t>
                  </w:r>
                </w:p>
              </w:tc>
              <w:tc>
                <w:tcPr>
                  <w:tcW w:w="392"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方法检出限</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Tl（厂界东侧）</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T2（厂界南侧）</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T3（</w:t>
                  </w:r>
                  <w:r>
                    <w:rPr>
                      <w:rStyle w:val="133"/>
                      <w:rFonts w:hint="default" w:ascii="Times New Roman" w:hAnsi="Times New Roman" w:eastAsia="宋体" w:cs="Times New Roman"/>
                      <w:color w:val="auto"/>
                      <w:sz w:val="21"/>
                      <w:szCs w:val="21"/>
                      <w:lang w:val="en-US" w:eastAsia="zh-CN" w:bidi="ar"/>
                    </w:rPr>
                    <w:t xml:space="preserve"> </w:t>
                  </w:r>
                  <w:r>
                    <w:rPr>
                      <w:rFonts w:hint="default" w:ascii="Times New Roman" w:hAnsi="Times New Roman" w:eastAsia="宋体" w:cs="Times New Roman"/>
                      <w:i w:val="0"/>
                      <w:color w:val="auto"/>
                      <w:kern w:val="0"/>
                      <w:sz w:val="21"/>
                      <w:szCs w:val="21"/>
                      <w:u w:val="none"/>
                      <w:lang w:val="en-US" w:eastAsia="zh-CN" w:bidi="ar"/>
                    </w:rPr>
                    <w:t>厂界西侧）</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T4（厂界北侧）</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T5（垃圾填埋场）</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T5（办公区）</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T7(污水处理站东侧）</w:t>
                  </w:r>
                </w:p>
              </w:tc>
              <w:tc>
                <w:tcPr>
                  <w:tcW w:w="357"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单位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pH*</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7.05</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7.3</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7.42</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7.06</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7.43</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7.43</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7.7</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无量纲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铜</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30</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31</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29</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32</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15</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50</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22</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镍</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31</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33</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65</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33</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14</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72</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90</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六价铬</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0.5</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汞</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0.002</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0.055</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0.031</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0.161</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0.05</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0.107</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0.032</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砷</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0.01</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9.01</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9.18</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8.61</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8.48</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7.5</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5.56</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5.27</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铅</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68.4</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50.5</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53.2</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33.3</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36</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34.6</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32.7</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镉</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0.01</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0.17</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0.13</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0.13</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0.09</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0.17</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0.08</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0.08</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9</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硒</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0.01</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0.083</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0.054</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0.071</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0.082</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0.073</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0.065</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0.064</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10</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锑</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0.01</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0.283</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0.252</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0.373</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0.305</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0.295</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0.322</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0.316</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锌</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46</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38</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56</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74</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60</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29</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89</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钴</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1.69</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4.23</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3.25</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5.28</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4.32</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6.13</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4.27</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4.29</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13</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钒</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0.4</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58.4</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55.7</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63.8</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65.5</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56.3</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55.1</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59.6</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14</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铊</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0.4</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15</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钼</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0.05</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0.68</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0.66</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0.57</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0.53</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0.42</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0.63</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0.54</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16</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氯甲烷</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17</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氯乙烯</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18</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 二氯乙烯</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19</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二氯甲烷</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1.5</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反-1,2-二氯乙烯</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1.4</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21</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1,1-二氯乙烷</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22</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顺-1,2-二氯乙烯</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1.3</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23</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氯 仿</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24</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1,1,1-三氯乙烷</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1.3</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25</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四氯化碳</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1.3</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26</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苯</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1.9</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27</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 二氯乙烷</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1.3</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28</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三氯乙烯</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29</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 二氯 丙烷</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30</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甲苯</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1.3</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31</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1,1,2-三氯乙烷</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32</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四氯乙烯</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1.4</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33</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氯苯</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34</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乙苯</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1,1,1,2-四氯乙烷</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36</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对，间二甲苯</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37</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邻二甲苯</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38</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苯乙烯</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39</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1,1,2,2-四氯乙烷</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40</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1,2,3-三氯丙烷</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41</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1,4-二氯苯</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1.5</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42</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1,2-二氯苯</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1.5</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43</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苯胺</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44</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2-氯苯酚</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0.06</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45</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硝基苯</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0.09</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46</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苯并[a]蔥</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47</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苯并[a]芘</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48</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苯并[b]荧蔥</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0.2</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49</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苯并[k]荧蔥</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50</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䓛</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苗并[1,2,3-cd]芘</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52</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萘</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0.09</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53</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二苯并[a,h]蔥</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54</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二噁英</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1.3</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0.43</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0.94</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2.4</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0.35</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0.66</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ngTEQ/kg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55</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锰</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0.02</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469</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426</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452</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405</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429</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384</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483</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85"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56</w:t>
                  </w:r>
                </w:p>
              </w:tc>
              <w:tc>
                <w:tcPr>
                  <w:tcW w:w="628"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铍</w:t>
                  </w:r>
                </w:p>
              </w:tc>
              <w:tc>
                <w:tcPr>
                  <w:tcW w:w="39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w:t>
                  </w:r>
                </w:p>
              </w:tc>
              <w:tc>
                <w:tcPr>
                  <w:tcW w:w="57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1.02</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0.83</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1.52</w:t>
                  </w:r>
                </w:p>
              </w:tc>
              <w:tc>
                <w:tcPr>
                  <w:tcW w:w="532"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1.09</w:t>
                  </w:r>
                </w:p>
              </w:tc>
              <w:tc>
                <w:tcPr>
                  <w:tcW w:w="385"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1.37</w:t>
                  </w:r>
                </w:p>
              </w:tc>
              <w:tc>
                <w:tcPr>
                  <w:tcW w:w="429"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1.68</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0.86</w:t>
                  </w:r>
                </w:p>
              </w:tc>
              <w:tc>
                <w:tcPr>
                  <w:tcW w:w="357"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bl>
          <w:p>
            <w:pPr>
              <w:pStyle w:val="2"/>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cs="Times New Roman"/>
                <w:b/>
                <w:bCs/>
                <w:color w:val="auto"/>
                <w:vertAlign w:val="baseline"/>
                <w:lang w:val="en-US" w:eastAsia="zh-CN"/>
              </w:rPr>
              <w:t>表3-9土壤8-14号监测点监测结果</w:t>
            </w:r>
          </w:p>
          <w:tbl>
            <w:tblPr>
              <w:tblStyle w:val="33"/>
              <w:tblW w:w="1323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53"/>
              <w:gridCol w:w="1662"/>
              <w:gridCol w:w="1080"/>
              <w:gridCol w:w="1498"/>
              <w:gridCol w:w="1408"/>
              <w:gridCol w:w="1392"/>
              <w:gridCol w:w="1437"/>
              <w:gridCol w:w="986"/>
              <w:gridCol w:w="1121"/>
              <w:gridCol w:w="973"/>
              <w:gridCol w:w="92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720"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序号</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检测项目</w:t>
                  </w:r>
                </w:p>
              </w:tc>
              <w:tc>
                <w:tcPr>
                  <w:tcW w:w="3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方法检出限</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T8（污水处理站南侧）</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T9（渗滤液调节池北侧）</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T10（ 渗滤液调节池南侧）</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T11（医疗废物处置间西侧）</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T12（医疗污水处置箱北侧）</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T13（应急事故池北侧）</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T12(渗滤液处理车间北侧）</w:t>
                  </w:r>
                </w:p>
              </w:tc>
              <w:tc>
                <w:tcPr>
                  <w:tcW w:w="3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单位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pH*</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7.47</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7.58</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7.69</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7.94</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7.11</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7.76</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7.69</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无量纲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铜</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25</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32</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31</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30</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57</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39</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79</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镍</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32</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43</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32</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34</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28</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25</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六价铬</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0.5</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0.405</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0.062</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0.071</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0.027</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汞</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0.002</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0.026</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6.54</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5.54</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15.8</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8.16</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0.12</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0.036</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砷</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0.01</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10.5</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25.3</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34.2</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21.6</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21.4</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7.95</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5.18</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铅</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37.6</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0.06</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0.08</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0.05</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0.04</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17.3</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22.2</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镉</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0.01</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0.09</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0.069</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0.096</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0.075</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0.083</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0.06</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0.05</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9</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硒</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0.01</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0.081</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0.324</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0.268</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0.203</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0.306</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0.075</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0.155</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10</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锑</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0.01</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0.337</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45</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54</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38</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53</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0.337</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0.329</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锌</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88</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5.56</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3.37</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7.24</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6.33</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65</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47</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钴</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1.69</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5.01</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63.3</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61.4</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56.5</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65.2</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5.89</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6.32</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13</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钒</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0.4</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58.7</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0.405</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0.062</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0.071</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0.027</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61.9</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57.8</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14</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铊</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0.4</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15</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钼</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0.05</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0.41</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0.5</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0.5</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0.66</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0.59</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0.84</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0.72</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16</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氯甲烷</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17</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氯乙烯</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18</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 二氯乙烯</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19</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二氯甲烷</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1.5</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反-1,2-二氯乙烯</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1.4</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21</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1,1-二氯乙烷</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22</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顺-1,2-二氯乙烯</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1.3</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23</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氯 仿</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24</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1,1,1-三氯乙烷</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1.3</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25</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四氯化碳</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1.3</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26</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苯</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1.9</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27</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 二氯乙烷</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1.3</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28</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三氯乙烯</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29</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 二氯 丙烷</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30</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甲苯</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1.3</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31</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1,1,2-三氯乙烷</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32</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四氯乙烯</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1.4</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33</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氯苯</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34</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乙苯</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1,1,1,2-四氯乙烷</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36</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对，间二甲苯</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37</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邻二甲苯</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38</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苯乙烯</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39</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1,1,2,2-四氯乙烷</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40</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1,2,3-三氯丙烷</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41</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1,4-二氯苯</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1.5</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42</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1,2-二氯苯</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1.5</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µg/kg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43</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苯胺</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44</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2-氯苯酚</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0.06</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45</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硝基苯</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0.09</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46</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苯并[a]蔥</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47</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苯并[a]芘</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48</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苯并[b]荧蔥</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0.2</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49</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苯并[k]荧蔥</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50</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䓛</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苗并[1,2,3-cd]芘</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52</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萘</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0.09</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53</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二苯并[a,h]蔥</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54</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二噁英</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2.2</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0.69</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0.55</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0.67</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ngTEQ/kg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55</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锰</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0.02</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394</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383</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443</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406</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373</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438</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423</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56</w:t>
                  </w:r>
                </w:p>
              </w:tc>
              <w:tc>
                <w:tcPr>
                  <w:tcW w:w="62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铍</w:t>
                  </w:r>
                </w:p>
              </w:tc>
              <w:tc>
                <w:tcPr>
                  <w:tcW w:w="3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w:t>
                  </w:r>
                </w:p>
              </w:tc>
              <w:tc>
                <w:tcPr>
                  <w:tcW w:w="56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0.73</w:t>
                  </w:r>
                </w:p>
              </w:tc>
              <w:tc>
                <w:tcPr>
                  <w:tcW w:w="53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1.62</w:t>
                  </w:r>
                </w:p>
              </w:tc>
              <w:tc>
                <w:tcPr>
                  <w:tcW w:w="52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1.05</w:t>
                  </w:r>
                </w:p>
              </w:tc>
              <w:tc>
                <w:tcPr>
                  <w:tcW w:w="54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1.21</w:t>
                  </w:r>
                </w:p>
              </w:tc>
              <w:tc>
                <w:tcPr>
                  <w:tcW w:w="373"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0.93</w:t>
                  </w:r>
                </w:p>
              </w:tc>
              <w:tc>
                <w:tcPr>
                  <w:tcW w:w="42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36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0.99</w:t>
                  </w:r>
                </w:p>
              </w:tc>
              <w:tc>
                <w:tcPr>
                  <w:tcW w:w="35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mg/kg</w:t>
                  </w:r>
                </w:p>
              </w:tc>
            </w:tr>
          </w:tbl>
          <w:p>
            <w:pPr>
              <w:pStyle w:val="2"/>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表3-10 1~7号监测点评价结果（标准指数）</w:t>
            </w:r>
          </w:p>
          <w:tbl>
            <w:tblPr>
              <w:tblStyle w:val="33"/>
              <w:tblpPr w:leftFromText="181" w:rightFromText="181" w:vertAnchor="text" w:horzAnchor="page" w:tblpX="-5" w:tblpY="1"/>
              <w:tblOverlap w:val="never"/>
              <w:tblW w:w="4997"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393"/>
              <w:gridCol w:w="1393"/>
              <w:gridCol w:w="1491"/>
              <w:gridCol w:w="1491"/>
              <w:gridCol w:w="1491"/>
              <w:gridCol w:w="1493"/>
              <w:gridCol w:w="1493"/>
              <w:gridCol w:w="1493"/>
              <w:gridCol w:w="149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95" w:hRule="atLeast"/>
              </w:trPr>
              <w:tc>
                <w:tcPr>
                  <w:tcW w:w="52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序号</w:t>
                  </w:r>
                </w:p>
              </w:tc>
              <w:tc>
                <w:tcPr>
                  <w:tcW w:w="52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检测项目</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Tl（厂界东侧）</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T2（厂界南侧）</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T3（</w:t>
                  </w:r>
                  <w:r>
                    <w:rPr>
                      <w:rStyle w:val="134"/>
                      <w:rFonts w:hint="default" w:ascii="Times New Roman" w:hAnsi="Times New Roman" w:eastAsia="宋体" w:cs="Times New Roman"/>
                      <w:color w:val="auto"/>
                      <w:sz w:val="21"/>
                      <w:szCs w:val="21"/>
                      <w:lang w:val="en-US" w:eastAsia="zh-CN" w:bidi="ar"/>
                    </w:rPr>
                    <w:t xml:space="preserve"> </w:t>
                  </w:r>
                  <w:r>
                    <w:rPr>
                      <w:rFonts w:hint="default" w:ascii="Times New Roman" w:hAnsi="Times New Roman" w:eastAsia="宋体" w:cs="Times New Roman"/>
                      <w:i w:val="0"/>
                      <w:color w:val="auto"/>
                      <w:kern w:val="0"/>
                      <w:sz w:val="21"/>
                      <w:szCs w:val="21"/>
                      <w:u w:val="none"/>
                      <w:lang w:val="en-US" w:eastAsia="zh-CN" w:bidi="ar"/>
                    </w:rPr>
                    <w:t>厂界西侧）</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T4（厂界北侧）</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T5（垃圾填埋场）</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T6（办公区）</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T7(污水处理站东侧）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2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lang w:val="en-US" w:eastAsia="zh-CN"/>
                    </w:rPr>
                  </w:pPr>
                  <w:r>
                    <w:rPr>
                      <w:rFonts w:hint="default" w:ascii="Times New Roman" w:hAnsi="Times New Roman" w:eastAsia="宋体" w:cs="Times New Roman"/>
                      <w:i w:val="0"/>
                      <w:color w:val="auto"/>
                      <w:sz w:val="21"/>
                      <w:szCs w:val="21"/>
                      <w:u w:val="none"/>
                      <w:lang w:val="en-US" w:eastAsia="zh-CN"/>
                    </w:rPr>
                    <w:t>1</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铜</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0.002</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0.002</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0.002</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0.002</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0.001</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0.003</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2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lang w:val="en-US" w:eastAsia="zh-CN"/>
                    </w:rPr>
                  </w:pPr>
                  <w:r>
                    <w:rPr>
                      <w:rFonts w:hint="default" w:ascii="Times New Roman" w:hAnsi="Times New Roman" w:eastAsia="宋体" w:cs="Times New Roman"/>
                      <w:i w:val="0"/>
                      <w:color w:val="auto"/>
                      <w:sz w:val="21"/>
                      <w:szCs w:val="21"/>
                      <w:u w:val="none"/>
                      <w:lang w:val="en-US" w:eastAsia="zh-CN"/>
                    </w:rPr>
                    <w:t>2</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镍</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0.034</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0.037</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0.072</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0.037</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0.016</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0.080</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2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lang w:val="en-US" w:eastAsia="zh-CN"/>
                    </w:rPr>
                  </w:pPr>
                  <w:r>
                    <w:rPr>
                      <w:rFonts w:hint="default" w:ascii="Times New Roman" w:hAnsi="Times New Roman" w:eastAsia="宋体" w:cs="Times New Roman"/>
                      <w:i w:val="0"/>
                      <w:color w:val="auto"/>
                      <w:sz w:val="21"/>
                      <w:szCs w:val="21"/>
                      <w:u w:val="none"/>
                      <w:lang w:val="en-US" w:eastAsia="zh-CN"/>
                    </w:rPr>
                    <w:t>3</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汞</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0.001</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0.001</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0.004</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0.001</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0.001</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0.003</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2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lang w:val="en-US" w:eastAsia="zh-CN"/>
                    </w:rPr>
                  </w:pPr>
                  <w:r>
                    <w:rPr>
                      <w:rFonts w:hint="default" w:ascii="Times New Roman" w:hAnsi="Times New Roman" w:eastAsia="宋体" w:cs="Times New Roman"/>
                      <w:i w:val="0"/>
                      <w:color w:val="auto"/>
                      <w:sz w:val="21"/>
                      <w:szCs w:val="21"/>
                      <w:u w:val="none"/>
                      <w:lang w:val="en-US" w:eastAsia="zh-CN"/>
                    </w:rPr>
                    <w:t>4</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砷</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0.150</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0.153</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0.144</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0.141</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0.125</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0.093</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0.088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2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lang w:val="en-US" w:eastAsia="zh-CN"/>
                    </w:rPr>
                  </w:pPr>
                  <w:r>
                    <w:rPr>
                      <w:rFonts w:hint="default" w:ascii="Times New Roman" w:hAnsi="Times New Roman" w:eastAsia="宋体" w:cs="Times New Roman"/>
                      <w:i w:val="0"/>
                      <w:color w:val="auto"/>
                      <w:sz w:val="21"/>
                      <w:szCs w:val="21"/>
                      <w:u w:val="none"/>
                      <w:lang w:val="en-US" w:eastAsia="zh-CN"/>
                    </w:rPr>
                    <w:t>5</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铅</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0.086</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0.063</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0.067</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0.042</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0.045</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0.043</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0.041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2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lang w:val="en-US" w:eastAsia="zh-CN"/>
                    </w:rPr>
                  </w:pPr>
                  <w:r>
                    <w:rPr>
                      <w:rFonts w:hint="default" w:ascii="Times New Roman" w:hAnsi="Times New Roman" w:eastAsia="宋体" w:cs="Times New Roman"/>
                      <w:i w:val="0"/>
                      <w:color w:val="auto"/>
                      <w:sz w:val="21"/>
                      <w:szCs w:val="21"/>
                      <w:u w:val="none"/>
                      <w:lang w:val="en-US" w:eastAsia="zh-CN"/>
                    </w:rPr>
                    <w:t>6</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镉</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0.003</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0.002</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0.002</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0.001</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0.003</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0.001</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2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lang w:val="en-US" w:eastAsia="zh-CN"/>
                    </w:rPr>
                  </w:pPr>
                  <w:r>
                    <w:rPr>
                      <w:rFonts w:hint="default" w:ascii="Times New Roman" w:hAnsi="Times New Roman" w:eastAsia="宋体" w:cs="Times New Roman"/>
                      <w:i w:val="0"/>
                      <w:color w:val="auto"/>
                      <w:sz w:val="21"/>
                      <w:szCs w:val="21"/>
                      <w:u w:val="none"/>
                      <w:lang w:val="en-US" w:eastAsia="zh-CN"/>
                    </w:rPr>
                    <w:t>7</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锑</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0.002</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0.001</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0.002</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0.002</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0.002</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0.002</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2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lang w:val="en-US" w:eastAsia="zh-CN"/>
                    </w:rPr>
                  </w:pPr>
                  <w:r>
                    <w:rPr>
                      <w:rFonts w:hint="default" w:ascii="Times New Roman" w:hAnsi="Times New Roman" w:eastAsia="宋体" w:cs="Times New Roman"/>
                      <w:i w:val="0"/>
                      <w:color w:val="auto"/>
                      <w:sz w:val="21"/>
                      <w:szCs w:val="21"/>
                      <w:u w:val="none"/>
                      <w:lang w:val="en-US" w:eastAsia="zh-CN"/>
                    </w:rPr>
                    <w:t>8</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钴</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0.060</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0.046</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0.075</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0.062</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0.088</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0.061</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0.061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2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lang w:val="en-US" w:eastAsia="zh-CN"/>
                    </w:rPr>
                  </w:pPr>
                  <w:r>
                    <w:rPr>
                      <w:rFonts w:hint="default" w:ascii="Times New Roman" w:hAnsi="Times New Roman" w:eastAsia="宋体" w:cs="Times New Roman"/>
                      <w:i w:val="0"/>
                      <w:color w:val="auto"/>
                      <w:sz w:val="21"/>
                      <w:szCs w:val="21"/>
                      <w:u w:val="none"/>
                      <w:lang w:val="en-US" w:eastAsia="zh-CN"/>
                    </w:rPr>
                    <w:t>9</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钒</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0.078</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0.074</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0.085</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0.087</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0.075</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0.073</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0.079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2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lang w:val="en-US" w:eastAsia="zh-CN"/>
                    </w:rPr>
                  </w:pPr>
                  <w:r>
                    <w:rPr>
                      <w:rFonts w:hint="default" w:ascii="Times New Roman" w:hAnsi="Times New Roman" w:eastAsia="宋体" w:cs="Times New Roman"/>
                      <w:i w:val="0"/>
                      <w:color w:val="auto"/>
                      <w:sz w:val="21"/>
                      <w:szCs w:val="21"/>
                      <w:u w:val="none"/>
                      <w:lang w:val="en-US" w:eastAsia="zh-CN"/>
                    </w:rPr>
                    <w:t>10</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二噁英</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0.033</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0.011</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0.024</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0.030</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0.060</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0.009</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2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w:t>
                  </w:r>
                </w:p>
              </w:tc>
              <w:tc>
                <w:tcPr>
                  <w:tcW w:w="526"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铍</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0.035</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0.029</w:t>
                  </w:r>
                </w:p>
              </w:tc>
              <w:tc>
                <w:tcPr>
                  <w:tcW w:w="563"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0.052</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0.038</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0.047</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0.058</w:t>
                  </w:r>
                </w:p>
              </w:tc>
              <w:tc>
                <w:tcPr>
                  <w:tcW w:w="564" w:type="pct"/>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0.030</w:t>
                  </w:r>
                </w:p>
              </w:tc>
            </w:tr>
          </w:tbl>
          <w:p>
            <w:pPr>
              <w:pStyle w:val="2"/>
              <w:jc w:val="center"/>
              <w:rPr>
                <w:rFonts w:hint="default" w:ascii="Times New Roman" w:hAnsi="Times New Roman" w:cs="Times New Roman"/>
                <w:color w:val="auto"/>
                <w:vertAlign w:val="baseline"/>
                <w:lang w:val="en-US" w:eastAsia="zh-CN"/>
              </w:rPr>
            </w:pPr>
          </w:p>
          <w:p>
            <w:pPr>
              <w:pStyle w:val="2"/>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表3-11 8~14号监测点评价结果（标准指数）</w:t>
            </w:r>
          </w:p>
          <w:tbl>
            <w:tblPr>
              <w:tblStyle w:val="33"/>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305"/>
              <w:gridCol w:w="1380"/>
              <w:gridCol w:w="1531"/>
              <w:gridCol w:w="1515"/>
              <w:gridCol w:w="1380"/>
              <w:gridCol w:w="1528"/>
              <w:gridCol w:w="1547"/>
              <w:gridCol w:w="1470"/>
              <w:gridCol w:w="157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20" w:hRule="atLeast"/>
                <w:jc w:val="center"/>
              </w:trPr>
              <w:tc>
                <w:tcPr>
                  <w:tcW w:w="4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序号</w:t>
                  </w:r>
                </w:p>
              </w:tc>
              <w:tc>
                <w:tcPr>
                  <w:tcW w:w="52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检测项目</w:t>
                  </w:r>
                </w:p>
              </w:tc>
              <w:tc>
                <w:tcPr>
                  <w:tcW w:w="57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T8（污水处理站南侧）</w:t>
                  </w:r>
                </w:p>
              </w:tc>
              <w:tc>
                <w:tcPr>
                  <w:tcW w:w="57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T9（渗滤液调节池北侧）</w:t>
                  </w:r>
                </w:p>
              </w:tc>
              <w:tc>
                <w:tcPr>
                  <w:tcW w:w="52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T10（ 渗滤液调节池南侧）</w:t>
                  </w:r>
                </w:p>
              </w:tc>
              <w:tc>
                <w:tcPr>
                  <w:tcW w:w="57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T11（医疗废物处置间西侧）</w:t>
                  </w:r>
                </w:p>
              </w:tc>
              <w:tc>
                <w:tcPr>
                  <w:tcW w:w="58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T12（医疗污水处置箱北侧）</w:t>
                  </w:r>
                </w:p>
              </w:tc>
              <w:tc>
                <w:tcPr>
                  <w:tcW w:w="555"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T13（应急事故池北侧）</w:t>
                  </w:r>
                </w:p>
              </w:tc>
              <w:tc>
                <w:tcPr>
                  <w:tcW w:w="5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T12(渗滤液处理车间北侧）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4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w:t>
                  </w:r>
                </w:p>
              </w:tc>
              <w:tc>
                <w:tcPr>
                  <w:tcW w:w="52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铜</w:t>
                  </w:r>
                </w:p>
              </w:tc>
              <w:tc>
                <w:tcPr>
                  <w:tcW w:w="57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0.001</w:t>
                  </w:r>
                </w:p>
              </w:tc>
              <w:tc>
                <w:tcPr>
                  <w:tcW w:w="57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0.002</w:t>
                  </w:r>
                </w:p>
              </w:tc>
              <w:tc>
                <w:tcPr>
                  <w:tcW w:w="52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0.002</w:t>
                  </w:r>
                </w:p>
              </w:tc>
              <w:tc>
                <w:tcPr>
                  <w:tcW w:w="57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0.002</w:t>
                  </w:r>
                </w:p>
              </w:tc>
              <w:tc>
                <w:tcPr>
                  <w:tcW w:w="58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0.003</w:t>
                  </w:r>
                </w:p>
              </w:tc>
              <w:tc>
                <w:tcPr>
                  <w:tcW w:w="555"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0.002</w:t>
                  </w:r>
                </w:p>
              </w:tc>
              <w:tc>
                <w:tcPr>
                  <w:tcW w:w="5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4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w:t>
                  </w:r>
                </w:p>
              </w:tc>
              <w:tc>
                <w:tcPr>
                  <w:tcW w:w="52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镍</w:t>
                  </w:r>
                </w:p>
              </w:tc>
              <w:tc>
                <w:tcPr>
                  <w:tcW w:w="57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0.036</w:t>
                  </w:r>
                </w:p>
              </w:tc>
              <w:tc>
                <w:tcPr>
                  <w:tcW w:w="57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0.048</w:t>
                  </w:r>
                </w:p>
              </w:tc>
              <w:tc>
                <w:tcPr>
                  <w:tcW w:w="52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0.036</w:t>
                  </w:r>
                </w:p>
              </w:tc>
              <w:tc>
                <w:tcPr>
                  <w:tcW w:w="57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0.038</w:t>
                  </w:r>
                </w:p>
              </w:tc>
              <w:tc>
                <w:tcPr>
                  <w:tcW w:w="58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0.039</w:t>
                  </w:r>
                </w:p>
              </w:tc>
              <w:tc>
                <w:tcPr>
                  <w:tcW w:w="555"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0.031</w:t>
                  </w:r>
                </w:p>
              </w:tc>
              <w:tc>
                <w:tcPr>
                  <w:tcW w:w="5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4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w:t>
                  </w:r>
                </w:p>
              </w:tc>
              <w:tc>
                <w:tcPr>
                  <w:tcW w:w="52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六价铬</w:t>
                  </w:r>
                </w:p>
              </w:tc>
              <w:tc>
                <w:tcPr>
                  <w:tcW w:w="57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cs="Times New Roman"/>
                      <w:i w:val="0"/>
                      <w:color w:val="auto"/>
                      <w:kern w:val="0"/>
                      <w:sz w:val="21"/>
                      <w:szCs w:val="21"/>
                      <w:u w:val="none"/>
                      <w:lang w:val="en-US" w:eastAsia="zh-CN" w:bidi="ar"/>
                    </w:rPr>
                    <w:t>/</w:t>
                  </w:r>
                </w:p>
              </w:tc>
              <w:tc>
                <w:tcPr>
                  <w:tcW w:w="57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0.071</w:t>
                  </w:r>
                </w:p>
              </w:tc>
              <w:tc>
                <w:tcPr>
                  <w:tcW w:w="52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0.011</w:t>
                  </w:r>
                </w:p>
              </w:tc>
              <w:tc>
                <w:tcPr>
                  <w:tcW w:w="57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0.012</w:t>
                  </w:r>
                </w:p>
              </w:tc>
              <w:tc>
                <w:tcPr>
                  <w:tcW w:w="58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0.005</w:t>
                  </w:r>
                </w:p>
              </w:tc>
              <w:tc>
                <w:tcPr>
                  <w:tcW w:w="555"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cs="Times New Roman"/>
                      <w:i w:val="0"/>
                      <w:color w:val="auto"/>
                      <w:kern w:val="0"/>
                      <w:sz w:val="21"/>
                      <w:szCs w:val="21"/>
                      <w:u w:val="none"/>
                      <w:lang w:val="en-US" w:eastAsia="zh-CN" w:bidi="ar"/>
                    </w:rPr>
                    <w:t>/</w:t>
                  </w:r>
                </w:p>
              </w:tc>
              <w:tc>
                <w:tcPr>
                  <w:tcW w:w="5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lang w:val="en-US"/>
                    </w:rPr>
                  </w:pPr>
                  <w:r>
                    <w:rPr>
                      <w:rFonts w:hint="default" w:ascii="Times New Roman" w:hAnsi="Times New Roman" w:cs="Times New Roman"/>
                      <w:i w:val="0"/>
                      <w:color w:val="auto"/>
                      <w:kern w:val="0"/>
                      <w:sz w:val="21"/>
                      <w:szCs w:val="21"/>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4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w:t>
                  </w:r>
                </w:p>
              </w:tc>
              <w:tc>
                <w:tcPr>
                  <w:tcW w:w="52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汞</w:t>
                  </w:r>
                </w:p>
              </w:tc>
              <w:tc>
                <w:tcPr>
                  <w:tcW w:w="57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0.001</w:t>
                  </w:r>
                </w:p>
              </w:tc>
              <w:tc>
                <w:tcPr>
                  <w:tcW w:w="57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0.172</w:t>
                  </w:r>
                </w:p>
              </w:tc>
              <w:tc>
                <w:tcPr>
                  <w:tcW w:w="52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0.146</w:t>
                  </w:r>
                </w:p>
              </w:tc>
              <w:tc>
                <w:tcPr>
                  <w:tcW w:w="57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0.416</w:t>
                  </w:r>
                </w:p>
              </w:tc>
              <w:tc>
                <w:tcPr>
                  <w:tcW w:w="58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0.215</w:t>
                  </w:r>
                </w:p>
              </w:tc>
              <w:tc>
                <w:tcPr>
                  <w:tcW w:w="555"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0.003</w:t>
                  </w:r>
                </w:p>
              </w:tc>
              <w:tc>
                <w:tcPr>
                  <w:tcW w:w="5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4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w:t>
                  </w:r>
                </w:p>
              </w:tc>
              <w:tc>
                <w:tcPr>
                  <w:tcW w:w="52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砷</w:t>
                  </w:r>
                </w:p>
              </w:tc>
              <w:tc>
                <w:tcPr>
                  <w:tcW w:w="57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0.175</w:t>
                  </w:r>
                </w:p>
              </w:tc>
              <w:tc>
                <w:tcPr>
                  <w:tcW w:w="57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0.422</w:t>
                  </w:r>
                </w:p>
              </w:tc>
              <w:tc>
                <w:tcPr>
                  <w:tcW w:w="52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0.570</w:t>
                  </w:r>
                </w:p>
              </w:tc>
              <w:tc>
                <w:tcPr>
                  <w:tcW w:w="57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0.360</w:t>
                  </w:r>
                </w:p>
              </w:tc>
              <w:tc>
                <w:tcPr>
                  <w:tcW w:w="58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0.357</w:t>
                  </w:r>
                </w:p>
              </w:tc>
              <w:tc>
                <w:tcPr>
                  <w:tcW w:w="555"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0.133</w:t>
                  </w:r>
                </w:p>
              </w:tc>
              <w:tc>
                <w:tcPr>
                  <w:tcW w:w="5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0.086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4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w:t>
                  </w:r>
                </w:p>
              </w:tc>
              <w:tc>
                <w:tcPr>
                  <w:tcW w:w="52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铅</w:t>
                  </w:r>
                </w:p>
              </w:tc>
              <w:tc>
                <w:tcPr>
                  <w:tcW w:w="57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0.047</w:t>
                  </w:r>
                </w:p>
              </w:tc>
              <w:tc>
                <w:tcPr>
                  <w:tcW w:w="57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0.000</w:t>
                  </w:r>
                </w:p>
              </w:tc>
              <w:tc>
                <w:tcPr>
                  <w:tcW w:w="52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0.000</w:t>
                  </w:r>
                </w:p>
              </w:tc>
              <w:tc>
                <w:tcPr>
                  <w:tcW w:w="57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0.000</w:t>
                  </w:r>
                </w:p>
              </w:tc>
              <w:tc>
                <w:tcPr>
                  <w:tcW w:w="58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0.000</w:t>
                  </w:r>
                </w:p>
              </w:tc>
              <w:tc>
                <w:tcPr>
                  <w:tcW w:w="555"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0.022</w:t>
                  </w:r>
                </w:p>
              </w:tc>
              <w:tc>
                <w:tcPr>
                  <w:tcW w:w="5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4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w:t>
                  </w:r>
                </w:p>
              </w:tc>
              <w:tc>
                <w:tcPr>
                  <w:tcW w:w="52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镉</w:t>
                  </w:r>
                </w:p>
              </w:tc>
              <w:tc>
                <w:tcPr>
                  <w:tcW w:w="57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0.001</w:t>
                  </w:r>
                </w:p>
              </w:tc>
              <w:tc>
                <w:tcPr>
                  <w:tcW w:w="57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0.001</w:t>
                  </w:r>
                </w:p>
              </w:tc>
              <w:tc>
                <w:tcPr>
                  <w:tcW w:w="52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0.001</w:t>
                  </w:r>
                </w:p>
              </w:tc>
              <w:tc>
                <w:tcPr>
                  <w:tcW w:w="57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0.001</w:t>
                  </w:r>
                </w:p>
              </w:tc>
              <w:tc>
                <w:tcPr>
                  <w:tcW w:w="58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0.001</w:t>
                  </w:r>
                </w:p>
              </w:tc>
              <w:tc>
                <w:tcPr>
                  <w:tcW w:w="555"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0.001</w:t>
                  </w:r>
                </w:p>
              </w:tc>
              <w:tc>
                <w:tcPr>
                  <w:tcW w:w="5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4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w:t>
                  </w:r>
                </w:p>
              </w:tc>
              <w:tc>
                <w:tcPr>
                  <w:tcW w:w="52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锑</w:t>
                  </w:r>
                </w:p>
              </w:tc>
              <w:tc>
                <w:tcPr>
                  <w:tcW w:w="57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0.002</w:t>
                  </w:r>
                </w:p>
              </w:tc>
              <w:tc>
                <w:tcPr>
                  <w:tcW w:w="57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0.250</w:t>
                  </w:r>
                </w:p>
              </w:tc>
              <w:tc>
                <w:tcPr>
                  <w:tcW w:w="52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0.300</w:t>
                  </w:r>
                </w:p>
              </w:tc>
              <w:tc>
                <w:tcPr>
                  <w:tcW w:w="57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0.211</w:t>
                  </w:r>
                </w:p>
              </w:tc>
              <w:tc>
                <w:tcPr>
                  <w:tcW w:w="58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0.294</w:t>
                  </w:r>
                </w:p>
              </w:tc>
              <w:tc>
                <w:tcPr>
                  <w:tcW w:w="555"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0.002</w:t>
                  </w:r>
                </w:p>
              </w:tc>
              <w:tc>
                <w:tcPr>
                  <w:tcW w:w="5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4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9</w:t>
                  </w:r>
                </w:p>
              </w:tc>
              <w:tc>
                <w:tcPr>
                  <w:tcW w:w="52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钴</w:t>
                  </w:r>
                </w:p>
              </w:tc>
              <w:tc>
                <w:tcPr>
                  <w:tcW w:w="57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0.072</w:t>
                  </w:r>
                </w:p>
              </w:tc>
              <w:tc>
                <w:tcPr>
                  <w:tcW w:w="57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0.904</w:t>
                  </w:r>
                </w:p>
              </w:tc>
              <w:tc>
                <w:tcPr>
                  <w:tcW w:w="52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0.877</w:t>
                  </w:r>
                </w:p>
              </w:tc>
              <w:tc>
                <w:tcPr>
                  <w:tcW w:w="57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0.807</w:t>
                  </w:r>
                </w:p>
              </w:tc>
              <w:tc>
                <w:tcPr>
                  <w:tcW w:w="58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0.931</w:t>
                  </w:r>
                </w:p>
              </w:tc>
              <w:tc>
                <w:tcPr>
                  <w:tcW w:w="555"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0.084</w:t>
                  </w:r>
                </w:p>
              </w:tc>
              <w:tc>
                <w:tcPr>
                  <w:tcW w:w="5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4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10</w:t>
                  </w:r>
                </w:p>
              </w:tc>
              <w:tc>
                <w:tcPr>
                  <w:tcW w:w="52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钒</w:t>
                  </w:r>
                </w:p>
              </w:tc>
              <w:tc>
                <w:tcPr>
                  <w:tcW w:w="57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0.078</w:t>
                  </w:r>
                </w:p>
              </w:tc>
              <w:tc>
                <w:tcPr>
                  <w:tcW w:w="57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0.001</w:t>
                  </w:r>
                </w:p>
              </w:tc>
              <w:tc>
                <w:tcPr>
                  <w:tcW w:w="52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0.000</w:t>
                  </w:r>
                </w:p>
              </w:tc>
              <w:tc>
                <w:tcPr>
                  <w:tcW w:w="57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0.000</w:t>
                  </w:r>
                </w:p>
              </w:tc>
              <w:tc>
                <w:tcPr>
                  <w:tcW w:w="58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0.000</w:t>
                  </w:r>
                </w:p>
              </w:tc>
              <w:tc>
                <w:tcPr>
                  <w:tcW w:w="555"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0.082</w:t>
                  </w:r>
                </w:p>
              </w:tc>
              <w:tc>
                <w:tcPr>
                  <w:tcW w:w="5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0.077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4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w:t>
                  </w:r>
                </w:p>
              </w:tc>
              <w:tc>
                <w:tcPr>
                  <w:tcW w:w="52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二噁英</w:t>
                  </w:r>
                </w:p>
              </w:tc>
              <w:tc>
                <w:tcPr>
                  <w:tcW w:w="57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0.030</w:t>
                  </w:r>
                </w:p>
              </w:tc>
              <w:tc>
                <w:tcPr>
                  <w:tcW w:w="57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0.055</w:t>
                  </w:r>
                </w:p>
              </w:tc>
              <w:tc>
                <w:tcPr>
                  <w:tcW w:w="52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0.030</w:t>
                  </w:r>
                </w:p>
              </w:tc>
              <w:tc>
                <w:tcPr>
                  <w:tcW w:w="57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0.017</w:t>
                  </w:r>
                </w:p>
              </w:tc>
              <w:tc>
                <w:tcPr>
                  <w:tcW w:w="58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0.030</w:t>
                  </w:r>
                </w:p>
              </w:tc>
              <w:tc>
                <w:tcPr>
                  <w:tcW w:w="555"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0.014</w:t>
                  </w:r>
                </w:p>
              </w:tc>
              <w:tc>
                <w:tcPr>
                  <w:tcW w:w="5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4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52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铍</w:t>
                  </w:r>
                </w:p>
              </w:tc>
              <w:tc>
                <w:tcPr>
                  <w:tcW w:w="578"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0.025</w:t>
                  </w:r>
                </w:p>
              </w:tc>
              <w:tc>
                <w:tcPr>
                  <w:tcW w:w="572"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0.056</w:t>
                  </w:r>
                </w:p>
              </w:tc>
              <w:tc>
                <w:tcPr>
                  <w:tcW w:w="521"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0.036</w:t>
                  </w:r>
                </w:p>
              </w:tc>
              <w:tc>
                <w:tcPr>
                  <w:tcW w:w="57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0.042</w:t>
                  </w:r>
                </w:p>
              </w:tc>
              <w:tc>
                <w:tcPr>
                  <w:tcW w:w="584"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0.032</w:t>
                  </w:r>
                </w:p>
              </w:tc>
              <w:tc>
                <w:tcPr>
                  <w:tcW w:w="555"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0.041</w:t>
                  </w:r>
                </w:p>
              </w:tc>
              <w:tc>
                <w:tcPr>
                  <w:tcW w:w="596"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0.034</w:t>
                  </w:r>
                </w:p>
              </w:tc>
            </w:tr>
          </w:tbl>
          <w:p>
            <w:pPr>
              <w:pStyle w:val="2"/>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vertAlign w:val="baseline"/>
                <w:lang w:val="en-US" w:eastAsia="zh-CN"/>
              </w:rPr>
            </w:pPr>
          </w:p>
          <w:p>
            <w:pPr>
              <w:pStyle w:val="2"/>
              <w:jc w:val="center"/>
              <w:rPr>
                <w:rFonts w:hint="default" w:ascii="Times New Roman" w:hAnsi="Times New Roman" w:cs="Times New Roman"/>
                <w:color w:val="auto"/>
                <w:vertAlign w:val="baseline"/>
                <w:lang w:val="en-US" w:eastAsia="zh-CN"/>
              </w:rPr>
            </w:pPr>
          </w:p>
          <w:p>
            <w:pPr>
              <w:pStyle w:val="2"/>
              <w:rPr>
                <w:rFonts w:hint="default" w:ascii="Times New Roman" w:hAnsi="Times New Roman" w:cs="Times New Roman"/>
                <w:color w:val="auto"/>
                <w:vertAlign w:val="baseline"/>
              </w:rPr>
            </w:pPr>
          </w:p>
          <w:p>
            <w:pPr>
              <w:pStyle w:val="2"/>
              <w:rPr>
                <w:rFonts w:hint="default" w:ascii="Times New Roman" w:hAnsi="Times New Roman" w:cs="Times New Roman"/>
                <w:color w:val="auto"/>
                <w:vertAlign w:val="baseline"/>
              </w:rPr>
            </w:pPr>
          </w:p>
          <w:p>
            <w:pPr>
              <w:pStyle w:val="2"/>
              <w:rPr>
                <w:rFonts w:hint="default" w:ascii="Times New Roman" w:hAnsi="Times New Roman" w:cs="Times New Roman"/>
                <w:color w:val="auto"/>
                <w:vertAlign w:val="baseline"/>
              </w:rPr>
            </w:pPr>
          </w:p>
          <w:p>
            <w:pPr>
              <w:pStyle w:val="2"/>
              <w:rPr>
                <w:rFonts w:hint="default" w:ascii="Times New Roman" w:hAnsi="Times New Roman" w:cs="Times New Roman"/>
                <w:color w:val="auto"/>
                <w:vertAlign w:val="baseline"/>
              </w:rPr>
            </w:pPr>
          </w:p>
        </w:tc>
      </w:tr>
    </w:tbl>
    <w:p>
      <w:pPr>
        <w:rPr>
          <w:rFonts w:hint="default" w:ascii="Times New Roman" w:hAnsi="Times New Roman" w:cs="Times New Roman"/>
          <w:color w:val="auto"/>
        </w:rPr>
        <w:sectPr>
          <w:pgSz w:w="16839" w:h="11907" w:orient="landscape"/>
          <w:pgMar w:top="1440" w:right="1800" w:bottom="1440" w:left="1800" w:header="851" w:footer="992" w:gutter="0"/>
          <w:pgBorders>
            <w:top w:val="none" w:sz="0" w:space="0"/>
            <w:left w:val="none" w:sz="0" w:space="0"/>
            <w:bottom w:val="none" w:sz="0" w:space="0"/>
            <w:right w:val="none" w:sz="0" w:space="0"/>
          </w:pgBorders>
          <w:cols w:space="720" w:num="1"/>
          <w:docGrid w:type="linesAndChars" w:linePitch="312" w:charSpace="0"/>
        </w:sectPr>
      </w:pPr>
    </w:p>
    <w:p>
      <w:pPr>
        <w:bidi w:val="0"/>
        <w:rPr>
          <w:rFonts w:hint="default" w:ascii="Times New Roman" w:hAnsi="Times New Roman" w:cs="Times New Roman"/>
          <w:color w:val="auto"/>
        </w:rPr>
      </w:pPr>
    </w:p>
    <w:p>
      <w:pPr>
        <w:bidi w:val="0"/>
        <w:rPr>
          <w:rFonts w:hint="default" w:ascii="Times New Roman" w:hAnsi="Times New Roman" w:cs="Times New Roman"/>
          <w:color w:val="auto"/>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3" w:type="dxa"/>
          </w:tcPr>
          <w:p>
            <w:pPr>
              <w:pStyle w:val="2"/>
              <w:rPr>
                <w:rFonts w:hint="default" w:ascii="Times New Roman" w:hAnsi="Times New Roman" w:cs="Times New Roman"/>
                <w:color w:val="auto"/>
                <w:vertAlign w:val="baseline"/>
              </w:rPr>
            </w:pPr>
          </w:p>
          <w:p>
            <w:pPr>
              <w:spacing w:line="360" w:lineRule="auto"/>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主要环保护目标</w:t>
            </w:r>
            <w:r>
              <w:rPr>
                <w:rFonts w:hint="default" w:ascii="Times New Roman" w:hAnsi="Times New Roman" w:cs="Times New Roman"/>
                <w:color w:val="auto"/>
                <w:sz w:val="28"/>
                <w:szCs w:val="28"/>
              </w:rPr>
              <w:t>(列出名单及保护级别)：</w:t>
            </w:r>
          </w:p>
          <w:p>
            <w:pPr>
              <w:tabs>
                <w:tab w:val="left" w:pos="4425"/>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2"/>
                <w:sz w:val="24"/>
                <w:szCs w:val="24"/>
              </w:rPr>
              <w:t>项目建设地点位于同秀路7km处路南，同江垃圾处理场内原有渗滤液处理间东侧空地。</w:t>
            </w:r>
            <w:r>
              <w:rPr>
                <w:rFonts w:hint="default" w:ascii="Times New Roman" w:hAnsi="Times New Roman" w:cs="Times New Roman"/>
                <w:color w:val="auto"/>
                <w:sz w:val="24"/>
              </w:rPr>
              <w:t>经调查，项目评价范围内无特殊文物保护区及自然保护区。项目地下水环境保护目标见地下水专章。本项目主要环境保护目标见表3-13，项目保护目标图见附图。</w:t>
            </w:r>
          </w:p>
          <w:p>
            <w:pPr>
              <w:tabs>
                <w:tab w:val="left" w:pos="4425"/>
              </w:tabs>
              <w:snapToGrid w:val="0"/>
              <w:spacing w:line="240" w:lineRule="auto"/>
              <w:jc w:val="center"/>
              <w:rPr>
                <w:rFonts w:hint="default" w:ascii="Times New Roman" w:hAnsi="Times New Roman" w:cs="Times New Roman"/>
                <w:color w:val="auto"/>
                <w:sz w:val="24"/>
              </w:rPr>
            </w:pPr>
            <w:r>
              <w:rPr>
                <w:rFonts w:hint="default" w:ascii="Times New Roman" w:hAnsi="Times New Roman" w:cs="Times New Roman"/>
                <w:b/>
                <w:color w:val="auto"/>
                <w:kern w:val="2"/>
                <w:szCs w:val="24"/>
              </w:rPr>
              <w:t>表3-13 主要环境空气保护目标</w:t>
            </w:r>
          </w:p>
          <w:tbl>
            <w:tblPr>
              <w:tblStyle w:val="33"/>
              <w:tblW w:w="868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9"/>
              <w:gridCol w:w="1431"/>
              <w:gridCol w:w="1326"/>
              <w:gridCol w:w="813"/>
              <w:gridCol w:w="676"/>
              <w:gridCol w:w="950"/>
              <w:gridCol w:w="858"/>
              <w:gridCol w:w="10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712" w:type="dxa"/>
                  <w:vMerge w:val="restar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名称</w:t>
                  </w:r>
                </w:p>
              </w:tc>
              <w:tc>
                <w:tcPr>
                  <w:tcW w:w="2467" w:type="dxa"/>
                  <w:gridSpan w:val="2"/>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坐标</w:t>
                  </w:r>
                </w:p>
              </w:tc>
              <w:tc>
                <w:tcPr>
                  <w:tcW w:w="850" w:type="dxa"/>
                  <w:vMerge w:val="restar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保护对象</w:t>
                  </w:r>
                </w:p>
              </w:tc>
              <w:tc>
                <w:tcPr>
                  <w:tcW w:w="700" w:type="dxa"/>
                  <w:vMerge w:val="restar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保护内容</w:t>
                  </w:r>
                </w:p>
              </w:tc>
              <w:tc>
                <w:tcPr>
                  <w:tcW w:w="1000" w:type="dxa"/>
                  <w:vMerge w:val="restar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环境功能区</w:t>
                  </w:r>
                </w:p>
              </w:tc>
              <w:tc>
                <w:tcPr>
                  <w:tcW w:w="886" w:type="dxa"/>
                  <w:vMerge w:val="restar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相对厂址方位</w:t>
                  </w:r>
                </w:p>
              </w:tc>
              <w:tc>
                <w:tcPr>
                  <w:tcW w:w="1067" w:type="dxa"/>
                  <w:vMerge w:val="restar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712" w:type="dxa"/>
                  <w:vMerge w:val="continue"/>
                  <w:vAlign w:val="center"/>
                </w:tcPr>
                <w:p>
                  <w:pPr>
                    <w:snapToGrid w:val="0"/>
                    <w:spacing w:line="240" w:lineRule="auto"/>
                    <w:jc w:val="center"/>
                    <w:rPr>
                      <w:rFonts w:hint="default" w:ascii="Times New Roman" w:hAnsi="Times New Roman" w:cs="Times New Roman"/>
                      <w:bCs/>
                      <w:color w:val="auto"/>
                      <w:szCs w:val="21"/>
                    </w:rPr>
                  </w:pPr>
                </w:p>
              </w:tc>
              <w:tc>
                <w:tcPr>
                  <w:tcW w:w="1233" w:type="dxa"/>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经度</w:t>
                  </w:r>
                </w:p>
              </w:tc>
              <w:tc>
                <w:tcPr>
                  <w:tcW w:w="1234" w:type="dxa"/>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纬度</w:t>
                  </w:r>
                </w:p>
              </w:tc>
              <w:tc>
                <w:tcPr>
                  <w:tcW w:w="850" w:type="dxa"/>
                  <w:vMerge w:val="continue"/>
                  <w:vAlign w:val="center"/>
                </w:tcPr>
                <w:p>
                  <w:pPr>
                    <w:snapToGrid w:val="0"/>
                    <w:spacing w:line="240" w:lineRule="auto"/>
                    <w:jc w:val="center"/>
                    <w:rPr>
                      <w:rFonts w:hint="default" w:ascii="Times New Roman" w:hAnsi="Times New Roman" w:cs="Times New Roman"/>
                      <w:bCs/>
                      <w:color w:val="auto"/>
                      <w:szCs w:val="21"/>
                    </w:rPr>
                  </w:pPr>
                </w:p>
              </w:tc>
              <w:tc>
                <w:tcPr>
                  <w:tcW w:w="700" w:type="dxa"/>
                  <w:vMerge w:val="continue"/>
                  <w:vAlign w:val="center"/>
                </w:tcPr>
                <w:p>
                  <w:pPr>
                    <w:snapToGrid w:val="0"/>
                    <w:spacing w:line="240" w:lineRule="auto"/>
                    <w:jc w:val="center"/>
                    <w:rPr>
                      <w:rFonts w:hint="default" w:ascii="Times New Roman" w:hAnsi="Times New Roman" w:cs="Times New Roman"/>
                      <w:bCs/>
                      <w:color w:val="auto"/>
                      <w:szCs w:val="21"/>
                    </w:rPr>
                  </w:pPr>
                </w:p>
              </w:tc>
              <w:tc>
                <w:tcPr>
                  <w:tcW w:w="1000" w:type="dxa"/>
                  <w:vMerge w:val="continue"/>
                  <w:vAlign w:val="center"/>
                </w:tcPr>
                <w:p>
                  <w:pPr>
                    <w:snapToGrid w:val="0"/>
                    <w:spacing w:line="240" w:lineRule="auto"/>
                    <w:jc w:val="center"/>
                    <w:rPr>
                      <w:rFonts w:hint="default" w:ascii="Times New Roman" w:hAnsi="Times New Roman" w:cs="Times New Roman"/>
                      <w:bCs/>
                      <w:color w:val="auto"/>
                      <w:szCs w:val="21"/>
                    </w:rPr>
                  </w:pPr>
                </w:p>
              </w:tc>
              <w:tc>
                <w:tcPr>
                  <w:tcW w:w="886" w:type="dxa"/>
                  <w:vMerge w:val="continue"/>
                  <w:vAlign w:val="center"/>
                </w:tcPr>
                <w:p>
                  <w:pPr>
                    <w:snapToGrid w:val="0"/>
                    <w:spacing w:line="240" w:lineRule="auto"/>
                    <w:jc w:val="center"/>
                    <w:rPr>
                      <w:rFonts w:hint="default" w:ascii="Times New Roman" w:hAnsi="Times New Roman" w:cs="Times New Roman"/>
                      <w:bCs/>
                      <w:color w:val="auto"/>
                      <w:szCs w:val="21"/>
                    </w:rPr>
                  </w:pPr>
                </w:p>
              </w:tc>
              <w:tc>
                <w:tcPr>
                  <w:tcW w:w="1067" w:type="dxa"/>
                  <w:vMerge w:val="continue"/>
                  <w:vAlign w:val="center"/>
                </w:tcPr>
                <w:p>
                  <w:pPr>
                    <w:snapToGrid w:val="0"/>
                    <w:spacing w:line="240" w:lineRule="auto"/>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 w:hRule="atLeast"/>
                <w:tblHeader/>
              </w:trPr>
              <w:tc>
                <w:tcPr>
                  <w:tcW w:w="1712" w:type="dxa"/>
                  <w:vAlign w:val="center"/>
                </w:tcPr>
                <w:p>
                  <w:pPr>
                    <w:snapToGrid w:val="0"/>
                    <w:spacing w:line="240" w:lineRule="auto"/>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东升村</w:t>
                  </w:r>
                </w:p>
              </w:tc>
              <w:tc>
                <w:tcPr>
                  <w:tcW w:w="1233" w:type="dxa"/>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eastAsia="宋体" w:cs="Times New Roman"/>
                      <w:color w:val="auto"/>
                      <w:sz w:val="21"/>
                      <w:szCs w:val="21"/>
                    </w:rPr>
                    <w:t>132°36′38.82″</w:t>
                  </w:r>
                </w:p>
              </w:tc>
              <w:tc>
                <w:tcPr>
                  <w:tcW w:w="1234" w:type="dxa"/>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eastAsia="宋体" w:cs="Times New Roman"/>
                      <w:color w:val="auto"/>
                      <w:sz w:val="21"/>
                      <w:szCs w:val="21"/>
                    </w:rPr>
                    <w:t>47°39′10.90″</w:t>
                  </w:r>
                </w:p>
              </w:tc>
              <w:tc>
                <w:tcPr>
                  <w:tcW w:w="850" w:type="dxa"/>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居住区</w:t>
                  </w:r>
                </w:p>
              </w:tc>
              <w:tc>
                <w:tcPr>
                  <w:tcW w:w="700" w:type="dxa"/>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人群</w:t>
                  </w:r>
                </w:p>
              </w:tc>
              <w:tc>
                <w:tcPr>
                  <w:tcW w:w="1000" w:type="dxa"/>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二类区</w:t>
                  </w:r>
                </w:p>
              </w:tc>
              <w:tc>
                <w:tcPr>
                  <w:tcW w:w="886" w:type="dxa"/>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NW</w:t>
                  </w:r>
                </w:p>
              </w:tc>
              <w:tc>
                <w:tcPr>
                  <w:tcW w:w="1067" w:type="dxa"/>
                  <w:vAlign w:val="center"/>
                </w:tcPr>
                <w:p>
                  <w:pPr>
                    <w:snapToGrid w:val="0"/>
                    <w:spacing w:line="240" w:lineRule="auto"/>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约</w:t>
                  </w:r>
                  <w:r>
                    <w:rPr>
                      <w:rFonts w:hint="default" w:ascii="Times New Roman" w:hAnsi="Times New Roman" w:cs="Times New Roman"/>
                      <w:bCs/>
                      <w:color w:val="auto"/>
                      <w:szCs w:val="21"/>
                      <w:lang w:val="en-US" w:eastAsia="zh-CN"/>
                    </w:rPr>
                    <w:t>750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712" w:type="dxa"/>
                  <w:vAlign w:val="center"/>
                </w:tcPr>
                <w:p>
                  <w:pPr>
                    <w:snapToGrid w:val="0"/>
                    <w:spacing w:line="240" w:lineRule="auto"/>
                    <w:jc w:val="center"/>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lang w:val="en-US" w:eastAsia="zh-CN"/>
                    </w:rPr>
                    <w:t>东兴村</w:t>
                  </w:r>
                </w:p>
              </w:tc>
              <w:tc>
                <w:tcPr>
                  <w:tcW w:w="1233" w:type="dxa"/>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eastAsia="宋体" w:cs="Times New Roman"/>
                      <w:color w:val="auto"/>
                      <w:sz w:val="21"/>
                      <w:szCs w:val="21"/>
                    </w:rPr>
                    <w:t>132°38′47.37″</w:t>
                  </w:r>
                </w:p>
              </w:tc>
              <w:tc>
                <w:tcPr>
                  <w:tcW w:w="1234" w:type="dxa"/>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eastAsia="宋体" w:cs="Times New Roman"/>
                      <w:color w:val="auto"/>
                      <w:sz w:val="21"/>
                      <w:szCs w:val="21"/>
                    </w:rPr>
                    <w:t>47°39′10.43″</w:t>
                  </w:r>
                </w:p>
              </w:tc>
              <w:tc>
                <w:tcPr>
                  <w:tcW w:w="850" w:type="dxa"/>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居住区</w:t>
                  </w:r>
                </w:p>
              </w:tc>
              <w:tc>
                <w:tcPr>
                  <w:tcW w:w="700" w:type="dxa"/>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人群</w:t>
                  </w:r>
                </w:p>
              </w:tc>
              <w:tc>
                <w:tcPr>
                  <w:tcW w:w="1000" w:type="dxa"/>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二类区</w:t>
                  </w:r>
                </w:p>
              </w:tc>
              <w:tc>
                <w:tcPr>
                  <w:tcW w:w="886" w:type="dxa"/>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w:t>
                  </w:r>
                </w:p>
              </w:tc>
              <w:tc>
                <w:tcPr>
                  <w:tcW w:w="1067" w:type="dxa"/>
                  <w:vAlign w:val="center"/>
                </w:tcPr>
                <w:p>
                  <w:pPr>
                    <w:snapToGrid w:val="0"/>
                    <w:spacing w:line="240" w:lineRule="auto"/>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约</w:t>
                  </w:r>
                  <w:r>
                    <w:rPr>
                      <w:rFonts w:hint="default" w:ascii="Times New Roman" w:hAnsi="Times New Roman" w:cs="Times New Roman"/>
                      <w:bCs/>
                      <w:color w:val="auto"/>
                      <w:szCs w:val="21"/>
                      <w:lang w:val="en-US" w:eastAsia="zh-CN"/>
                    </w:rPr>
                    <w:t>1200</w:t>
                  </w:r>
                </w:p>
              </w:tc>
            </w:tr>
          </w:tbl>
          <w:p>
            <w:pPr>
              <w:tabs>
                <w:tab w:val="left" w:pos="4425"/>
              </w:tabs>
              <w:snapToGrid w:val="0"/>
              <w:spacing w:line="240" w:lineRule="auto"/>
              <w:jc w:val="center"/>
              <w:rPr>
                <w:rFonts w:hint="default" w:ascii="Times New Roman" w:hAnsi="Times New Roman" w:cs="Times New Roman"/>
                <w:b/>
                <w:color w:val="auto"/>
                <w:kern w:val="2"/>
                <w:sz w:val="24"/>
                <w:szCs w:val="24"/>
              </w:rPr>
            </w:pPr>
          </w:p>
          <w:p>
            <w:pPr>
              <w:tabs>
                <w:tab w:val="left" w:pos="4425"/>
              </w:tabs>
              <w:snapToGrid w:val="0"/>
              <w:spacing w:line="240" w:lineRule="auto"/>
              <w:jc w:val="center"/>
              <w:rPr>
                <w:rFonts w:hint="default" w:ascii="Times New Roman" w:hAnsi="Times New Roman" w:cs="Times New Roman"/>
                <w:b/>
                <w:color w:val="auto"/>
                <w:kern w:val="2"/>
                <w:sz w:val="24"/>
                <w:szCs w:val="24"/>
              </w:rPr>
            </w:pPr>
            <w:r>
              <w:rPr>
                <w:rFonts w:hint="default" w:ascii="Times New Roman" w:hAnsi="Times New Roman" w:cs="Times New Roman"/>
                <w:b/>
                <w:color w:val="auto"/>
                <w:kern w:val="2"/>
                <w:sz w:val="24"/>
                <w:szCs w:val="24"/>
              </w:rPr>
              <w:t>表3-14其他</w:t>
            </w:r>
            <w:r>
              <w:rPr>
                <w:rFonts w:hint="default" w:ascii="Times New Roman" w:hAnsi="Times New Roman" w:cs="Times New Roman"/>
                <w:b/>
                <w:color w:val="auto"/>
                <w:kern w:val="2"/>
                <w:sz w:val="24"/>
                <w:szCs w:val="24"/>
                <w:lang w:val="en-US" w:eastAsia="zh-CN"/>
              </w:rPr>
              <w:t>要素</w:t>
            </w:r>
            <w:r>
              <w:rPr>
                <w:rFonts w:hint="default" w:ascii="Times New Roman" w:hAnsi="Times New Roman" w:cs="Times New Roman"/>
                <w:b/>
                <w:color w:val="auto"/>
                <w:kern w:val="2"/>
                <w:sz w:val="24"/>
                <w:szCs w:val="24"/>
              </w:rPr>
              <w:t>环境保护目标</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1873"/>
              <w:gridCol w:w="1665"/>
              <w:gridCol w:w="40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环境要素</w:t>
                  </w:r>
                </w:p>
              </w:tc>
              <w:tc>
                <w:tcPr>
                  <w:tcW w:w="1037"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环境保护目标</w:t>
                  </w:r>
                </w:p>
              </w:tc>
              <w:tc>
                <w:tcPr>
                  <w:tcW w:w="922"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方位/距离</w:t>
                  </w:r>
                </w:p>
              </w:tc>
              <w:tc>
                <w:tcPr>
                  <w:tcW w:w="2235"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环境质量要求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地表水</w:t>
                  </w:r>
                </w:p>
              </w:tc>
              <w:tc>
                <w:tcPr>
                  <w:tcW w:w="1037"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莲花河</w:t>
                  </w:r>
                </w:p>
              </w:tc>
              <w:tc>
                <w:tcPr>
                  <w:tcW w:w="922"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E</w:t>
                  </w:r>
                  <w:r>
                    <w:rPr>
                      <w:rFonts w:hint="default" w:ascii="Times New Roman" w:hAnsi="Times New Roman" w:cs="Times New Roman"/>
                      <w:bCs/>
                      <w:color w:val="auto"/>
                      <w:szCs w:val="21"/>
                      <w:lang w:val="en-US" w:eastAsia="zh-CN"/>
                    </w:rPr>
                    <w:t>463</w:t>
                  </w:r>
                  <w:r>
                    <w:rPr>
                      <w:rFonts w:hint="default" w:ascii="Times New Roman" w:hAnsi="Times New Roman" w:cs="Times New Roman"/>
                      <w:bCs/>
                      <w:color w:val="auto"/>
                      <w:szCs w:val="21"/>
                    </w:rPr>
                    <w:t>m</w:t>
                  </w:r>
                </w:p>
              </w:tc>
              <w:tc>
                <w:tcPr>
                  <w:tcW w:w="2235"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《地表水环境质量标准》</w:t>
                  </w:r>
                </w:p>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（GB3838-2002）中的</w:t>
                  </w:r>
                  <w:r>
                    <w:rPr>
                      <w:rFonts w:hint="default" w:ascii="Times New Roman" w:hAnsi="Times New Roman" w:cs="Times New Roman"/>
                      <w:color w:val="auto"/>
                    </w:rPr>
                    <w:t>Ⅲ</w:t>
                  </w:r>
                  <w:r>
                    <w:rPr>
                      <w:rFonts w:hint="default" w:ascii="Times New Roman" w:hAnsi="Times New Roman" w:cs="Times New Roman"/>
                      <w:bCs/>
                      <w:color w:val="auto"/>
                      <w:szCs w:val="21"/>
                    </w:rPr>
                    <w:t>类水体标准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pct"/>
                  <w:vAlign w:val="center"/>
                </w:tcPr>
                <w:p>
                  <w:pPr>
                    <w:snapToGrid w:val="0"/>
                    <w:spacing w:line="240" w:lineRule="auto"/>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声环境</w:t>
                  </w:r>
                </w:p>
              </w:tc>
              <w:tc>
                <w:tcPr>
                  <w:tcW w:w="1037"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922"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厂界周围200m</w:t>
                  </w:r>
                </w:p>
              </w:tc>
              <w:tc>
                <w:tcPr>
                  <w:tcW w:w="2235"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《声环境质量标准》（GB3096-2008）中的2类标准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pct"/>
                  <w:vAlign w:val="center"/>
                </w:tcPr>
                <w:p>
                  <w:pPr>
                    <w:snapToGrid w:val="0"/>
                    <w:spacing w:line="240" w:lineRule="auto"/>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地下水</w:t>
                  </w:r>
                </w:p>
              </w:tc>
              <w:tc>
                <w:tcPr>
                  <w:tcW w:w="1959" w:type="pct"/>
                  <w:gridSpan w:val="2"/>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评价范围内</w:t>
                  </w:r>
                </w:p>
              </w:tc>
              <w:tc>
                <w:tcPr>
                  <w:tcW w:w="2235"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地下水评价执行《地下水质量标准》（GB/T14848-2017）Ⅲ类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pct"/>
                  <w:vAlign w:val="center"/>
                </w:tcPr>
                <w:p>
                  <w:pPr>
                    <w:snapToGrid w:val="0"/>
                    <w:spacing w:line="240" w:lineRule="auto"/>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土壤</w:t>
                  </w:r>
                </w:p>
              </w:tc>
              <w:tc>
                <w:tcPr>
                  <w:tcW w:w="1959" w:type="pct"/>
                  <w:gridSpan w:val="2"/>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评价范围内</w:t>
                  </w:r>
                </w:p>
              </w:tc>
              <w:tc>
                <w:tcPr>
                  <w:tcW w:w="2235"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《土壤环境质量 建设用地土壤污染风险管控标准（试行）》（GB36600-2018）</w:t>
                  </w:r>
                </w:p>
              </w:tc>
            </w:tr>
          </w:tbl>
          <w:p>
            <w:pPr>
              <w:tabs>
                <w:tab w:val="left" w:pos="4425"/>
              </w:tabs>
              <w:snapToGrid w:val="0"/>
              <w:spacing w:line="240" w:lineRule="auto"/>
              <w:jc w:val="center"/>
              <w:rPr>
                <w:rFonts w:hint="default" w:ascii="Times New Roman" w:hAnsi="Times New Roman" w:cs="Times New Roman"/>
                <w:b/>
                <w:color w:val="auto"/>
                <w:kern w:val="2"/>
                <w:sz w:val="24"/>
                <w:szCs w:val="24"/>
              </w:rPr>
            </w:pPr>
            <w:r>
              <w:rPr>
                <w:rFonts w:hint="default" w:ascii="Times New Roman" w:hAnsi="Times New Roman" w:cs="Times New Roman"/>
                <w:b/>
                <w:color w:val="auto"/>
                <w:kern w:val="2"/>
                <w:sz w:val="24"/>
                <w:szCs w:val="24"/>
              </w:rPr>
              <w:t>表3-1</w:t>
            </w:r>
            <w:r>
              <w:rPr>
                <w:rFonts w:hint="default" w:ascii="Times New Roman" w:hAnsi="Times New Roman" w:cs="Times New Roman"/>
                <w:b/>
                <w:color w:val="auto"/>
                <w:kern w:val="2"/>
                <w:sz w:val="24"/>
                <w:szCs w:val="24"/>
                <w:lang w:val="en-US" w:eastAsia="zh-CN"/>
              </w:rPr>
              <w:t>5风险</w:t>
            </w:r>
            <w:r>
              <w:rPr>
                <w:rFonts w:hint="default" w:ascii="Times New Roman" w:hAnsi="Times New Roman" w:cs="Times New Roman"/>
                <w:b/>
                <w:color w:val="auto"/>
                <w:kern w:val="2"/>
                <w:sz w:val="24"/>
                <w:szCs w:val="24"/>
              </w:rPr>
              <w:t>环境保护目标</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1873"/>
              <w:gridCol w:w="1665"/>
              <w:gridCol w:w="40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环境要素</w:t>
                  </w:r>
                </w:p>
              </w:tc>
              <w:tc>
                <w:tcPr>
                  <w:tcW w:w="1037"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环境保护目标</w:t>
                  </w:r>
                </w:p>
              </w:tc>
              <w:tc>
                <w:tcPr>
                  <w:tcW w:w="922"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方位/距离</w:t>
                  </w:r>
                </w:p>
              </w:tc>
              <w:tc>
                <w:tcPr>
                  <w:tcW w:w="2237"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环境质量要求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vMerge w:val="restart"/>
                  <w:vAlign w:val="center"/>
                </w:tcPr>
                <w:p>
                  <w:pPr>
                    <w:snapToGrid w:val="0"/>
                    <w:spacing w:line="240" w:lineRule="auto"/>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大气</w:t>
                  </w:r>
                </w:p>
              </w:tc>
              <w:tc>
                <w:tcPr>
                  <w:tcW w:w="1037"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东升村</w:t>
                  </w:r>
                </w:p>
              </w:tc>
              <w:tc>
                <w:tcPr>
                  <w:tcW w:w="922" w:type="pct"/>
                  <w:vAlign w:val="center"/>
                </w:tcPr>
                <w:p>
                  <w:pPr>
                    <w:snapToGrid w:val="0"/>
                    <w:spacing w:line="240" w:lineRule="auto"/>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NW</w:t>
                  </w:r>
                  <w:r>
                    <w:rPr>
                      <w:rFonts w:hint="default" w:ascii="Times New Roman" w:hAnsi="Times New Roman" w:cs="Times New Roman"/>
                      <w:bCs/>
                      <w:color w:val="auto"/>
                      <w:szCs w:val="21"/>
                      <w:lang w:val="en-US" w:eastAsia="zh-CN"/>
                    </w:rPr>
                    <w:t>750</w:t>
                  </w:r>
                </w:p>
              </w:tc>
              <w:tc>
                <w:tcPr>
                  <w:tcW w:w="2237" w:type="pct"/>
                  <w:vMerge w:val="restar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vMerge w:val="continue"/>
                  <w:vAlign w:val="center"/>
                </w:tcPr>
                <w:p>
                  <w:pPr>
                    <w:snapToGrid w:val="0"/>
                    <w:spacing w:line="240" w:lineRule="auto"/>
                    <w:jc w:val="center"/>
                    <w:rPr>
                      <w:rFonts w:hint="default" w:ascii="Times New Roman" w:hAnsi="Times New Roman" w:cs="Times New Roman"/>
                      <w:bCs/>
                      <w:color w:val="auto"/>
                      <w:szCs w:val="21"/>
                      <w:lang w:val="en-US" w:eastAsia="zh-CN"/>
                    </w:rPr>
                  </w:pPr>
                </w:p>
              </w:tc>
              <w:tc>
                <w:tcPr>
                  <w:tcW w:w="1037" w:type="pct"/>
                  <w:vAlign w:val="center"/>
                </w:tcPr>
                <w:p>
                  <w:pPr>
                    <w:snapToGrid w:val="0"/>
                    <w:spacing w:line="240" w:lineRule="auto"/>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东兴村</w:t>
                  </w:r>
                </w:p>
              </w:tc>
              <w:tc>
                <w:tcPr>
                  <w:tcW w:w="922" w:type="pct"/>
                  <w:vAlign w:val="center"/>
                </w:tcPr>
                <w:p>
                  <w:pPr>
                    <w:snapToGrid w:val="0"/>
                    <w:spacing w:line="240" w:lineRule="auto"/>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W</w:t>
                  </w:r>
                  <w:r>
                    <w:rPr>
                      <w:rFonts w:hint="default" w:ascii="Times New Roman" w:hAnsi="Times New Roman" w:cs="Times New Roman"/>
                      <w:bCs/>
                      <w:color w:val="auto"/>
                      <w:szCs w:val="21"/>
                      <w:lang w:val="en-US" w:eastAsia="zh-CN"/>
                    </w:rPr>
                    <w:t>1200</w:t>
                  </w:r>
                </w:p>
              </w:tc>
              <w:tc>
                <w:tcPr>
                  <w:tcW w:w="2237" w:type="pct"/>
                  <w:vMerge w:val="continue"/>
                  <w:vAlign w:val="center"/>
                </w:tcPr>
                <w:p>
                  <w:pPr>
                    <w:snapToGrid w:val="0"/>
                    <w:spacing w:line="240" w:lineRule="auto"/>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地表水</w:t>
                  </w:r>
                </w:p>
              </w:tc>
              <w:tc>
                <w:tcPr>
                  <w:tcW w:w="1037"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莲花河</w:t>
                  </w:r>
                </w:p>
              </w:tc>
              <w:tc>
                <w:tcPr>
                  <w:tcW w:w="922"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E</w:t>
                  </w:r>
                  <w:r>
                    <w:rPr>
                      <w:rFonts w:hint="default" w:ascii="Times New Roman" w:hAnsi="Times New Roman" w:cs="Times New Roman"/>
                      <w:bCs/>
                      <w:color w:val="auto"/>
                      <w:szCs w:val="21"/>
                      <w:lang w:val="en-US" w:eastAsia="zh-CN"/>
                    </w:rPr>
                    <w:t>463</w:t>
                  </w:r>
                  <w:r>
                    <w:rPr>
                      <w:rFonts w:hint="default" w:ascii="Times New Roman" w:hAnsi="Times New Roman" w:cs="Times New Roman"/>
                      <w:bCs/>
                      <w:color w:val="auto"/>
                      <w:szCs w:val="21"/>
                    </w:rPr>
                    <w:t>m</w:t>
                  </w:r>
                </w:p>
              </w:tc>
              <w:tc>
                <w:tcPr>
                  <w:tcW w:w="2237"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《地表水环境质量标准》</w:t>
                  </w:r>
                </w:p>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（GB3838-2002）中的</w:t>
                  </w:r>
                  <w:r>
                    <w:rPr>
                      <w:rFonts w:hint="default" w:ascii="Times New Roman" w:hAnsi="Times New Roman" w:cs="Times New Roman"/>
                      <w:color w:val="auto"/>
                    </w:rPr>
                    <w:t>Ⅲ</w:t>
                  </w:r>
                  <w:r>
                    <w:rPr>
                      <w:rFonts w:hint="default" w:ascii="Times New Roman" w:hAnsi="Times New Roman" w:cs="Times New Roman"/>
                      <w:bCs/>
                      <w:color w:val="auto"/>
                      <w:szCs w:val="21"/>
                    </w:rPr>
                    <w:t>类水体标准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vAlign w:val="center"/>
                </w:tcPr>
                <w:p>
                  <w:pPr>
                    <w:snapToGrid w:val="0"/>
                    <w:spacing w:line="240" w:lineRule="auto"/>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地下水</w:t>
                  </w:r>
                </w:p>
              </w:tc>
              <w:tc>
                <w:tcPr>
                  <w:tcW w:w="1959" w:type="pct"/>
                  <w:gridSpan w:val="2"/>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评价范围内</w:t>
                  </w:r>
                </w:p>
              </w:tc>
              <w:tc>
                <w:tcPr>
                  <w:tcW w:w="2237"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《地下水质量标准》（GB/T14848-2017）Ⅲ类</w:t>
                  </w:r>
                </w:p>
              </w:tc>
            </w:tr>
          </w:tbl>
          <w:p>
            <w:pPr>
              <w:pStyle w:val="2"/>
              <w:rPr>
                <w:rFonts w:hint="default" w:ascii="Times New Roman" w:hAnsi="Times New Roman" w:cs="Times New Roman"/>
                <w:color w:val="auto"/>
                <w:vertAlign w:val="baseline"/>
                <w:lang w:val="en-US" w:eastAsia="zh-CN"/>
              </w:rPr>
            </w:pPr>
          </w:p>
          <w:p>
            <w:pPr>
              <w:pStyle w:val="2"/>
              <w:rPr>
                <w:rFonts w:hint="default" w:ascii="Times New Roman" w:hAnsi="Times New Roman" w:cs="Times New Roman"/>
                <w:color w:val="auto"/>
                <w:vertAlign w:val="baseline"/>
                <w:lang w:val="en-US" w:eastAsia="zh-CN"/>
              </w:rPr>
            </w:pPr>
          </w:p>
          <w:p>
            <w:pPr>
              <w:pStyle w:val="2"/>
              <w:rPr>
                <w:rFonts w:hint="default" w:ascii="Times New Roman" w:hAnsi="Times New Roman" w:cs="Times New Roman"/>
                <w:color w:val="auto"/>
                <w:vertAlign w:val="baseline"/>
                <w:lang w:val="en-US" w:eastAsia="zh-CN"/>
              </w:rPr>
            </w:pPr>
          </w:p>
          <w:p>
            <w:pPr>
              <w:pStyle w:val="2"/>
              <w:rPr>
                <w:rFonts w:hint="default" w:ascii="Times New Roman" w:hAnsi="Times New Roman" w:cs="Times New Roman"/>
                <w:color w:val="auto"/>
                <w:vertAlign w:val="baseline"/>
              </w:rPr>
            </w:pPr>
          </w:p>
        </w:tc>
      </w:tr>
    </w:tbl>
    <w:p>
      <w:pPr>
        <w:bidi w:val="0"/>
        <w:rPr>
          <w:rFonts w:hint="default" w:ascii="Times New Roman" w:hAnsi="Times New Roman" w:cs="Times New Roman"/>
          <w:color w:val="auto"/>
        </w:rPr>
      </w:pPr>
    </w:p>
    <w:p>
      <w:pPr>
        <w:rPr>
          <w:rFonts w:hint="default" w:ascii="Times New Roman" w:hAnsi="Times New Roman" w:cs="Times New Roman"/>
          <w:color w:val="auto"/>
        </w:rPr>
      </w:pPr>
    </w:p>
    <w:p>
      <w:pPr>
        <w:pStyle w:val="3"/>
        <w:keepNext w:val="0"/>
        <w:keepLines w:val="0"/>
        <w:spacing w:after="0" w:line="240" w:lineRule="auto"/>
        <w:jc w:val="left"/>
        <w:rPr>
          <w:rFonts w:hint="default" w:ascii="Times New Roman" w:hAnsi="Times New Roman" w:cs="Times New Roman"/>
          <w:color w:val="auto"/>
        </w:rPr>
      </w:pPr>
      <w:r>
        <w:rPr>
          <w:rFonts w:hint="default" w:ascii="Times New Roman" w:hAnsi="Times New Roman" w:cs="Times New Roman"/>
          <w:color w:val="auto"/>
        </w:rPr>
        <w:t>评价适用标准</w:t>
      </w:r>
      <w:bookmarkEnd w:id="3"/>
    </w:p>
    <w:tbl>
      <w:tblPr>
        <w:tblStyle w:val="33"/>
        <w:tblW w:w="894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30"/>
        <w:gridCol w:w="82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98" w:hRule="atLeast"/>
          <w:jc w:val="center"/>
        </w:trPr>
        <w:tc>
          <w:tcPr>
            <w:tcW w:w="730" w:type="dxa"/>
          </w:tcPr>
          <w:p>
            <w:pPr>
              <w:spacing w:line="360" w:lineRule="auto"/>
              <w:jc w:val="center"/>
              <w:rPr>
                <w:rFonts w:hint="default" w:ascii="Times New Roman" w:hAnsi="Times New Roman" w:cs="Times New Roman"/>
                <w:color w:val="auto"/>
                <w:sz w:val="28"/>
              </w:rPr>
            </w:pPr>
          </w:p>
          <w:p>
            <w:pPr>
              <w:spacing w:line="360" w:lineRule="auto"/>
              <w:jc w:val="center"/>
              <w:rPr>
                <w:rFonts w:hint="default" w:ascii="Times New Roman" w:hAnsi="Times New Roman" w:cs="Times New Roman"/>
                <w:color w:val="auto"/>
                <w:sz w:val="28"/>
              </w:rPr>
            </w:pPr>
          </w:p>
          <w:p>
            <w:pPr>
              <w:spacing w:line="360" w:lineRule="auto"/>
              <w:jc w:val="center"/>
              <w:rPr>
                <w:rFonts w:hint="default" w:ascii="Times New Roman" w:hAnsi="Times New Roman" w:cs="Times New Roman"/>
                <w:color w:val="auto"/>
                <w:sz w:val="28"/>
              </w:rPr>
            </w:pPr>
          </w:p>
          <w:p>
            <w:pPr>
              <w:spacing w:line="360" w:lineRule="auto"/>
              <w:jc w:val="center"/>
              <w:rPr>
                <w:rFonts w:hint="default" w:ascii="Times New Roman" w:hAnsi="Times New Roman" w:cs="Times New Roman"/>
                <w:color w:val="auto"/>
                <w:sz w:val="28"/>
              </w:rPr>
            </w:pPr>
          </w:p>
          <w:p>
            <w:pPr>
              <w:spacing w:line="360" w:lineRule="auto"/>
              <w:jc w:val="center"/>
              <w:rPr>
                <w:rFonts w:hint="default" w:ascii="Times New Roman" w:hAnsi="Times New Roman" w:cs="Times New Roman"/>
                <w:color w:val="auto"/>
                <w:sz w:val="28"/>
              </w:rPr>
            </w:pPr>
            <w:r>
              <w:rPr>
                <w:rFonts w:hint="default" w:ascii="Times New Roman" w:hAnsi="Times New Roman" w:cs="Times New Roman"/>
                <w:color w:val="auto"/>
                <w:sz w:val="28"/>
              </w:rPr>
              <w:t>环境质量标准</w:t>
            </w:r>
          </w:p>
          <w:p>
            <w:pPr>
              <w:spacing w:line="360" w:lineRule="auto"/>
              <w:jc w:val="center"/>
              <w:rPr>
                <w:rFonts w:hint="default" w:ascii="Times New Roman" w:hAnsi="Times New Roman" w:cs="Times New Roman"/>
                <w:b/>
                <w:color w:val="auto"/>
                <w:sz w:val="24"/>
              </w:rPr>
            </w:pPr>
          </w:p>
          <w:p>
            <w:pPr>
              <w:spacing w:line="360" w:lineRule="auto"/>
              <w:jc w:val="center"/>
              <w:rPr>
                <w:rFonts w:hint="default" w:ascii="Times New Roman" w:hAnsi="Times New Roman" w:cs="Times New Roman"/>
                <w:b/>
                <w:color w:val="auto"/>
                <w:sz w:val="24"/>
              </w:rPr>
            </w:pPr>
          </w:p>
          <w:p>
            <w:pPr>
              <w:spacing w:line="360" w:lineRule="auto"/>
              <w:jc w:val="center"/>
              <w:rPr>
                <w:rFonts w:hint="default" w:ascii="Times New Roman" w:hAnsi="Times New Roman" w:cs="Times New Roman"/>
                <w:b/>
                <w:color w:val="auto"/>
                <w:sz w:val="24"/>
              </w:rPr>
            </w:pPr>
          </w:p>
          <w:p>
            <w:pPr>
              <w:spacing w:line="360" w:lineRule="auto"/>
              <w:jc w:val="center"/>
              <w:rPr>
                <w:rFonts w:hint="default" w:ascii="Times New Roman" w:hAnsi="Times New Roman" w:cs="Times New Roman"/>
                <w:b/>
                <w:color w:val="auto"/>
                <w:sz w:val="24"/>
              </w:rPr>
            </w:pPr>
          </w:p>
          <w:p>
            <w:pPr>
              <w:spacing w:line="360" w:lineRule="auto"/>
              <w:jc w:val="center"/>
              <w:rPr>
                <w:rFonts w:hint="default" w:ascii="Times New Roman" w:hAnsi="Times New Roman" w:cs="Times New Roman"/>
                <w:b/>
                <w:color w:val="auto"/>
                <w:sz w:val="24"/>
              </w:rPr>
            </w:pPr>
          </w:p>
          <w:p>
            <w:pPr>
              <w:spacing w:line="360" w:lineRule="auto"/>
              <w:jc w:val="center"/>
              <w:rPr>
                <w:rFonts w:hint="default" w:ascii="Times New Roman" w:hAnsi="Times New Roman" w:cs="Times New Roman"/>
                <w:b/>
                <w:color w:val="auto"/>
                <w:sz w:val="24"/>
              </w:rPr>
            </w:pPr>
          </w:p>
          <w:p>
            <w:pPr>
              <w:spacing w:line="360" w:lineRule="auto"/>
              <w:jc w:val="center"/>
              <w:rPr>
                <w:rFonts w:hint="default" w:ascii="Times New Roman" w:hAnsi="Times New Roman" w:cs="Times New Roman"/>
                <w:b/>
                <w:color w:val="auto"/>
                <w:sz w:val="24"/>
              </w:rPr>
            </w:pPr>
          </w:p>
          <w:p>
            <w:pPr>
              <w:spacing w:line="360" w:lineRule="auto"/>
              <w:jc w:val="center"/>
              <w:rPr>
                <w:rFonts w:hint="default" w:ascii="Times New Roman" w:hAnsi="Times New Roman" w:cs="Times New Roman"/>
                <w:b/>
                <w:color w:val="auto"/>
                <w:sz w:val="24"/>
              </w:rPr>
            </w:pPr>
          </w:p>
          <w:p>
            <w:pPr>
              <w:spacing w:line="360" w:lineRule="auto"/>
              <w:jc w:val="center"/>
              <w:rPr>
                <w:rFonts w:hint="default" w:ascii="Times New Roman" w:hAnsi="Times New Roman" w:cs="Times New Roman"/>
                <w:b/>
                <w:color w:val="auto"/>
                <w:sz w:val="24"/>
              </w:rPr>
            </w:pPr>
          </w:p>
          <w:p>
            <w:pPr>
              <w:spacing w:line="360" w:lineRule="auto"/>
              <w:jc w:val="center"/>
              <w:rPr>
                <w:rFonts w:hint="default" w:ascii="Times New Roman" w:hAnsi="Times New Roman" w:cs="Times New Roman"/>
                <w:b/>
                <w:color w:val="auto"/>
                <w:sz w:val="24"/>
              </w:rPr>
            </w:pPr>
          </w:p>
          <w:p>
            <w:pPr>
              <w:spacing w:line="360" w:lineRule="auto"/>
              <w:jc w:val="center"/>
              <w:rPr>
                <w:rFonts w:hint="default" w:ascii="Times New Roman" w:hAnsi="Times New Roman" w:cs="Times New Roman"/>
                <w:b/>
                <w:color w:val="auto"/>
                <w:sz w:val="24"/>
              </w:rPr>
            </w:pPr>
          </w:p>
          <w:p>
            <w:pPr>
              <w:spacing w:line="360" w:lineRule="auto"/>
              <w:jc w:val="center"/>
              <w:rPr>
                <w:rFonts w:hint="default" w:ascii="Times New Roman" w:hAnsi="Times New Roman" w:cs="Times New Roman"/>
                <w:b/>
                <w:color w:val="auto"/>
                <w:sz w:val="24"/>
              </w:rPr>
            </w:pPr>
          </w:p>
          <w:p>
            <w:pPr>
              <w:spacing w:line="360" w:lineRule="auto"/>
              <w:jc w:val="center"/>
              <w:rPr>
                <w:rFonts w:hint="default" w:ascii="Times New Roman" w:hAnsi="Times New Roman" w:cs="Times New Roman"/>
                <w:b/>
                <w:color w:val="auto"/>
                <w:sz w:val="24"/>
              </w:rPr>
            </w:pPr>
          </w:p>
          <w:p>
            <w:pPr>
              <w:spacing w:line="360" w:lineRule="auto"/>
              <w:rPr>
                <w:rFonts w:hint="default" w:ascii="Times New Roman" w:hAnsi="Times New Roman" w:cs="Times New Roman"/>
                <w:b/>
                <w:color w:val="auto"/>
                <w:sz w:val="24"/>
              </w:rPr>
            </w:pPr>
          </w:p>
          <w:p>
            <w:pPr>
              <w:spacing w:line="360" w:lineRule="auto"/>
              <w:rPr>
                <w:rFonts w:hint="default" w:ascii="Times New Roman" w:hAnsi="Times New Roman" w:cs="Times New Roman"/>
                <w:b/>
                <w:color w:val="auto"/>
                <w:sz w:val="24"/>
              </w:rPr>
            </w:pPr>
          </w:p>
          <w:p>
            <w:pPr>
              <w:spacing w:line="360" w:lineRule="auto"/>
              <w:rPr>
                <w:rFonts w:hint="default" w:ascii="Times New Roman" w:hAnsi="Times New Roman" w:cs="Times New Roman"/>
                <w:b/>
                <w:color w:val="auto"/>
                <w:sz w:val="24"/>
              </w:rPr>
            </w:pPr>
          </w:p>
          <w:p>
            <w:pPr>
              <w:spacing w:line="360" w:lineRule="auto"/>
              <w:rPr>
                <w:rFonts w:hint="default" w:ascii="Times New Roman" w:hAnsi="Times New Roman" w:cs="Times New Roman"/>
                <w:b/>
                <w:color w:val="auto"/>
                <w:sz w:val="24"/>
              </w:rPr>
            </w:pPr>
          </w:p>
          <w:p>
            <w:pPr>
              <w:spacing w:line="360" w:lineRule="auto"/>
              <w:rPr>
                <w:rFonts w:hint="default" w:ascii="Times New Roman" w:hAnsi="Times New Roman" w:cs="Times New Roman"/>
                <w:b/>
                <w:color w:val="auto"/>
                <w:sz w:val="24"/>
              </w:rPr>
            </w:pPr>
          </w:p>
        </w:tc>
        <w:tc>
          <w:tcPr>
            <w:tcW w:w="8217" w:type="dxa"/>
          </w:tcPr>
          <w:p>
            <w:pPr>
              <w:pStyle w:val="68"/>
              <w:ind w:firstLine="0" w:firstLineChars="0"/>
              <w:rPr>
                <w:rStyle w:val="61"/>
                <w:rFonts w:hint="default" w:ascii="Times New Roman" w:hAnsi="Times New Roman" w:cs="Times New Roman"/>
                <w:color w:val="auto"/>
                <w:szCs w:val="24"/>
              </w:rPr>
            </w:pPr>
            <w:r>
              <w:rPr>
                <w:rStyle w:val="61"/>
                <w:rFonts w:hint="default" w:ascii="Times New Roman" w:hAnsi="Times New Roman" w:cs="Times New Roman"/>
                <w:color w:val="auto"/>
                <w:szCs w:val="24"/>
              </w:rPr>
              <w:t>1、环境空气质量标准</w:t>
            </w:r>
          </w:p>
          <w:p>
            <w:pPr>
              <w:pStyle w:val="68"/>
              <w:ind w:firstLine="480"/>
              <w:rPr>
                <w:rFonts w:hint="default" w:ascii="Times New Roman" w:hAnsi="Times New Roman" w:cs="Times New Roman"/>
                <w:b w:val="0"/>
                <w:bCs/>
                <w:color w:val="auto"/>
              </w:rPr>
            </w:pPr>
            <w:r>
              <w:rPr>
                <w:rStyle w:val="61"/>
                <w:rFonts w:hint="default" w:ascii="Times New Roman" w:hAnsi="Times New Roman" w:cs="Times New Roman"/>
                <w:b w:val="0"/>
                <w:bCs/>
                <w:color w:val="auto"/>
              </w:rPr>
              <w:t>项目所在区域属于二类环境空气质量功能区，常规污染物执行《环境空气质量标准》（GB3095-2012）及其修改单中的二级标准。</w:t>
            </w:r>
            <w:r>
              <w:rPr>
                <w:rFonts w:hint="default" w:ascii="Times New Roman" w:hAnsi="Times New Roman" w:cs="Times New Roman"/>
                <w:b w:val="0"/>
                <w:bCs/>
                <w:color w:val="auto"/>
                <w:szCs w:val="24"/>
              </w:rPr>
              <w:t>NH</w:t>
            </w:r>
            <w:r>
              <w:rPr>
                <w:rFonts w:hint="default" w:ascii="Times New Roman" w:hAnsi="Times New Roman" w:cs="Times New Roman"/>
                <w:b w:val="0"/>
                <w:bCs/>
                <w:color w:val="auto"/>
                <w:szCs w:val="24"/>
                <w:vertAlign w:val="subscript"/>
              </w:rPr>
              <w:t>3</w:t>
            </w:r>
            <w:r>
              <w:rPr>
                <w:rFonts w:hint="default" w:ascii="Times New Roman" w:hAnsi="Times New Roman" w:cs="Times New Roman"/>
                <w:b w:val="0"/>
                <w:bCs/>
                <w:color w:val="auto"/>
                <w:szCs w:val="24"/>
              </w:rPr>
              <w:t>、H</w:t>
            </w:r>
            <w:r>
              <w:rPr>
                <w:rFonts w:hint="default" w:ascii="Times New Roman" w:hAnsi="Times New Roman" w:cs="Times New Roman"/>
                <w:b w:val="0"/>
                <w:bCs/>
                <w:color w:val="auto"/>
                <w:szCs w:val="24"/>
                <w:vertAlign w:val="subscript"/>
              </w:rPr>
              <w:t>2</w:t>
            </w:r>
            <w:r>
              <w:rPr>
                <w:rFonts w:hint="default" w:ascii="Times New Roman" w:hAnsi="Times New Roman" w:cs="Times New Roman"/>
                <w:b w:val="0"/>
                <w:bCs/>
                <w:color w:val="auto"/>
                <w:szCs w:val="24"/>
              </w:rPr>
              <w:t>S</w:t>
            </w:r>
            <w:r>
              <w:rPr>
                <w:rStyle w:val="61"/>
                <w:rFonts w:hint="default" w:ascii="Times New Roman" w:hAnsi="Times New Roman" w:cs="Times New Roman"/>
                <w:b w:val="0"/>
                <w:bCs/>
                <w:color w:val="auto"/>
              </w:rPr>
              <w:t>参照执行《环境影响评价技术导则大气环境》(HJ2.2-2018)附录D.1其他污染物空气质量浓度参考限值。</w:t>
            </w:r>
          </w:p>
          <w:p>
            <w:pPr>
              <w:adjustRightInd/>
              <w:spacing w:before="156" w:beforeLines="50" w:line="240" w:lineRule="auto"/>
              <w:jc w:val="center"/>
              <w:textAlignment w:val="auto"/>
              <w:rPr>
                <w:rFonts w:hint="default" w:ascii="Times New Roman" w:hAnsi="Times New Roman" w:cs="Times New Roman"/>
                <w:b/>
                <w:color w:val="auto"/>
                <w:kern w:val="2"/>
                <w:sz w:val="24"/>
                <w:szCs w:val="24"/>
                <w:vertAlign w:val="superscript"/>
              </w:rPr>
            </w:pPr>
            <w:r>
              <w:rPr>
                <w:rFonts w:hint="default" w:ascii="Times New Roman" w:hAnsi="Times New Roman" w:cs="Times New Roman"/>
                <w:b/>
                <w:color w:val="auto"/>
                <w:kern w:val="2"/>
                <w:sz w:val="24"/>
                <w:szCs w:val="24"/>
              </w:rPr>
              <w:t xml:space="preserve">表4-1《环境空气质量标准》（GB3095-2012）    </w:t>
            </w:r>
          </w:p>
          <w:tbl>
            <w:tblPr>
              <w:tblStyle w:val="33"/>
              <w:tblW w:w="80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00"/>
              <w:gridCol w:w="2001"/>
              <w:gridCol w:w="1999"/>
              <w:gridCol w:w="20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0" w:type="dxa"/>
                  <w:vMerge w:val="restart"/>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污染物名称</w:t>
                  </w:r>
                </w:p>
              </w:tc>
              <w:tc>
                <w:tcPr>
                  <w:tcW w:w="6001" w:type="dxa"/>
                  <w:gridSpan w:val="3"/>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0" w:type="dxa"/>
                  <w:vMerge w:val="continue"/>
                  <w:vAlign w:val="center"/>
                </w:tcPr>
                <w:p>
                  <w:pPr>
                    <w:spacing w:line="240" w:lineRule="auto"/>
                    <w:jc w:val="center"/>
                    <w:rPr>
                      <w:rFonts w:hint="default" w:ascii="Times New Roman" w:hAnsi="Times New Roman" w:cs="Times New Roman"/>
                      <w:bCs/>
                      <w:color w:val="auto"/>
                      <w:szCs w:val="21"/>
                    </w:rPr>
                  </w:pP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平均时间</w:t>
                  </w:r>
                </w:p>
              </w:tc>
              <w:tc>
                <w:tcPr>
                  <w:tcW w:w="1999"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单位</w:t>
                  </w: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0" w:type="dxa"/>
                  <w:vMerge w:val="restart"/>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SO</w:t>
                  </w:r>
                  <w:r>
                    <w:rPr>
                      <w:rFonts w:hint="default" w:ascii="Times New Roman" w:hAnsi="Times New Roman" w:cs="Times New Roman"/>
                      <w:bCs/>
                      <w:color w:val="auto"/>
                      <w:szCs w:val="21"/>
                      <w:vertAlign w:val="subscript"/>
                    </w:rPr>
                    <w:t>2</w:t>
                  </w: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年平均</w:t>
                  </w:r>
                </w:p>
              </w:tc>
              <w:tc>
                <w:tcPr>
                  <w:tcW w:w="1999" w:type="dxa"/>
                  <w:vMerge w:val="restart"/>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color w:val="auto"/>
                      <w:kern w:val="2"/>
                      <w:szCs w:val="24"/>
                    </w:rPr>
                    <w:t>μg/m</w:t>
                  </w:r>
                  <w:r>
                    <w:rPr>
                      <w:rFonts w:hint="default" w:ascii="Times New Roman" w:hAnsi="Times New Roman" w:cs="Times New Roman"/>
                      <w:color w:val="auto"/>
                      <w:kern w:val="2"/>
                      <w:szCs w:val="24"/>
                      <w:vertAlign w:val="superscript"/>
                    </w:rPr>
                    <w:t>3</w:t>
                  </w: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0" w:type="dxa"/>
                  <w:vMerge w:val="continue"/>
                  <w:vAlign w:val="center"/>
                </w:tcPr>
                <w:p>
                  <w:pPr>
                    <w:spacing w:line="240" w:lineRule="auto"/>
                    <w:jc w:val="center"/>
                    <w:rPr>
                      <w:rFonts w:hint="default" w:ascii="Times New Roman" w:hAnsi="Times New Roman" w:cs="Times New Roman"/>
                      <w:bCs/>
                      <w:color w:val="auto"/>
                      <w:szCs w:val="21"/>
                    </w:rPr>
                  </w:pP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24小时平均</w:t>
                  </w:r>
                </w:p>
              </w:tc>
              <w:tc>
                <w:tcPr>
                  <w:tcW w:w="1999" w:type="dxa"/>
                  <w:vMerge w:val="continue"/>
                  <w:vAlign w:val="center"/>
                </w:tcPr>
                <w:p>
                  <w:pPr>
                    <w:spacing w:line="240" w:lineRule="auto"/>
                    <w:jc w:val="center"/>
                    <w:rPr>
                      <w:rFonts w:hint="default" w:ascii="Times New Roman" w:hAnsi="Times New Roman" w:cs="Times New Roman"/>
                      <w:bCs/>
                      <w:color w:val="auto"/>
                      <w:szCs w:val="21"/>
                    </w:rPr>
                  </w:pP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0" w:type="dxa"/>
                  <w:vMerge w:val="continue"/>
                  <w:vAlign w:val="center"/>
                </w:tcPr>
                <w:p>
                  <w:pPr>
                    <w:spacing w:line="240" w:lineRule="auto"/>
                    <w:jc w:val="center"/>
                    <w:rPr>
                      <w:rFonts w:hint="default" w:ascii="Times New Roman" w:hAnsi="Times New Roman" w:cs="Times New Roman"/>
                      <w:bCs/>
                      <w:color w:val="auto"/>
                      <w:szCs w:val="21"/>
                    </w:rPr>
                  </w:pP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1小时平均</w:t>
                  </w:r>
                </w:p>
              </w:tc>
              <w:tc>
                <w:tcPr>
                  <w:tcW w:w="1999" w:type="dxa"/>
                  <w:vMerge w:val="continue"/>
                  <w:vAlign w:val="center"/>
                </w:tcPr>
                <w:p>
                  <w:pPr>
                    <w:spacing w:line="240" w:lineRule="auto"/>
                    <w:jc w:val="center"/>
                    <w:rPr>
                      <w:rFonts w:hint="default" w:ascii="Times New Roman" w:hAnsi="Times New Roman" w:cs="Times New Roman"/>
                      <w:bCs/>
                      <w:color w:val="auto"/>
                      <w:szCs w:val="21"/>
                    </w:rPr>
                  </w:pP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0" w:type="dxa"/>
                  <w:vMerge w:val="restart"/>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NO</w:t>
                  </w:r>
                  <w:r>
                    <w:rPr>
                      <w:rFonts w:hint="default" w:ascii="Times New Roman" w:hAnsi="Times New Roman" w:cs="Times New Roman"/>
                      <w:bCs/>
                      <w:color w:val="auto"/>
                      <w:szCs w:val="21"/>
                      <w:vertAlign w:val="subscript"/>
                    </w:rPr>
                    <w:t>2</w:t>
                  </w: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年平均</w:t>
                  </w:r>
                </w:p>
              </w:tc>
              <w:tc>
                <w:tcPr>
                  <w:tcW w:w="1999" w:type="dxa"/>
                  <w:vMerge w:val="continue"/>
                  <w:vAlign w:val="center"/>
                </w:tcPr>
                <w:p>
                  <w:pPr>
                    <w:spacing w:line="240" w:lineRule="auto"/>
                    <w:jc w:val="center"/>
                    <w:rPr>
                      <w:rFonts w:hint="default" w:ascii="Times New Roman" w:hAnsi="Times New Roman" w:cs="Times New Roman"/>
                      <w:bCs/>
                      <w:color w:val="auto"/>
                      <w:szCs w:val="21"/>
                    </w:rPr>
                  </w:pP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0" w:type="dxa"/>
                  <w:vMerge w:val="continue"/>
                  <w:vAlign w:val="center"/>
                </w:tcPr>
                <w:p>
                  <w:pPr>
                    <w:spacing w:line="240" w:lineRule="auto"/>
                    <w:jc w:val="center"/>
                    <w:rPr>
                      <w:rFonts w:hint="default" w:ascii="Times New Roman" w:hAnsi="Times New Roman" w:cs="Times New Roman"/>
                      <w:bCs/>
                      <w:color w:val="auto"/>
                      <w:szCs w:val="21"/>
                    </w:rPr>
                  </w:pP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24小时平均</w:t>
                  </w:r>
                </w:p>
              </w:tc>
              <w:tc>
                <w:tcPr>
                  <w:tcW w:w="1999" w:type="dxa"/>
                  <w:vMerge w:val="continue"/>
                  <w:vAlign w:val="center"/>
                </w:tcPr>
                <w:p>
                  <w:pPr>
                    <w:spacing w:line="240" w:lineRule="auto"/>
                    <w:jc w:val="center"/>
                    <w:rPr>
                      <w:rFonts w:hint="default" w:ascii="Times New Roman" w:hAnsi="Times New Roman" w:cs="Times New Roman"/>
                      <w:bCs/>
                      <w:color w:val="auto"/>
                      <w:szCs w:val="21"/>
                    </w:rPr>
                  </w:pP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0" w:type="dxa"/>
                  <w:vMerge w:val="continue"/>
                  <w:vAlign w:val="center"/>
                </w:tcPr>
                <w:p>
                  <w:pPr>
                    <w:spacing w:line="240" w:lineRule="auto"/>
                    <w:jc w:val="center"/>
                    <w:rPr>
                      <w:rFonts w:hint="default" w:ascii="Times New Roman" w:hAnsi="Times New Roman" w:cs="Times New Roman"/>
                      <w:bCs/>
                      <w:color w:val="auto"/>
                      <w:szCs w:val="21"/>
                    </w:rPr>
                  </w:pP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1小时平均</w:t>
                  </w:r>
                </w:p>
              </w:tc>
              <w:tc>
                <w:tcPr>
                  <w:tcW w:w="1999" w:type="dxa"/>
                  <w:vMerge w:val="continue"/>
                  <w:vAlign w:val="center"/>
                </w:tcPr>
                <w:p>
                  <w:pPr>
                    <w:spacing w:line="240" w:lineRule="auto"/>
                    <w:jc w:val="center"/>
                    <w:rPr>
                      <w:rFonts w:hint="default" w:ascii="Times New Roman" w:hAnsi="Times New Roman" w:cs="Times New Roman"/>
                      <w:bCs/>
                      <w:color w:val="auto"/>
                      <w:szCs w:val="21"/>
                    </w:rPr>
                  </w:pP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0" w:type="dxa"/>
                  <w:vMerge w:val="restart"/>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PM</w:t>
                  </w:r>
                  <w:r>
                    <w:rPr>
                      <w:rFonts w:hint="default" w:ascii="Times New Roman" w:hAnsi="Times New Roman" w:cs="Times New Roman"/>
                      <w:bCs/>
                      <w:color w:val="auto"/>
                      <w:szCs w:val="21"/>
                      <w:vertAlign w:val="subscript"/>
                    </w:rPr>
                    <w:t>10</w:t>
                  </w: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年平均</w:t>
                  </w:r>
                </w:p>
              </w:tc>
              <w:tc>
                <w:tcPr>
                  <w:tcW w:w="1999" w:type="dxa"/>
                  <w:vMerge w:val="continue"/>
                  <w:vAlign w:val="center"/>
                </w:tcPr>
                <w:p>
                  <w:pPr>
                    <w:spacing w:line="240" w:lineRule="auto"/>
                    <w:jc w:val="center"/>
                    <w:rPr>
                      <w:rFonts w:hint="default" w:ascii="Times New Roman" w:hAnsi="Times New Roman" w:cs="Times New Roman"/>
                      <w:bCs/>
                      <w:color w:val="auto"/>
                      <w:szCs w:val="21"/>
                    </w:rPr>
                  </w:pP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0" w:type="dxa"/>
                  <w:vMerge w:val="continue"/>
                  <w:vAlign w:val="center"/>
                </w:tcPr>
                <w:p>
                  <w:pPr>
                    <w:spacing w:line="240" w:lineRule="auto"/>
                    <w:jc w:val="center"/>
                    <w:rPr>
                      <w:rFonts w:hint="default" w:ascii="Times New Roman" w:hAnsi="Times New Roman" w:cs="Times New Roman"/>
                      <w:bCs/>
                      <w:color w:val="auto"/>
                      <w:szCs w:val="21"/>
                    </w:rPr>
                  </w:pP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24小时平均</w:t>
                  </w:r>
                </w:p>
              </w:tc>
              <w:tc>
                <w:tcPr>
                  <w:tcW w:w="1999" w:type="dxa"/>
                  <w:vMerge w:val="continue"/>
                  <w:vAlign w:val="center"/>
                </w:tcPr>
                <w:p>
                  <w:pPr>
                    <w:spacing w:line="240" w:lineRule="auto"/>
                    <w:jc w:val="center"/>
                    <w:rPr>
                      <w:rFonts w:hint="default" w:ascii="Times New Roman" w:hAnsi="Times New Roman" w:cs="Times New Roman"/>
                      <w:bCs/>
                      <w:color w:val="auto"/>
                      <w:szCs w:val="21"/>
                    </w:rPr>
                  </w:pP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0" w:type="dxa"/>
                  <w:vMerge w:val="restart"/>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PM</w:t>
                  </w:r>
                  <w:r>
                    <w:rPr>
                      <w:rFonts w:hint="default" w:ascii="Times New Roman" w:hAnsi="Times New Roman" w:cs="Times New Roman"/>
                      <w:bCs/>
                      <w:color w:val="auto"/>
                      <w:szCs w:val="21"/>
                      <w:vertAlign w:val="subscript"/>
                    </w:rPr>
                    <w:t>2.5</w:t>
                  </w: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年平均</w:t>
                  </w:r>
                </w:p>
              </w:tc>
              <w:tc>
                <w:tcPr>
                  <w:tcW w:w="1999" w:type="dxa"/>
                  <w:vMerge w:val="continue"/>
                  <w:vAlign w:val="center"/>
                </w:tcPr>
                <w:p>
                  <w:pPr>
                    <w:spacing w:line="240" w:lineRule="auto"/>
                    <w:jc w:val="center"/>
                    <w:rPr>
                      <w:rFonts w:hint="default" w:ascii="Times New Roman" w:hAnsi="Times New Roman" w:cs="Times New Roman"/>
                      <w:bCs/>
                      <w:color w:val="auto"/>
                      <w:szCs w:val="21"/>
                    </w:rPr>
                  </w:pP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0" w:type="dxa"/>
                  <w:vMerge w:val="continue"/>
                  <w:vAlign w:val="center"/>
                </w:tcPr>
                <w:p>
                  <w:pPr>
                    <w:spacing w:line="240" w:lineRule="auto"/>
                    <w:jc w:val="center"/>
                    <w:rPr>
                      <w:rFonts w:hint="default" w:ascii="Times New Roman" w:hAnsi="Times New Roman" w:cs="Times New Roman"/>
                      <w:bCs/>
                      <w:color w:val="auto"/>
                      <w:szCs w:val="21"/>
                    </w:rPr>
                  </w:pP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24小时平均</w:t>
                  </w:r>
                </w:p>
              </w:tc>
              <w:tc>
                <w:tcPr>
                  <w:tcW w:w="1999" w:type="dxa"/>
                  <w:vMerge w:val="continue"/>
                  <w:vAlign w:val="center"/>
                </w:tcPr>
                <w:p>
                  <w:pPr>
                    <w:spacing w:line="240" w:lineRule="auto"/>
                    <w:jc w:val="center"/>
                    <w:rPr>
                      <w:rFonts w:hint="default" w:ascii="Times New Roman" w:hAnsi="Times New Roman" w:cs="Times New Roman"/>
                      <w:bCs/>
                      <w:color w:val="auto"/>
                      <w:szCs w:val="21"/>
                    </w:rPr>
                  </w:pP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0" w:type="dxa"/>
                  <w:vMerge w:val="restart"/>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CO</w:t>
                  </w: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24小时平均</w:t>
                  </w:r>
                </w:p>
              </w:tc>
              <w:tc>
                <w:tcPr>
                  <w:tcW w:w="1999" w:type="dxa"/>
                  <w:vMerge w:val="restart"/>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mg/m</w:t>
                  </w:r>
                  <w:r>
                    <w:rPr>
                      <w:rFonts w:hint="default" w:ascii="Times New Roman" w:hAnsi="Times New Roman" w:cs="Times New Roman"/>
                      <w:bCs/>
                      <w:color w:val="auto"/>
                      <w:szCs w:val="21"/>
                      <w:vertAlign w:val="superscript"/>
                    </w:rPr>
                    <w:t>3</w:t>
                  </w: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0" w:type="dxa"/>
                  <w:vMerge w:val="continue"/>
                  <w:vAlign w:val="center"/>
                </w:tcPr>
                <w:p>
                  <w:pPr>
                    <w:spacing w:line="240" w:lineRule="auto"/>
                    <w:jc w:val="center"/>
                    <w:rPr>
                      <w:rFonts w:hint="default" w:ascii="Times New Roman" w:hAnsi="Times New Roman" w:cs="Times New Roman"/>
                      <w:bCs/>
                      <w:color w:val="auto"/>
                      <w:szCs w:val="21"/>
                    </w:rPr>
                  </w:pP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1小时平均</w:t>
                  </w:r>
                </w:p>
              </w:tc>
              <w:tc>
                <w:tcPr>
                  <w:tcW w:w="1999" w:type="dxa"/>
                  <w:vMerge w:val="continue"/>
                  <w:vAlign w:val="center"/>
                </w:tcPr>
                <w:p>
                  <w:pPr>
                    <w:spacing w:line="240" w:lineRule="auto"/>
                    <w:jc w:val="center"/>
                    <w:rPr>
                      <w:rFonts w:hint="default" w:ascii="Times New Roman" w:hAnsi="Times New Roman" w:cs="Times New Roman"/>
                      <w:bCs/>
                      <w:color w:val="auto"/>
                      <w:szCs w:val="21"/>
                    </w:rPr>
                  </w:pP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0" w:type="dxa"/>
                  <w:vMerge w:val="restart"/>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O</w:t>
                  </w:r>
                  <w:r>
                    <w:rPr>
                      <w:rFonts w:hint="default" w:ascii="Times New Roman" w:hAnsi="Times New Roman" w:cs="Times New Roman"/>
                      <w:bCs/>
                      <w:color w:val="auto"/>
                      <w:szCs w:val="21"/>
                      <w:vertAlign w:val="subscript"/>
                    </w:rPr>
                    <w:t xml:space="preserve">3 </w:t>
                  </w: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日最大8小时平均</w:t>
                  </w:r>
                </w:p>
              </w:tc>
              <w:tc>
                <w:tcPr>
                  <w:tcW w:w="1999" w:type="dxa"/>
                  <w:vMerge w:val="restart"/>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color w:val="auto"/>
                      <w:kern w:val="2"/>
                      <w:szCs w:val="24"/>
                    </w:rPr>
                    <w:t>μg/m</w:t>
                  </w:r>
                  <w:r>
                    <w:rPr>
                      <w:rFonts w:hint="default" w:ascii="Times New Roman" w:hAnsi="Times New Roman" w:cs="Times New Roman"/>
                      <w:color w:val="auto"/>
                      <w:kern w:val="2"/>
                      <w:szCs w:val="24"/>
                      <w:vertAlign w:val="superscript"/>
                    </w:rPr>
                    <w:t>3</w:t>
                  </w: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0" w:type="dxa"/>
                  <w:vMerge w:val="continue"/>
                  <w:vAlign w:val="center"/>
                </w:tcPr>
                <w:p>
                  <w:pPr>
                    <w:spacing w:line="240" w:lineRule="auto"/>
                    <w:jc w:val="center"/>
                    <w:rPr>
                      <w:rFonts w:hint="default" w:ascii="Times New Roman" w:hAnsi="Times New Roman" w:cs="Times New Roman"/>
                      <w:bCs/>
                      <w:color w:val="auto"/>
                      <w:szCs w:val="21"/>
                    </w:rPr>
                  </w:pP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1小时平均</w:t>
                  </w:r>
                </w:p>
              </w:tc>
              <w:tc>
                <w:tcPr>
                  <w:tcW w:w="1999" w:type="dxa"/>
                  <w:vMerge w:val="continue"/>
                  <w:vAlign w:val="center"/>
                </w:tcPr>
                <w:p>
                  <w:pPr>
                    <w:spacing w:line="240" w:lineRule="auto"/>
                    <w:jc w:val="center"/>
                    <w:rPr>
                      <w:rFonts w:hint="default" w:ascii="Times New Roman" w:hAnsi="Times New Roman" w:cs="Times New Roman"/>
                      <w:bCs/>
                      <w:color w:val="auto"/>
                      <w:szCs w:val="21"/>
                    </w:rPr>
                  </w:pPr>
                </w:p>
              </w:tc>
              <w:tc>
                <w:tcPr>
                  <w:tcW w:w="2001"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200</w:t>
                  </w:r>
                </w:p>
              </w:tc>
            </w:tr>
          </w:tbl>
          <w:p>
            <w:pPr>
              <w:adjustRightInd/>
              <w:spacing w:before="156" w:beforeLines="50" w:line="240" w:lineRule="auto"/>
              <w:jc w:val="center"/>
              <w:textAlignment w:val="auto"/>
              <w:rPr>
                <w:rFonts w:hint="default" w:ascii="Times New Roman" w:hAnsi="Times New Roman" w:cs="Times New Roman"/>
                <w:b/>
                <w:color w:val="auto"/>
                <w:kern w:val="2"/>
                <w:sz w:val="24"/>
                <w:szCs w:val="24"/>
                <w:vertAlign w:val="superscript"/>
              </w:rPr>
            </w:pPr>
            <w:r>
              <w:rPr>
                <w:rFonts w:hint="default" w:ascii="Times New Roman" w:hAnsi="Times New Roman" w:cs="Times New Roman"/>
                <w:b/>
                <w:color w:val="auto"/>
                <w:kern w:val="2"/>
                <w:sz w:val="24"/>
                <w:szCs w:val="24"/>
              </w:rPr>
              <w:t xml:space="preserve">表4-2《环境影响评价技术导则 大气环境》(HJ2.2-2018)附录D.1其他污染物空气质量浓度参考限值  </w:t>
            </w:r>
          </w:p>
          <w:tbl>
            <w:tblPr>
              <w:tblStyle w:val="33"/>
              <w:tblW w:w="80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67"/>
              <w:gridCol w:w="2668"/>
              <w:gridCol w:w="26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667" w:type="dxa"/>
                  <w:vMerge w:val="restart"/>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污染物名称</w:t>
                  </w:r>
                </w:p>
              </w:tc>
              <w:tc>
                <w:tcPr>
                  <w:tcW w:w="5334" w:type="dxa"/>
                  <w:gridSpan w:val="2"/>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浓度限值（</w:t>
                  </w:r>
                  <w:r>
                    <w:rPr>
                      <w:rFonts w:hint="default" w:ascii="Times New Roman" w:hAnsi="Times New Roman" w:cs="Times New Roman"/>
                      <w:color w:val="auto"/>
                      <w:kern w:val="2"/>
                      <w:szCs w:val="24"/>
                    </w:rPr>
                    <w:t>μg/m</w:t>
                  </w:r>
                  <w:r>
                    <w:rPr>
                      <w:rFonts w:hint="default" w:ascii="Times New Roman" w:hAnsi="Times New Roman" w:cs="Times New Roman"/>
                      <w:color w:val="auto"/>
                      <w:kern w:val="2"/>
                      <w:szCs w:val="24"/>
                      <w:vertAlign w:val="superscript"/>
                    </w:rPr>
                    <w:t>3</w:t>
                  </w:r>
                  <w:r>
                    <w:rPr>
                      <w:rFonts w:hint="default" w:ascii="Times New Roman" w:hAnsi="Times New Roman" w:cs="Times New Roman"/>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667" w:type="dxa"/>
                  <w:vMerge w:val="continue"/>
                  <w:vAlign w:val="center"/>
                </w:tcPr>
                <w:p>
                  <w:pPr>
                    <w:spacing w:line="240" w:lineRule="auto"/>
                    <w:jc w:val="center"/>
                    <w:rPr>
                      <w:rFonts w:hint="default" w:ascii="Times New Roman" w:hAnsi="Times New Roman" w:cs="Times New Roman"/>
                      <w:bCs/>
                      <w:color w:val="auto"/>
                      <w:szCs w:val="21"/>
                    </w:rPr>
                  </w:pPr>
                </w:p>
              </w:tc>
              <w:tc>
                <w:tcPr>
                  <w:tcW w:w="2668"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平均时间</w:t>
                  </w:r>
                </w:p>
              </w:tc>
              <w:tc>
                <w:tcPr>
                  <w:tcW w:w="2666"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667" w:type="dxa"/>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p>
              </w:tc>
              <w:tc>
                <w:tcPr>
                  <w:tcW w:w="2668"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color w:val="auto"/>
                      <w:szCs w:val="21"/>
                    </w:rPr>
                    <w:t>1小时平均</w:t>
                  </w:r>
                </w:p>
              </w:tc>
              <w:tc>
                <w:tcPr>
                  <w:tcW w:w="2666"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exact"/>
                <w:jc w:val="center"/>
              </w:trPr>
              <w:tc>
                <w:tcPr>
                  <w:tcW w:w="2667" w:type="dxa"/>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p>
              </w:tc>
              <w:tc>
                <w:tcPr>
                  <w:tcW w:w="2668" w:type="dxa"/>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2666" w:type="dxa"/>
                  <w:vAlign w:val="center"/>
                </w:tcPr>
                <w:p>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w:t>
                  </w:r>
                </w:p>
              </w:tc>
            </w:tr>
          </w:tbl>
          <w:p>
            <w:pPr>
              <w:pStyle w:val="68"/>
              <w:ind w:firstLine="0" w:firstLineChars="0"/>
              <w:rPr>
                <w:rFonts w:hint="default" w:ascii="Times New Roman" w:hAnsi="Times New Roman" w:cs="Times New Roman"/>
                <w:color w:val="FF0000"/>
                <w:szCs w:val="24"/>
              </w:rPr>
            </w:pPr>
            <w:r>
              <w:rPr>
                <w:rFonts w:hint="default" w:ascii="Times New Roman" w:hAnsi="Times New Roman" w:cs="Times New Roman"/>
                <w:color w:val="auto"/>
                <w:szCs w:val="24"/>
              </w:rPr>
              <w:t>2、</w:t>
            </w:r>
            <w:r>
              <w:rPr>
                <w:rFonts w:hint="default" w:ascii="Times New Roman" w:hAnsi="Times New Roman" w:cs="Times New Roman"/>
                <w:color w:val="FF0000"/>
                <w:szCs w:val="24"/>
              </w:rPr>
              <w:t>地表水环境质量标准</w:t>
            </w:r>
          </w:p>
          <w:p>
            <w:pPr>
              <w:pStyle w:val="15"/>
              <w:spacing w:before="147" w:line="345" w:lineRule="auto"/>
              <w:ind w:left="237" w:right="153"/>
              <w:rPr>
                <w:rStyle w:val="61"/>
                <w:rFonts w:hint="default" w:ascii="Times New Roman" w:hAnsi="Times New Roman" w:eastAsia="宋体" w:cs="Times New Roman"/>
                <w:b w:val="0"/>
                <w:bCs/>
                <w:color w:val="FF0000"/>
                <w:lang w:val="en-US" w:eastAsia="zh-CN" w:bidi="ar-SA"/>
              </w:rPr>
            </w:pPr>
            <w:r>
              <w:rPr>
                <w:rStyle w:val="61"/>
                <w:rFonts w:hint="default" w:ascii="Times New Roman" w:hAnsi="Times New Roman" w:eastAsia="宋体" w:cs="Times New Roman"/>
                <w:b w:val="0"/>
                <w:bCs/>
                <w:color w:val="FF0000"/>
                <w:lang w:val="en-US" w:eastAsia="zh-CN" w:bidi="ar-SA"/>
              </w:rPr>
              <w:t>本项目周边涉及的地表水体包括松花江干流和莲花河；松花江该段水质执行地表水Ⅲ类标准；莲花河（源头—青河乡）《全国重要江河湖泊水功能区划（2011-2030 年）》未给出地表水功能区划；根据《黑龙江省地表水功能区标准》（DB23/T740-2003），莲花河（源头—青河乡）地表水功能为Ⅱ类水体。</w:t>
            </w:r>
          </w:p>
          <w:p>
            <w:pPr>
              <w:widowControl/>
              <w:snapToGrid w:val="0"/>
              <w:spacing w:line="360" w:lineRule="auto"/>
              <w:jc w:val="center"/>
              <w:textAlignment w:val="auto"/>
              <w:rPr>
                <w:rFonts w:hint="default" w:ascii="Times New Roman" w:hAnsi="Times New Roman" w:cs="Times New Roman"/>
                <w:b/>
                <w:color w:val="FF0000"/>
                <w:kern w:val="2"/>
                <w:sz w:val="24"/>
                <w:szCs w:val="24"/>
                <w:lang w:val="zh-CN"/>
              </w:rPr>
            </w:pPr>
            <w:r>
              <w:rPr>
                <w:rFonts w:hint="default" w:ascii="Times New Roman" w:hAnsi="Times New Roman" w:cs="Times New Roman"/>
                <w:b/>
                <w:color w:val="FF0000"/>
                <w:kern w:val="2"/>
                <w:sz w:val="24"/>
                <w:szCs w:val="24"/>
                <w:lang w:val="zh-CN"/>
              </w:rPr>
              <w:t>表4-3  地表水环境质量标准     单位: mg/L ( pH除外)</w:t>
            </w:r>
          </w:p>
          <w:tbl>
            <w:tblPr>
              <w:tblStyle w:val="33"/>
              <w:tblW w:w="0" w:type="auto"/>
              <w:tblInd w:w="11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157"/>
              <w:gridCol w:w="1439"/>
              <w:gridCol w:w="1567"/>
              <w:gridCol w:w="1553"/>
              <w:gridCol w:w="215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0" w:hRule="atLeast"/>
              </w:trPr>
              <w:tc>
                <w:tcPr>
                  <w:tcW w:w="1246" w:type="dxa"/>
                  <w:tcBorders>
                    <w:left w:val="nil"/>
                    <w:bottom w:val="single" w:color="000000" w:sz="4" w:space="0"/>
                    <w:right w:val="single" w:color="000000" w:sz="4" w:space="0"/>
                  </w:tcBorders>
                </w:tcPr>
                <w:p>
                  <w:pPr>
                    <w:widowControl/>
                    <w:snapToGrid w:val="0"/>
                    <w:spacing w:line="240" w:lineRule="auto"/>
                    <w:jc w:val="center"/>
                    <w:textAlignment w:val="auto"/>
                    <w:rPr>
                      <w:rFonts w:hint="eastAsia" w:ascii="Times New Roman" w:hAnsi="Times New Roman" w:cs="Times New Roman"/>
                      <w:color w:val="FF0000"/>
                      <w:kern w:val="2"/>
                      <w:szCs w:val="21"/>
                    </w:rPr>
                  </w:pPr>
                  <w:r>
                    <w:rPr>
                      <w:rFonts w:hint="eastAsia" w:ascii="Times New Roman" w:hAnsi="Times New Roman" w:cs="Times New Roman"/>
                      <w:color w:val="FF0000"/>
                      <w:kern w:val="2"/>
                      <w:szCs w:val="21"/>
                    </w:rPr>
                    <w:t>项目</w:t>
                  </w:r>
                </w:p>
              </w:tc>
              <w:tc>
                <w:tcPr>
                  <w:tcW w:w="1604" w:type="dxa"/>
                  <w:tcBorders>
                    <w:left w:val="single" w:color="000000" w:sz="4" w:space="0"/>
                    <w:bottom w:val="single" w:color="000000" w:sz="4" w:space="0"/>
                    <w:right w:val="single" w:color="000000" w:sz="4" w:space="0"/>
                  </w:tcBorders>
                </w:tcPr>
                <w:p>
                  <w:pPr>
                    <w:widowControl/>
                    <w:snapToGrid w:val="0"/>
                    <w:spacing w:line="240" w:lineRule="auto"/>
                    <w:jc w:val="center"/>
                    <w:textAlignment w:val="auto"/>
                    <w:rPr>
                      <w:rFonts w:hint="eastAsia" w:ascii="Times New Roman" w:hAnsi="Times New Roman" w:cs="Times New Roman"/>
                      <w:color w:val="FF0000"/>
                      <w:kern w:val="2"/>
                      <w:szCs w:val="21"/>
                    </w:rPr>
                  </w:pPr>
                  <w:r>
                    <w:rPr>
                      <w:rFonts w:hint="eastAsia" w:ascii="Times New Roman" w:hAnsi="Times New Roman" w:cs="Times New Roman"/>
                      <w:color w:val="FF0000"/>
                      <w:kern w:val="2"/>
                      <w:szCs w:val="21"/>
                    </w:rPr>
                    <w:t>单位</w:t>
                  </w:r>
                </w:p>
              </w:tc>
              <w:tc>
                <w:tcPr>
                  <w:tcW w:w="1715" w:type="dxa"/>
                  <w:tcBorders>
                    <w:left w:val="single" w:color="000000" w:sz="4" w:space="0"/>
                    <w:bottom w:val="single" w:color="000000" w:sz="4" w:space="0"/>
                    <w:right w:val="single" w:color="000000" w:sz="4" w:space="0"/>
                  </w:tcBorders>
                </w:tcPr>
                <w:p>
                  <w:pPr>
                    <w:widowControl/>
                    <w:snapToGrid w:val="0"/>
                    <w:spacing w:line="240" w:lineRule="auto"/>
                    <w:jc w:val="center"/>
                    <w:textAlignment w:val="auto"/>
                    <w:rPr>
                      <w:rFonts w:hint="eastAsia" w:ascii="Times New Roman" w:hAnsi="Times New Roman" w:cs="Times New Roman"/>
                      <w:color w:val="FF0000"/>
                      <w:kern w:val="2"/>
                      <w:szCs w:val="21"/>
                    </w:rPr>
                  </w:pPr>
                  <w:r>
                    <w:rPr>
                      <w:rFonts w:hint="eastAsia" w:ascii="Times New Roman" w:hAnsi="Times New Roman" w:cs="Times New Roman"/>
                      <w:color w:val="FF0000"/>
                      <w:kern w:val="2"/>
                      <w:szCs w:val="21"/>
                    </w:rPr>
                    <w:t>Ⅱ类标准</w:t>
                  </w:r>
                </w:p>
              </w:tc>
              <w:tc>
                <w:tcPr>
                  <w:tcW w:w="1715" w:type="dxa"/>
                  <w:tcBorders>
                    <w:left w:val="single" w:color="000000" w:sz="4" w:space="0"/>
                    <w:bottom w:val="single" w:color="000000" w:sz="4" w:space="0"/>
                    <w:right w:val="single" w:color="000000" w:sz="4" w:space="0"/>
                  </w:tcBorders>
                </w:tcPr>
                <w:p>
                  <w:pPr>
                    <w:widowControl/>
                    <w:snapToGrid w:val="0"/>
                    <w:spacing w:line="240" w:lineRule="auto"/>
                    <w:jc w:val="center"/>
                    <w:textAlignment w:val="auto"/>
                    <w:rPr>
                      <w:rFonts w:hint="eastAsia" w:ascii="Times New Roman" w:hAnsi="Times New Roman" w:cs="Times New Roman"/>
                      <w:color w:val="FF0000"/>
                      <w:kern w:val="2"/>
                      <w:szCs w:val="21"/>
                    </w:rPr>
                  </w:pPr>
                  <w:r>
                    <w:rPr>
                      <w:rFonts w:hint="eastAsia" w:ascii="Times New Roman" w:hAnsi="Times New Roman" w:cs="Times New Roman"/>
                      <w:color w:val="FF0000"/>
                      <w:kern w:val="2"/>
                      <w:szCs w:val="21"/>
                    </w:rPr>
                    <w:t>Ⅲ类标准</w:t>
                  </w:r>
                </w:p>
              </w:tc>
              <w:tc>
                <w:tcPr>
                  <w:tcW w:w="2245" w:type="dxa"/>
                  <w:tcBorders>
                    <w:left w:val="single" w:color="000000" w:sz="4" w:space="0"/>
                    <w:bottom w:val="single" w:color="000000" w:sz="4" w:space="0"/>
                    <w:right w:val="nil"/>
                  </w:tcBorders>
                </w:tcPr>
                <w:p>
                  <w:pPr>
                    <w:widowControl/>
                    <w:snapToGrid w:val="0"/>
                    <w:spacing w:line="240" w:lineRule="auto"/>
                    <w:jc w:val="center"/>
                    <w:textAlignment w:val="auto"/>
                    <w:rPr>
                      <w:rFonts w:hint="eastAsia" w:ascii="Times New Roman" w:hAnsi="Times New Roman" w:cs="Times New Roman"/>
                      <w:color w:val="FF0000"/>
                      <w:kern w:val="2"/>
                      <w:szCs w:val="21"/>
                    </w:rPr>
                  </w:pPr>
                  <w:r>
                    <w:rPr>
                      <w:rFonts w:hint="eastAsia" w:ascii="Times New Roman" w:hAnsi="Times New Roman" w:cs="Times New Roman"/>
                      <w:color w:val="FF0000"/>
                      <w:kern w:val="2"/>
                      <w:szCs w:val="21"/>
                    </w:rPr>
                    <w:t>标准来源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0" w:hRule="atLeast"/>
              </w:trPr>
              <w:tc>
                <w:tcPr>
                  <w:tcW w:w="1246" w:type="dxa"/>
                  <w:tcBorders>
                    <w:top w:val="single" w:color="000000" w:sz="4" w:space="0"/>
                    <w:left w:val="nil"/>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pH</w:t>
                  </w:r>
                </w:p>
              </w:tc>
              <w:tc>
                <w:tcPr>
                  <w:tcW w:w="1604"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eastAsia" w:ascii="Times New Roman" w:hAnsi="Times New Roman" w:cs="Times New Roman"/>
                      <w:color w:val="FF0000"/>
                      <w:kern w:val="2"/>
                      <w:szCs w:val="21"/>
                    </w:rPr>
                  </w:pPr>
                  <w:r>
                    <w:rPr>
                      <w:rFonts w:hint="eastAsia" w:ascii="Times New Roman" w:hAnsi="Times New Roman" w:cs="Times New Roman"/>
                      <w:color w:val="FF0000"/>
                      <w:kern w:val="2"/>
                      <w:szCs w:val="21"/>
                    </w:rPr>
                    <w:t>无量纲</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6~9</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6~9</w:t>
                  </w:r>
                </w:p>
              </w:tc>
              <w:tc>
                <w:tcPr>
                  <w:tcW w:w="2245" w:type="dxa"/>
                  <w:vMerge w:val="restart"/>
                  <w:tcBorders>
                    <w:top w:val="single" w:color="000000" w:sz="4" w:space="0"/>
                    <w:left w:val="single" w:color="000000" w:sz="4" w:space="0"/>
                    <w:right w:val="nil"/>
                  </w:tcBorders>
                </w:tcPr>
                <w:p>
                  <w:pPr>
                    <w:widowControl/>
                    <w:snapToGrid w:val="0"/>
                    <w:spacing w:line="240" w:lineRule="auto"/>
                    <w:jc w:val="center"/>
                    <w:textAlignment w:val="auto"/>
                    <w:rPr>
                      <w:rFonts w:hint="default" w:ascii="Times New Roman" w:hAnsi="Times New Roman" w:cs="Times New Roman"/>
                      <w:color w:val="FF0000"/>
                      <w:kern w:val="2"/>
                      <w:szCs w:val="21"/>
                    </w:rPr>
                  </w:pPr>
                </w:p>
                <w:p>
                  <w:pPr>
                    <w:widowControl/>
                    <w:snapToGrid w:val="0"/>
                    <w:spacing w:line="240" w:lineRule="auto"/>
                    <w:jc w:val="center"/>
                    <w:textAlignment w:val="auto"/>
                    <w:rPr>
                      <w:rFonts w:hint="default" w:ascii="Times New Roman" w:hAnsi="Times New Roman" w:cs="Times New Roman"/>
                      <w:color w:val="FF0000"/>
                      <w:kern w:val="2"/>
                      <w:szCs w:val="21"/>
                    </w:rPr>
                  </w:pPr>
                </w:p>
                <w:p>
                  <w:pPr>
                    <w:widowControl/>
                    <w:snapToGrid w:val="0"/>
                    <w:spacing w:line="240" w:lineRule="auto"/>
                    <w:jc w:val="center"/>
                    <w:textAlignment w:val="auto"/>
                    <w:rPr>
                      <w:rFonts w:hint="default" w:ascii="Times New Roman" w:hAnsi="Times New Roman" w:cs="Times New Roman"/>
                      <w:color w:val="FF0000"/>
                      <w:kern w:val="2"/>
                      <w:szCs w:val="21"/>
                    </w:rPr>
                  </w:pPr>
                </w:p>
                <w:p>
                  <w:pPr>
                    <w:widowControl/>
                    <w:snapToGrid w:val="0"/>
                    <w:spacing w:line="240" w:lineRule="auto"/>
                    <w:jc w:val="center"/>
                    <w:textAlignment w:val="auto"/>
                    <w:rPr>
                      <w:rFonts w:hint="default" w:ascii="Times New Roman" w:hAnsi="Times New Roman" w:cs="Times New Roman"/>
                      <w:color w:val="FF0000"/>
                      <w:kern w:val="2"/>
                      <w:szCs w:val="21"/>
                    </w:rPr>
                  </w:pPr>
                </w:p>
                <w:p>
                  <w:pPr>
                    <w:widowControl/>
                    <w:snapToGrid w:val="0"/>
                    <w:spacing w:line="240" w:lineRule="auto"/>
                    <w:jc w:val="center"/>
                    <w:textAlignment w:val="auto"/>
                    <w:rPr>
                      <w:rFonts w:hint="default" w:ascii="Times New Roman" w:hAnsi="Times New Roman" w:cs="Times New Roman"/>
                      <w:color w:val="FF0000"/>
                      <w:kern w:val="2"/>
                      <w:szCs w:val="21"/>
                    </w:rPr>
                  </w:pPr>
                </w:p>
                <w:p>
                  <w:pPr>
                    <w:widowControl/>
                    <w:snapToGrid w:val="0"/>
                    <w:spacing w:line="240" w:lineRule="auto"/>
                    <w:jc w:val="center"/>
                    <w:textAlignment w:val="auto"/>
                    <w:rPr>
                      <w:rFonts w:hint="default" w:ascii="Times New Roman" w:hAnsi="Times New Roman" w:cs="Times New Roman"/>
                      <w:color w:val="FF0000"/>
                      <w:kern w:val="2"/>
                      <w:szCs w:val="21"/>
                    </w:rPr>
                  </w:pPr>
                </w:p>
                <w:p>
                  <w:pPr>
                    <w:widowControl/>
                    <w:snapToGrid w:val="0"/>
                    <w:spacing w:line="240" w:lineRule="auto"/>
                    <w:jc w:val="center"/>
                    <w:textAlignment w:val="auto"/>
                    <w:rPr>
                      <w:rFonts w:hint="default" w:ascii="Times New Roman" w:hAnsi="Times New Roman" w:cs="Times New Roman"/>
                      <w:color w:val="FF0000"/>
                      <w:kern w:val="2"/>
                      <w:szCs w:val="21"/>
                    </w:rPr>
                  </w:pPr>
                </w:p>
                <w:p>
                  <w:pPr>
                    <w:widowControl/>
                    <w:snapToGrid w:val="0"/>
                    <w:spacing w:line="240" w:lineRule="auto"/>
                    <w:jc w:val="center"/>
                    <w:textAlignment w:val="auto"/>
                    <w:rPr>
                      <w:rFonts w:hint="default" w:ascii="Times New Roman" w:hAnsi="Times New Roman" w:cs="Times New Roman"/>
                      <w:color w:val="FF0000"/>
                      <w:kern w:val="2"/>
                      <w:szCs w:val="21"/>
                    </w:rPr>
                  </w:pPr>
                </w:p>
                <w:p>
                  <w:pPr>
                    <w:widowControl/>
                    <w:snapToGrid w:val="0"/>
                    <w:spacing w:line="240" w:lineRule="auto"/>
                    <w:jc w:val="center"/>
                    <w:textAlignment w:val="auto"/>
                    <w:rPr>
                      <w:rFonts w:hint="default" w:ascii="Times New Roman" w:hAnsi="Times New Roman" w:cs="Times New Roman"/>
                      <w:color w:val="FF0000"/>
                      <w:kern w:val="2"/>
                      <w:szCs w:val="21"/>
                    </w:rPr>
                  </w:pPr>
                </w:p>
                <w:p>
                  <w:pPr>
                    <w:widowControl/>
                    <w:snapToGrid w:val="0"/>
                    <w:spacing w:line="240" w:lineRule="auto"/>
                    <w:jc w:val="center"/>
                    <w:textAlignment w:val="auto"/>
                    <w:rPr>
                      <w:rFonts w:hint="default" w:ascii="Times New Roman" w:hAnsi="Times New Roman" w:cs="Times New Roman"/>
                      <w:color w:val="FF0000"/>
                      <w:kern w:val="2"/>
                      <w:szCs w:val="21"/>
                    </w:rPr>
                  </w:pPr>
                </w:p>
                <w:p>
                  <w:pPr>
                    <w:widowControl/>
                    <w:snapToGrid w:val="0"/>
                    <w:spacing w:line="240" w:lineRule="auto"/>
                    <w:jc w:val="center"/>
                    <w:textAlignment w:val="auto"/>
                    <w:rPr>
                      <w:rFonts w:hint="default" w:ascii="Times New Roman" w:hAnsi="Times New Roman" w:cs="Times New Roman"/>
                      <w:color w:val="FF0000"/>
                      <w:kern w:val="2"/>
                      <w:szCs w:val="21"/>
                    </w:rPr>
                  </w:pPr>
                </w:p>
                <w:p>
                  <w:pPr>
                    <w:widowControl/>
                    <w:snapToGrid w:val="0"/>
                    <w:spacing w:line="240" w:lineRule="auto"/>
                    <w:jc w:val="center"/>
                    <w:textAlignment w:val="auto"/>
                    <w:rPr>
                      <w:rFonts w:hint="default" w:ascii="Times New Roman" w:hAnsi="Times New Roman" w:cs="Times New Roman"/>
                      <w:color w:val="FF0000"/>
                      <w:kern w:val="2"/>
                      <w:szCs w:val="21"/>
                    </w:rPr>
                  </w:pPr>
                </w:p>
                <w:p>
                  <w:pPr>
                    <w:widowControl/>
                    <w:snapToGrid w:val="0"/>
                    <w:spacing w:line="240" w:lineRule="auto"/>
                    <w:jc w:val="center"/>
                    <w:textAlignment w:val="auto"/>
                    <w:rPr>
                      <w:rFonts w:hint="eastAsia" w:ascii="Times New Roman" w:hAnsi="Times New Roman" w:cs="Times New Roman"/>
                      <w:color w:val="FF0000"/>
                      <w:kern w:val="2"/>
                      <w:szCs w:val="21"/>
                    </w:rPr>
                  </w:pPr>
                  <w:r>
                    <w:rPr>
                      <w:rFonts w:hint="eastAsia" w:ascii="Times New Roman" w:hAnsi="Times New Roman" w:cs="Times New Roman"/>
                      <w:color w:val="FF0000"/>
                      <w:kern w:val="2"/>
                      <w:szCs w:val="21"/>
                    </w:rPr>
                    <w:t>《地表水环境质量标准》</w:t>
                  </w:r>
                </w:p>
                <w:p>
                  <w:pPr>
                    <w:widowControl/>
                    <w:snapToGrid w:val="0"/>
                    <w:spacing w:line="240" w:lineRule="auto"/>
                    <w:jc w:val="center"/>
                    <w:textAlignment w:val="auto"/>
                    <w:rPr>
                      <w:rFonts w:hint="eastAsia" w:ascii="Times New Roman" w:hAnsi="Times New Roman" w:cs="Times New Roman"/>
                      <w:color w:val="FF0000"/>
                      <w:kern w:val="2"/>
                      <w:szCs w:val="21"/>
                    </w:rPr>
                  </w:pPr>
                  <w:r>
                    <w:rPr>
                      <w:rFonts w:hint="eastAsia" w:ascii="Times New Roman" w:hAnsi="Times New Roman" w:cs="Times New Roman"/>
                      <w:color w:val="FF0000"/>
                      <w:kern w:val="2"/>
                      <w:szCs w:val="21"/>
                    </w:rPr>
                    <w:t>（</w:t>
                  </w:r>
                  <w:r>
                    <w:rPr>
                      <w:rFonts w:hint="default" w:ascii="Times New Roman" w:hAnsi="Times New Roman" w:cs="Times New Roman"/>
                      <w:color w:val="FF0000"/>
                      <w:kern w:val="2"/>
                      <w:szCs w:val="21"/>
                    </w:rPr>
                    <w:t>GB3838-2002</w:t>
                  </w:r>
                  <w:r>
                    <w:rPr>
                      <w:rFonts w:hint="eastAsia" w:ascii="Times New Roman" w:hAnsi="Times New Roman" w:cs="Times New Roman"/>
                      <w:color w:val="FF0000"/>
                      <w:kern w:val="2"/>
                      <w:szCs w:val="21"/>
                    </w:rPr>
                    <w:t>）</w:t>
                  </w:r>
                </w:p>
                <w:p>
                  <w:pPr>
                    <w:widowControl/>
                    <w:snapToGrid w:val="0"/>
                    <w:spacing w:line="240" w:lineRule="auto"/>
                    <w:jc w:val="center"/>
                    <w:textAlignment w:val="auto"/>
                    <w:rPr>
                      <w:rFonts w:hint="eastAsia" w:ascii="Times New Roman" w:hAnsi="Times New Roman" w:cs="Times New Roman"/>
                      <w:color w:val="FF0000"/>
                      <w:kern w:val="2"/>
                      <w:szCs w:val="21"/>
                    </w:rPr>
                  </w:pPr>
                  <w:r>
                    <w:rPr>
                      <w:rFonts w:hint="eastAsia" w:ascii="Times New Roman" w:hAnsi="Times New Roman" w:cs="Times New Roman"/>
                      <w:color w:val="FF0000"/>
                      <w:kern w:val="2"/>
                      <w:szCs w:val="21"/>
                    </w:rPr>
                    <w:t>Ⅱ、Ⅲ类标准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trPr>
              <w:tc>
                <w:tcPr>
                  <w:tcW w:w="1246" w:type="dxa"/>
                  <w:tcBorders>
                    <w:top w:val="single" w:color="000000" w:sz="4" w:space="0"/>
                    <w:left w:val="nil"/>
                    <w:bottom w:val="single" w:color="000000" w:sz="4" w:space="0"/>
                    <w:right w:val="single" w:color="000000" w:sz="4" w:space="0"/>
                  </w:tcBorders>
                </w:tcPr>
                <w:p>
                  <w:pPr>
                    <w:widowControl/>
                    <w:snapToGrid w:val="0"/>
                    <w:spacing w:line="240" w:lineRule="auto"/>
                    <w:jc w:val="center"/>
                    <w:textAlignment w:val="auto"/>
                    <w:rPr>
                      <w:rFonts w:hint="eastAsia" w:ascii="Times New Roman" w:hAnsi="Times New Roman" w:cs="Times New Roman"/>
                      <w:color w:val="FF0000"/>
                      <w:kern w:val="2"/>
                      <w:szCs w:val="21"/>
                    </w:rPr>
                  </w:pPr>
                  <w:r>
                    <w:rPr>
                      <w:rFonts w:hint="eastAsia" w:ascii="Times New Roman" w:hAnsi="Times New Roman" w:cs="Times New Roman"/>
                      <w:color w:val="FF0000"/>
                      <w:kern w:val="2"/>
                      <w:szCs w:val="21"/>
                    </w:rPr>
                    <w:t>溶解氧</w:t>
                  </w:r>
                </w:p>
              </w:tc>
              <w:tc>
                <w:tcPr>
                  <w:tcW w:w="1604"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mg/L</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≤6</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≤5</w:t>
                  </w:r>
                </w:p>
              </w:tc>
              <w:tc>
                <w:tcPr>
                  <w:tcW w:w="2245" w:type="dxa"/>
                  <w:vMerge w:val="continue"/>
                  <w:tcBorders>
                    <w:top w:val="nil"/>
                    <w:left w:val="single" w:color="000000" w:sz="4" w:space="0"/>
                    <w:right w:val="nil"/>
                  </w:tcBorders>
                </w:tcPr>
                <w:p>
                  <w:pPr>
                    <w:widowControl/>
                    <w:snapToGrid w:val="0"/>
                    <w:spacing w:line="240" w:lineRule="auto"/>
                    <w:jc w:val="center"/>
                    <w:textAlignment w:val="auto"/>
                    <w:rPr>
                      <w:rFonts w:hint="default" w:ascii="Times New Roman" w:hAnsi="Times New Roman" w:cs="Times New Roman"/>
                      <w:color w:val="FF0000"/>
                      <w:kern w:val="2"/>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0" w:hRule="atLeast"/>
              </w:trPr>
              <w:tc>
                <w:tcPr>
                  <w:tcW w:w="1246" w:type="dxa"/>
                  <w:tcBorders>
                    <w:top w:val="single" w:color="000000" w:sz="4" w:space="0"/>
                    <w:left w:val="nil"/>
                    <w:bottom w:val="single" w:color="000000" w:sz="4" w:space="0"/>
                    <w:right w:val="single" w:color="000000" w:sz="4" w:space="0"/>
                  </w:tcBorders>
                </w:tcPr>
                <w:p>
                  <w:pPr>
                    <w:widowControl/>
                    <w:snapToGrid w:val="0"/>
                    <w:spacing w:line="240" w:lineRule="auto"/>
                    <w:jc w:val="center"/>
                    <w:textAlignment w:val="auto"/>
                    <w:rPr>
                      <w:rFonts w:hint="eastAsia" w:ascii="Times New Roman" w:hAnsi="Times New Roman" w:cs="Times New Roman"/>
                      <w:color w:val="FF0000"/>
                      <w:kern w:val="2"/>
                      <w:szCs w:val="21"/>
                    </w:rPr>
                  </w:pPr>
                  <w:r>
                    <w:rPr>
                      <w:rFonts w:hint="eastAsia" w:ascii="Times New Roman" w:hAnsi="Times New Roman" w:cs="Times New Roman"/>
                      <w:color w:val="FF0000"/>
                      <w:kern w:val="2"/>
                      <w:szCs w:val="21"/>
                    </w:rPr>
                    <w:t>高锰酸盐</w:t>
                  </w:r>
                </w:p>
                <w:p>
                  <w:pPr>
                    <w:widowControl/>
                    <w:snapToGrid w:val="0"/>
                    <w:spacing w:line="240" w:lineRule="auto"/>
                    <w:jc w:val="center"/>
                    <w:textAlignment w:val="auto"/>
                    <w:rPr>
                      <w:rFonts w:hint="eastAsia" w:ascii="Times New Roman" w:hAnsi="Times New Roman" w:cs="Times New Roman"/>
                      <w:color w:val="FF0000"/>
                      <w:kern w:val="2"/>
                      <w:szCs w:val="21"/>
                    </w:rPr>
                  </w:pPr>
                  <w:r>
                    <w:rPr>
                      <w:rFonts w:hint="eastAsia" w:ascii="Times New Roman" w:hAnsi="Times New Roman" w:cs="Times New Roman"/>
                      <w:color w:val="FF0000"/>
                      <w:kern w:val="2"/>
                      <w:szCs w:val="21"/>
                    </w:rPr>
                    <w:t>指数</w:t>
                  </w:r>
                </w:p>
              </w:tc>
              <w:tc>
                <w:tcPr>
                  <w:tcW w:w="1604"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mg/L</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4</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6</w:t>
                  </w:r>
                </w:p>
              </w:tc>
              <w:tc>
                <w:tcPr>
                  <w:tcW w:w="2245" w:type="dxa"/>
                  <w:vMerge w:val="continue"/>
                  <w:tcBorders>
                    <w:top w:val="nil"/>
                    <w:left w:val="single" w:color="000000" w:sz="4" w:space="0"/>
                    <w:right w:val="nil"/>
                  </w:tcBorders>
                </w:tcPr>
                <w:p>
                  <w:pPr>
                    <w:widowControl/>
                    <w:snapToGrid w:val="0"/>
                    <w:spacing w:line="240" w:lineRule="auto"/>
                    <w:jc w:val="center"/>
                    <w:textAlignment w:val="auto"/>
                    <w:rPr>
                      <w:rFonts w:hint="default" w:ascii="Times New Roman" w:hAnsi="Times New Roman" w:cs="Times New Roman"/>
                      <w:color w:val="FF0000"/>
                      <w:kern w:val="2"/>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trPr>
              <w:tc>
                <w:tcPr>
                  <w:tcW w:w="1246" w:type="dxa"/>
                  <w:tcBorders>
                    <w:top w:val="single" w:color="000000" w:sz="4" w:space="0"/>
                    <w:left w:val="nil"/>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CODcr</w:t>
                  </w:r>
                </w:p>
              </w:tc>
              <w:tc>
                <w:tcPr>
                  <w:tcW w:w="1604"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mg/L</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≤15</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≤20</w:t>
                  </w:r>
                </w:p>
              </w:tc>
              <w:tc>
                <w:tcPr>
                  <w:tcW w:w="2245" w:type="dxa"/>
                  <w:vMerge w:val="continue"/>
                  <w:tcBorders>
                    <w:top w:val="nil"/>
                    <w:left w:val="single" w:color="000000" w:sz="4" w:space="0"/>
                    <w:right w:val="nil"/>
                  </w:tcBorders>
                </w:tcPr>
                <w:p>
                  <w:pPr>
                    <w:widowControl/>
                    <w:snapToGrid w:val="0"/>
                    <w:spacing w:line="240" w:lineRule="auto"/>
                    <w:jc w:val="center"/>
                    <w:textAlignment w:val="auto"/>
                    <w:rPr>
                      <w:rFonts w:hint="default" w:ascii="Times New Roman" w:hAnsi="Times New Roman" w:cs="Times New Roman"/>
                      <w:color w:val="FF0000"/>
                      <w:kern w:val="2"/>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trPr>
              <w:tc>
                <w:tcPr>
                  <w:tcW w:w="1246" w:type="dxa"/>
                  <w:tcBorders>
                    <w:top w:val="single" w:color="000000" w:sz="4" w:space="0"/>
                    <w:left w:val="nil"/>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BOD5</w:t>
                  </w:r>
                </w:p>
              </w:tc>
              <w:tc>
                <w:tcPr>
                  <w:tcW w:w="1604"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mg/L</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≤3</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≤4</w:t>
                  </w:r>
                </w:p>
              </w:tc>
              <w:tc>
                <w:tcPr>
                  <w:tcW w:w="2245" w:type="dxa"/>
                  <w:vMerge w:val="continue"/>
                  <w:tcBorders>
                    <w:top w:val="nil"/>
                    <w:left w:val="single" w:color="000000" w:sz="4" w:space="0"/>
                    <w:right w:val="nil"/>
                  </w:tcBorders>
                </w:tcPr>
                <w:p>
                  <w:pPr>
                    <w:widowControl/>
                    <w:snapToGrid w:val="0"/>
                    <w:spacing w:line="240" w:lineRule="auto"/>
                    <w:jc w:val="center"/>
                    <w:textAlignment w:val="auto"/>
                    <w:rPr>
                      <w:rFonts w:hint="default" w:ascii="Times New Roman" w:hAnsi="Times New Roman" w:cs="Times New Roman"/>
                      <w:color w:val="FF0000"/>
                      <w:kern w:val="2"/>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trPr>
              <w:tc>
                <w:tcPr>
                  <w:tcW w:w="1246" w:type="dxa"/>
                  <w:tcBorders>
                    <w:top w:val="single" w:color="000000" w:sz="4" w:space="0"/>
                    <w:left w:val="nil"/>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NH3-N</w:t>
                  </w:r>
                </w:p>
              </w:tc>
              <w:tc>
                <w:tcPr>
                  <w:tcW w:w="1604"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mg/L</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≤0.5</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≤1.0</w:t>
                  </w:r>
                </w:p>
              </w:tc>
              <w:tc>
                <w:tcPr>
                  <w:tcW w:w="2245" w:type="dxa"/>
                  <w:vMerge w:val="continue"/>
                  <w:tcBorders>
                    <w:top w:val="nil"/>
                    <w:left w:val="single" w:color="000000" w:sz="4" w:space="0"/>
                    <w:right w:val="nil"/>
                  </w:tcBorders>
                </w:tcPr>
                <w:p>
                  <w:pPr>
                    <w:widowControl/>
                    <w:snapToGrid w:val="0"/>
                    <w:spacing w:line="240" w:lineRule="auto"/>
                    <w:jc w:val="center"/>
                    <w:textAlignment w:val="auto"/>
                    <w:rPr>
                      <w:rFonts w:hint="default" w:ascii="Times New Roman" w:hAnsi="Times New Roman" w:cs="Times New Roman"/>
                      <w:color w:val="FF0000"/>
                      <w:kern w:val="2"/>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trPr>
              <w:tc>
                <w:tcPr>
                  <w:tcW w:w="1246" w:type="dxa"/>
                  <w:tcBorders>
                    <w:top w:val="single" w:color="000000" w:sz="4" w:space="0"/>
                    <w:left w:val="nil"/>
                    <w:bottom w:val="single" w:color="000000" w:sz="4" w:space="0"/>
                    <w:right w:val="single" w:color="000000" w:sz="4" w:space="0"/>
                  </w:tcBorders>
                </w:tcPr>
                <w:p>
                  <w:pPr>
                    <w:widowControl/>
                    <w:snapToGrid w:val="0"/>
                    <w:spacing w:line="240" w:lineRule="auto"/>
                    <w:jc w:val="center"/>
                    <w:textAlignment w:val="auto"/>
                    <w:rPr>
                      <w:rFonts w:hint="eastAsia" w:ascii="Times New Roman" w:hAnsi="Times New Roman" w:cs="Times New Roman"/>
                      <w:color w:val="FF0000"/>
                      <w:kern w:val="2"/>
                      <w:szCs w:val="21"/>
                    </w:rPr>
                  </w:pPr>
                  <w:r>
                    <w:rPr>
                      <w:rFonts w:hint="eastAsia" w:ascii="Times New Roman" w:hAnsi="Times New Roman" w:cs="Times New Roman"/>
                      <w:color w:val="FF0000"/>
                      <w:kern w:val="2"/>
                      <w:szCs w:val="21"/>
                    </w:rPr>
                    <w:t>石油类</w:t>
                  </w:r>
                </w:p>
              </w:tc>
              <w:tc>
                <w:tcPr>
                  <w:tcW w:w="1604"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mg/L</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≤0.05</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≤0.05</w:t>
                  </w:r>
                </w:p>
              </w:tc>
              <w:tc>
                <w:tcPr>
                  <w:tcW w:w="2245" w:type="dxa"/>
                  <w:vMerge w:val="continue"/>
                  <w:tcBorders>
                    <w:top w:val="nil"/>
                    <w:left w:val="single" w:color="000000" w:sz="4" w:space="0"/>
                    <w:right w:val="nil"/>
                  </w:tcBorders>
                </w:tcPr>
                <w:p>
                  <w:pPr>
                    <w:widowControl/>
                    <w:snapToGrid w:val="0"/>
                    <w:spacing w:line="240" w:lineRule="auto"/>
                    <w:jc w:val="center"/>
                    <w:textAlignment w:val="auto"/>
                    <w:rPr>
                      <w:rFonts w:hint="default" w:ascii="Times New Roman" w:hAnsi="Times New Roman" w:cs="Times New Roman"/>
                      <w:color w:val="FF0000"/>
                      <w:kern w:val="2"/>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trPr>
              <w:tc>
                <w:tcPr>
                  <w:tcW w:w="1246" w:type="dxa"/>
                  <w:tcBorders>
                    <w:top w:val="single" w:color="000000" w:sz="4" w:space="0"/>
                    <w:left w:val="nil"/>
                    <w:bottom w:val="single" w:color="000000" w:sz="4" w:space="0"/>
                    <w:right w:val="single" w:color="000000" w:sz="4" w:space="0"/>
                  </w:tcBorders>
                </w:tcPr>
                <w:p>
                  <w:pPr>
                    <w:widowControl/>
                    <w:snapToGrid w:val="0"/>
                    <w:spacing w:line="240" w:lineRule="auto"/>
                    <w:jc w:val="center"/>
                    <w:textAlignment w:val="auto"/>
                    <w:rPr>
                      <w:rFonts w:hint="eastAsia" w:ascii="Times New Roman" w:hAnsi="Times New Roman" w:cs="Times New Roman"/>
                      <w:color w:val="FF0000"/>
                      <w:kern w:val="2"/>
                      <w:szCs w:val="21"/>
                    </w:rPr>
                  </w:pPr>
                  <w:r>
                    <w:rPr>
                      <w:rFonts w:hint="eastAsia" w:ascii="Times New Roman" w:hAnsi="Times New Roman" w:cs="Times New Roman"/>
                      <w:color w:val="FF0000"/>
                      <w:kern w:val="2"/>
                      <w:szCs w:val="21"/>
                    </w:rPr>
                    <w:t>挥发酚</w:t>
                  </w:r>
                </w:p>
              </w:tc>
              <w:tc>
                <w:tcPr>
                  <w:tcW w:w="1604"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mg/L</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≤0.002</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≤0.005</w:t>
                  </w:r>
                </w:p>
              </w:tc>
              <w:tc>
                <w:tcPr>
                  <w:tcW w:w="2245" w:type="dxa"/>
                  <w:vMerge w:val="continue"/>
                  <w:tcBorders>
                    <w:top w:val="nil"/>
                    <w:left w:val="single" w:color="000000" w:sz="4" w:space="0"/>
                    <w:right w:val="nil"/>
                  </w:tcBorders>
                </w:tcPr>
                <w:p>
                  <w:pPr>
                    <w:widowControl/>
                    <w:snapToGrid w:val="0"/>
                    <w:spacing w:line="240" w:lineRule="auto"/>
                    <w:jc w:val="center"/>
                    <w:textAlignment w:val="auto"/>
                    <w:rPr>
                      <w:rFonts w:hint="default" w:ascii="Times New Roman" w:hAnsi="Times New Roman" w:cs="Times New Roman"/>
                      <w:color w:val="FF0000"/>
                      <w:kern w:val="2"/>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trPr>
              <w:tc>
                <w:tcPr>
                  <w:tcW w:w="1246" w:type="dxa"/>
                  <w:tcBorders>
                    <w:top w:val="single" w:color="000000" w:sz="4" w:space="0"/>
                    <w:left w:val="nil"/>
                    <w:bottom w:val="single" w:color="000000" w:sz="4" w:space="0"/>
                    <w:right w:val="single" w:color="000000" w:sz="4" w:space="0"/>
                  </w:tcBorders>
                </w:tcPr>
                <w:p>
                  <w:pPr>
                    <w:widowControl/>
                    <w:snapToGrid w:val="0"/>
                    <w:spacing w:line="240" w:lineRule="auto"/>
                    <w:jc w:val="center"/>
                    <w:textAlignment w:val="auto"/>
                    <w:rPr>
                      <w:rFonts w:hint="eastAsia" w:ascii="Times New Roman" w:hAnsi="Times New Roman" w:cs="Times New Roman"/>
                      <w:color w:val="FF0000"/>
                      <w:kern w:val="2"/>
                      <w:szCs w:val="21"/>
                    </w:rPr>
                  </w:pPr>
                  <w:r>
                    <w:rPr>
                      <w:rFonts w:hint="eastAsia" w:ascii="Times New Roman" w:hAnsi="Times New Roman" w:cs="Times New Roman"/>
                      <w:color w:val="FF0000"/>
                      <w:kern w:val="2"/>
                      <w:szCs w:val="21"/>
                    </w:rPr>
                    <w:t>总磷</w:t>
                  </w:r>
                </w:p>
              </w:tc>
              <w:tc>
                <w:tcPr>
                  <w:tcW w:w="1604"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mg/L</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0.1</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0.2</w:t>
                  </w:r>
                </w:p>
              </w:tc>
              <w:tc>
                <w:tcPr>
                  <w:tcW w:w="2245" w:type="dxa"/>
                  <w:vMerge w:val="continue"/>
                  <w:tcBorders>
                    <w:top w:val="nil"/>
                    <w:left w:val="single" w:color="000000" w:sz="4" w:space="0"/>
                    <w:right w:val="nil"/>
                  </w:tcBorders>
                </w:tcPr>
                <w:p>
                  <w:pPr>
                    <w:widowControl/>
                    <w:snapToGrid w:val="0"/>
                    <w:spacing w:line="240" w:lineRule="auto"/>
                    <w:jc w:val="center"/>
                    <w:textAlignment w:val="auto"/>
                    <w:rPr>
                      <w:rFonts w:hint="default" w:ascii="Times New Roman" w:hAnsi="Times New Roman" w:cs="Times New Roman"/>
                      <w:color w:val="FF0000"/>
                      <w:kern w:val="2"/>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trPr>
              <w:tc>
                <w:tcPr>
                  <w:tcW w:w="1246" w:type="dxa"/>
                  <w:tcBorders>
                    <w:top w:val="single" w:color="000000" w:sz="4" w:space="0"/>
                    <w:left w:val="nil"/>
                    <w:bottom w:val="single" w:color="000000" w:sz="4" w:space="0"/>
                    <w:right w:val="single" w:color="000000" w:sz="4" w:space="0"/>
                  </w:tcBorders>
                </w:tcPr>
                <w:p>
                  <w:pPr>
                    <w:widowControl/>
                    <w:snapToGrid w:val="0"/>
                    <w:spacing w:line="240" w:lineRule="auto"/>
                    <w:jc w:val="center"/>
                    <w:textAlignment w:val="auto"/>
                    <w:rPr>
                      <w:rFonts w:hint="eastAsia" w:ascii="Times New Roman" w:hAnsi="Times New Roman" w:cs="Times New Roman"/>
                      <w:color w:val="FF0000"/>
                      <w:kern w:val="2"/>
                      <w:szCs w:val="21"/>
                    </w:rPr>
                  </w:pPr>
                  <w:r>
                    <w:rPr>
                      <w:rFonts w:hint="eastAsia" w:ascii="Times New Roman" w:hAnsi="Times New Roman" w:cs="Times New Roman"/>
                      <w:color w:val="FF0000"/>
                      <w:kern w:val="2"/>
                      <w:szCs w:val="21"/>
                    </w:rPr>
                    <w:t>总氮</w:t>
                  </w:r>
                </w:p>
              </w:tc>
              <w:tc>
                <w:tcPr>
                  <w:tcW w:w="1604"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mg/L</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0.5</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1.0</w:t>
                  </w:r>
                </w:p>
              </w:tc>
              <w:tc>
                <w:tcPr>
                  <w:tcW w:w="2245" w:type="dxa"/>
                  <w:vMerge w:val="continue"/>
                  <w:tcBorders>
                    <w:top w:val="nil"/>
                    <w:left w:val="single" w:color="000000" w:sz="4" w:space="0"/>
                    <w:right w:val="nil"/>
                  </w:tcBorders>
                </w:tcPr>
                <w:p>
                  <w:pPr>
                    <w:widowControl/>
                    <w:snapToGrid w:val="0"/>
                    <w:spacing w:line="240" w:lineRule="auto"/>
                    <w:jc w:val="center"/>
                    <w:textAlignment w:val="auto"/>
                    <w:rPr>
                      <w:rFonts w:hint="default" w:ascii="Times New Roman" w:hAnsi="Times New Roman" w:cs="Times New Roman"/>
                      <w:color w:val="FF0000"/>
                      <w:kern w:val="2"/>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trPr>
              <w:tc>
                <w:tcPr>
                  <w:tcW w:w="1246" w:type="dxa"/>
                  <w:tcBorders>
                    <w:top w:val="single" w:color="000000" w:sz="4" w:space="0"/>
                    <w:left w:val="nil"/>
                    <w:bottom w:val="single" w:color="000000" w:sz="4" w:space="0"/>
                    <w:right w:val="single" w:color="000000" w:sz="4" w:space="0"/>
                  </w:tcBorders>
                </w:tcPr>
                <w:p>
                  <w:pPr>
                    <w:widowControl/>
                    <w:snapToGrid w:val="0"/>
                    <w:spacing w:line="240" w:lineRule="auto"/>
                    <w:jc w:val="center"/>
                    <w:textAlignment w:val="auto"/>
                    <w:rPr>
                      <w:rFonts w:hint="eastAsia" w:ascii="Times New Roman" w:hAnsi="Times New Roman" w:cs="Times New Roman"/>
                      <w:color w:val="FF0000"/>
                      <w:kern w:val="2"/>
                      <w:szCs w:val="21"/>
                    </w:rPr>
                  </w:pPr>
                  <w:r>
                    <w:rPr>
                      <w:rFonts w:hint="eastAsia" w:ascii="Times New Roman" w:hAnsi="Times New Roman" w:cs="Times New Roman"/>
                      <w:color w:val="FF0000"/>
                      <w:kern w:val="2"/>
                      <w:szCs w:val="21"/>
                    </w:rPr>
                    <w:t>氯化物</w:t>
                  </w:r>
                </w:p>
              </w:tc>
              <w:tc>
                <w:tcPr>
                  <w:tcW w:w="1604"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mg/L</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250</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250</w:t>
                  </w:r>
                </w:p>
              </w:tc>
              <w:tc>
                <w:tcPr>
                  <w:tcW w:w="2245" w:type="dxa"/>
                  <w:vMerge w:val="continue"/>
                  <w:tcBorders>
                    <w:top w:val="nil"/>
                    <w:left w:val="single" w:color="000000" w:sz="4" w:space="0"/>
                    <w:right w:val="nil"/>
                  </w:tcBorders>
                </w:tcPr>
                <w:p>
                  <w:pPr>
                    <w:widowControl/>
                    <w:snapToGrid w:val="0"/>
                    <w:spacing w:line="240" w:lineRule="auto"/>
                    <w:jc w:val="center"/>
                    <w:textAlignment w:val="auto"/>
                    <w:rPr>
                      <w:rFonts w:hint="default" w:ascii="Times New Roman" w:hAnsi="Times New Roman" w:cs="Times New Roman"/>
                      <w:color w:val="FF0000"/>
                      <w:kern w:val="2"/>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trPr>
              <w:tc>
                <w:tcPr>
                  <w:tcW w:w="1246" w:type="dxa"/>
                  <w:tcBorders>
                    <w:top w:val="single" w:color="000000" w:sz="4" w:space="0"/>
                    <w:left w:val="nil"/>
                    <w:bottom w:val="single" w:color="000000" w:sz="4" w:space="0"/>
                    <w:right w:val="single" w:color="000000" w:sz="4" w:space="0"/>
                  </w:tcBorders>
                </w:tcPr>
                <w:p>
                  <w:pPr>
                    <w:widowControl/>
                    <w:snapToGrid w:val="0"/>
                    <w:spacing w:line="240" w:lineRule="auto"/>
                    <w:jc w:val="center"/>
                    <w:textAlignment w:val="auto"/>
                    <w:rPr>
                      <w:rFonts w:hint="eastAsia" w:ascii="Times New Roman" w:hAnsi="Times New Roman" w:cs="Times New Roman"/>
                      <w:color w:val="FF0000"/>
                      <w:kern w:val="2"/>
                      <w:szCs w:val="21"/>
                    </w:rPr>
                  </w:pPr>
                  <w:r>
                    <w:rPr>
                      <w:rFonts w:hint="eastAsia" w:ascii="Times New Roman" w:hAnsi="Times New Roman" w:cs="Times New Roman"/>
                      <w:color w:val="FF0000"/>
                      <w:kern w:val="2"/>
                      <w:szCs w:val="21"/>
                    </w:rPr>
                    <w:t>氟化物</w:t>
                  </w:r>
                </w:p>
              </w:tc>
              <w:tc>
                <w:tcPr>
                  <w:tcW w:w="1604"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mg/L</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1.0</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1.0</w:t>
                  </w:r>
                </w:p>
              </w:tc>
              <w:tc>
                <w:tcPr>
                  <w:tcW w:w="2245" w:type="dxa"/>
                  <w:vMerge w:val="continue"/>
                  <w:tcBorders>
                    <w:top w:val="nil"/>
                    <w:left w:val="single" w:color="000000" w:sz="4" w:space="0"/>
                    <w:right w:val="nil"/>
                  </w:tcBorders>
                </w:tcPr>
                <w:p>
                  <w:pPr>
                    <w:widowControl/>
                    <w:snapToGrid w:val="0"/>
                    <w:spacing w:line="240" w:lineRule="auto"/>
                    <w:jc w:val="center"/>
                    <w:textAlignment w:val="auto"/>
                    <w:rPr>
                      <w:rFonts w:hint="default" w:ascii="Times New Roman" w:hAnsi="Times New Roman" w:cs="Times New Roman"/>
                      <w:color w:val="FF0000"/>
                      <w:kern w:val="2"/>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trPr>
              <w:tc>
                <w:tcPr>
                  <w:tcW w:w="1246" w:type="dxa"/>
                  <w:tcBorders>
                    <w:top w:val="single" w:color="000000" w:sz="4" w:space="0"/>
                    <w:left w:val="nil"/>
                    <w:bottom w:val="single" w:color="000000" w:sz="4" w:space="0"/>
                    <w:right w:val="single" w:color="000000" w:sz="4" w:space="0"/>
                  </w:tcBorders>
                </w:tcPr>
                <w:p>
                  <w:pPr>
                    <w:widowControl/>
                    <w:snapToGrid w:val="0"/>
                    <w:spacing w:line="240" w:lineRule="auto"/>
                    <w:jc w:val="center"/>
                    <w:textAlignment w:val="auto"/>
                    <w:rPr>
                      <w:rFonts w:hint="eastAsia" w:ascii="Times New Roman" w:hAnsi="Times New Roman" w:cs="Times New Roman"/>
                      <w:color w:val="FF0000"/>
                      <w:kern w:val="2"/>
                      <w:szCs w:val="21"/>
                    </w:rPr>
                  </w:pPr>
                  <w:r>
                    <w:rPr>
                      <w:rFonts w:hint="eastAsia" w:ascii="Times New Roman" w:hAnsi="Times New Roman" w:cs="Times New Roman"/>
                      <w:color w:val="FF0000"/>
                      <w:kern w:val="2"/>
                      <w:szCs w:val="21"/>
                    </w:rPr>
                    <w:t>硫化物</w:t>
                  </w:r>
                </w:p>
              </w:tc>
              <w:tc>
                <w:tcPr>
                  <w:tcW w:w="1604"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mg/L</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0.1</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0.2</w:t>
                  </w:r>
                </w:p>
              </w:tc>
              <w:tc>
                <w:tcPr>
                  <w:tcW w:w="2245" w:type="dxa"/>
                  <w:vMerge w:val="continue"/>
                  <w:tcBorders>
                    <w:top w:val="nil"/>
                    <w:left w:val="single" w:color="000000" w:sz="4" w:space="0"/>
                    <w:right w:val="nil"/>
                  </w:tcBorders>
                </w:tcPr>
                <w:p>
                  <w:pPr>
                    <w:widowControl/>
                    <w:snapToGrid w:val="0"/>
                    <w:spacing w:line="240" w:lineRule="auto"/>
                    <w:jc w:val="center"/>
                    <w:textAlignment w:val="auto"/>
                    <w:rPr>
                      <w:rFonts w:hint="default" w:ascii="Times New Roman" w:hAnsi="Times New Roman" w:cs="Times New Roman"/>
                      <w:color w:val="FF0000"/>
                      <w:kern w:val="2"/>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trPr>
              <w:tc>
                <w:tcPr>
                  <w:tcW w:w="1246" w:type="dxa"/>
                  <w:tcBorders>
                    <w:top w:val="single" w:color="000000" w:sz="4" w:space="0"/>
                    <w:left w:val="nil"/>
                    <w:bottom w:val="single" w:color="000000" w:sz="4" w:space="0"/>
                    <w:right w:val="single" w:color="000000" w:sz="4" w:space="0"/>
                  </w:tcBorders>
                </w:tcPr>
                <w:p>
                  <w:pPr>
                    <w:widowControl/>
                    <w:snapToGrid w:val="0"/>
                    <w:spacing w:line="240" w:lineRule="auto"/>
                    <w:jc w:val="center"/>
                    <w:textAlignment w:val="auto"/>
                    <w:rPr>
                      <w:rFonts w:hint="eastAsia" w:ascii="Times New Roman" w:hAnsi="Times New Roman" w:cs="Times New Roman"/>
                      <w:color w:val="FF0000"/>
                      <w:kern w:val="2"/>
                      <w:szCs w:val="21"/>
                    </w:rPr>
                  </w:pPr>
                  <w:r>
                    <w:rPr>
                      <w:rFonts w:hint="eastAsia" w:ascii="Times New Roman" w:hAnsi="Times New Roman" w:cs="Times New Roman"/>
                      <w:color w:val="FF0000"/>
                      <w:kern w:val="2"/>
                      <w:szCs w:val="21"/>
                    </w:rPr>
                    <w:t>氰化物</w:t>
                  </w:r>
                </w:p>
              </w:tc>
              <w:tc>
                <w:tcPr>
                  <w:tcW w:w="1604"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mg/L</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0.05</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0.2</w:t>
                  </w:r>
                </w:p>
              </w:tc>
              <w:tc>
                <w:tcPr>
                  <w:tcW w:w="2245" w:type="dxa"/>
                  <w:vMerge w:val="continue"/>
                  <w:tcBorders>
                    <w:top w:val="nil"/>
                    <w:left w:val="single" w:color="000000" w:sz="4" w:space="0"/>
                    <w:right w:val="nil"/>
                  </w:tcBorders>
                </w:tcPr>
                <w:p>
                  <w:pPr>
                    <w:widowControl/>
                    <w:snapToGrid w:val="0"/>
                    <w:spacing w:line="240" w:lineRule="auto"/>
                    <w:jc w:val="center"/>
                    <w:textAlignment w:val="auto"/>
                    <w:rPr>
                      <w:rFonts w:hint="default" w:ascii="Times New Roman" w:hAnsi="Times New Roman" w:cs="Times New Roman"/>
                      <w:color w:val="FF0000"/>
                      <w:kern w:val="2"/>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trPr>
              <w:tc>
                <w:tcPr>
                  <w:tcW w:w="1246" w:type="dxa"/>
                  <w:tcBorders>
                    <w:top w:val="single" w:color="000000" w:sz="4" w:space="0"/>
                    <w:left w:val="nil"/>
                    <w:bottom w:val="single" w:color="000000" w:sz="4" w:space="0"/>
                    <w:right w:val="single" w:color="000000" w:sz="4" w:space="0"/>
                  </w:tcBorders>
                </w:tcPr>
                <w:p>
                  <w:pPr>
                    <w:widowControl/>
                    <w:snapToGrid w:val="0"/>
                    <w:spacing w:line="240" w:lineRule="auto"/>
                    <w:jc w:val="center"/>
                    <w:textAlignment w:val="auto"/>
                    <w:rPr>
                      <w:rFonts w:hint="eastAsia" w:ascii="Times New Roman" w:hAnsi="Times New Roman" w:cs="Times New Roman"/>
                      <w:color w:val="FF0000"/>
                      <w:kern w:val="2"/>
                      <w:szCs w:val="21"/>
                    </w:rPr>
                  </w:pPr>
                  <w:r>
                    <w:rPr>
                      <w:rFonts w:hint="eastAsia" w:ascii="Times New Roman" w:hAnsi="Times New Roman" w:cs="Times New Roman"/>
                      <w:color w:val="FF0000"/>
                      <w:kern w:val="2"/>
                      <w:szCs w:val="21"/>
                    </w:rPr>
                    <w:t>砷</w:t>
                  </w:r>
                </w:p>
              </w:tc>
              <w:tc>
                <w:tcPr>
                  <w:tcW w:w="1604"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mg/L</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0.05</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0.05</w:t>
                  </w:r>
                </w:p>
              </w:tc>
              <w:tc>
                <w:tcPr>
                  <w:tcW w:w="2245" w:type="dxa"/>
                  <w:vMerge w:val="continue"/>
                  <w:tcBorders>
                    <w:top w:val="nil"/>
                    <w:left w:val="single" w:color="000000" w:sz="4" w:space="0"/>
                    <w:right w:val="nil"/>
                  </w:tcBorders>
                </w:tcPr>
                <w:p>
                  <w:pPr>
                    <w:widowControl/>
                    <w:snapToGrid w:val="0"/>
                    <w:spacing w:line="240" w:lineRule="auto"/>
                    <w:jc w:val="center"/>
                    <w:textAlignment w:val="auto"/>
                    <w:rPr>
                      <w:rFonts w:hint="default" w:ascii="Times New Roman" w:hAnsi="Times New Roman" w:cs="Times New Roman"/>
                      <w:color w:val="FF0000"/>
                      <w:kern w:val="2"/>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trPr>
              <w:tc>
                <w:tcPr>
                  <w:tcW w:w="1246" w:type="dxa"/>
                  <w:tcBorders>
                    <w:top w:val="single" w:color="000000" w:sz="4" w:space="0"/>
                    <w:left w:val="nil"/>
                    <w:bottom w:val="single" w:color="000000" w:sz="4" w:space="0"/>
                    <w:right w:val="single" w:color="000000" w:sz="4" w:space="0"/>
                  </w:tcBorders>
                </w:tcPr>
                <w:p>
                  <w:pPr>
                    <w:widowControl/>
                    <w:snapToGrid w:val="0"/>
                    <w:spacing w:line="240" w:lineRule="auto"/>
                    <w:jc w:val="center"/>
                    <w:textAlignment w:val="auto"/>
                    <w:rPr>
                      <w:rFonts w:hint="eastAsia" w:ascii="Times New Roman" w:hAnsi="Times New Roman" w:cs="Times New Roman"/>
                      <w:color w:val="FF0000"/>
                      <w:kern w:val="2"/>
                      <w:szCs w:val="21"/>
                    </w:rPr>
                  </w:pPr>
                  <w:r>
                    <w:rPr>
                      <w:rFonts w:hint="eastAsia" w:ascii="Times New Roman" w:hAnsi="Times New Roman" w:cs="Times New Roman"/>
                      <w:color w:val="FF0000"/>
                      <w:kern w:val="2"/>
                      <w:szCs w:val="21"/>
                    </w:rPr>
                    <w:t>汞</w:t>
                  </w:r>
                </w:p>
              </w:tc>
              <w:tc>
                <w:tcPr>
                  <w:tcW w:w="1604"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mg/L</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0.00005</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0.0001</w:t>
                  </w:r>
                </w:p>
              </w:tc>
              <w:tc>
                <w:tcPr>
                  <w:tcW w:w="2245" w:type="dxa"/>
                  <w:vMerge w:val="continue"/>
                  <w:tcBorders>
                    <w:top w:val="nil"/>
                    <w:left w:val="single" w:color="000000" w:sz="4" w:space="0"/>
                    <w:right w:val="nil"/>
                  </w:tcBorders>
                </w:tcPr>
                <w:p>
                  <w:pPr>
                    <w:widowControl/>
                    <w:snapToGrid w:val="0"/>
                    <w:spacing w:line="240" w:lineRule="auto"/>
                    <w:jc w:val="center"/>
                    <w:textAlignment w:val="auto"/>
                    <w:rPr>
                      <w:rFonts w:hint="default" w:ascii="Times New Roman" w:hAnsi="Times New Roman" w:cs="Times New Roman"/>
                      <w:color w:val="FF0000"/>
                      <w:kern w:val="2"/>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trPr>
              <w:tc>
                <w:tcPr>
                  <w:tcW w:w="1246" w:type="dxa"/>
                  <w:tcBorders>
                    <w:top w:val="single" w:color="000000" w:sz="4" w:space="0"/>
                    <w:left w:val="nil"/>
                    <w:bottom w:val="single" w:color="000000" w:sz="4" w:space="0"/>
                    <w:right w:val="single" w:color="000000" w:sz="4" w:space="0"/>
                  </w:tcBorders>
                </w:tcPr>
                <w:p>
                  <w:pPr>
                    <w:widowControl/>
                    <w:snapToGrid w:val="0"/>
                    <w:spacing w:line="240" w:lineRule="auto"/>
                    <w:jc w:val="center"/>
                    <w:textAlignment w:val="auto"/>
                    <w:rPr>
                      <w:rFonts w:hint="eastAsia" w:ascii="Times New Roman" w:hAnsi="Times New Roman" w:cs="Times New Roman"/>
                      <w:color w:val="FF0000"/>
                      <w:kern w:val="2"/>
                      <w:szCs w:val="21"/>
                    </w:rPr>
                  </w:pPr>
                  <w:r>
                    <w:rPr>
                      <w:rFonts w:hint="eastAsia" w:ascii="Times New Roman" w:hAnsi="Times New Roman" w:cs="Times New Roman"/>
                      <w:color w:val="FF0000"/>
                      <w:kern w:val="2"/>
                      <w:szCs w:val="21"/>
                    </w:rPr>
                    <w:t>镉</w:t>
                  </w:r>
                </w:p>
              </w:tc>
              <w:tc>
                <w:tcPr>
                  <w:tcW w:w="1604"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mg/L</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0.005</w:t>
                  </w:r>
                </w:p>
              </w:tc>
              <w:tc>
                <w:tcPr>
                  <w:tcW w:w="1715" w:type="dxa"/>
                  <w:tcBorders>
                    <w:top w:val="single" w:color="000000" w:sz="4" w:space="0"/>
                    <w:left w:val="single" w:color="000000" w:sz="4" w:space="0"/>
                    <w:bottom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0.005</w:t>
                  </w:r>
                </w:p>
              </w:tc>
              <w:tc>
                <w:tcPr>
                  <w:tcW w:w="2245" w:type="dxa"/>
                  <w:vMerge w:val="continue"/>
                  <w:tcBorders>
                    <w:top w:val="nil"/>
                    <w:left w:val="single" w:color="000000" w:sz="4" w:space="0"/>
                    <w:right w:val="nil"/>
                  </w:tcBorders>
                </w:tcPr>
                <w:p>
                  <w:pPr>
                    <w:widowControl/>
                    <w:snapToGrid w:val="0"/>
                    <w:spacing w:line="240" w:lineRule="auto"/>
                    <w:jc w:val="center"/>
                    <w:textAlignment w:val="auto"/>
                    <w:rPr>
                      <w:rFonts w:hint="default" w:ascii="Times New Roman" w:hAnsi="Times New Roman" w:cs="Times New Roman"/>
                      <w:color w:val="FF0000"/>
                      <w:kern w:val="2"/>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0" w:hRule="atLeast"/>
              </w:trPr>
              <w:tc>
                <w:tcPr>
                  <w:tcW w:w="1246" w:type="dxa"/>
                  <w:tcBorders>
                    <w:top w:val="single" w:color="000000" w:sz="4" w:space="0"/>
                    <w:left w:val="nil"/>
                    <w:right w:val="single" w:color="000000" w:sz="4" w:space="0"/>
                  </w:tcBorders>
                </w:tcPr>
                <w:p>
                  <w:pPr>
                    <w:widowControl/>
                    <w:snapToGrid w:val="0"/>
                    <w:spacing w:line="240" w:lineRule="auto"/>
                    <w:jc w:val="center"/>
                    <w:textAlignment w:val="auto"/>
                    <w:rPr>
                      <w:rFonts w:hint="eastAsia" w:ascii="Times New Roman" w:hAnsi="Times New Roman" w:cs="Times New Roman"/>
                      <w:color w:val="FF0000"/>
                      <w:kern w:val="2"/>
                      <w:szCs w:val="21"/>
                    </w:rPr>
                  </w:pPr>
                  <w:r>
                    <w:rPr>
                      <w:rFonts w:hint="eastAsia" w:ascii="Times New Roman" w:hAnsi="Times New Roman" w:cs="Times New Roman"/>
                      <w:color w:val="FF0000"/>
                      <w:kern w:val="2"/>
                      <w:szCs w:val="21"/>
                    </w:rPr>
                    <w:t>六价铬</w:t>
                  </w:r>
                </w:p>
              </w:tc>
              <w:tc>
                <w:tcPr>
                  <w:tcW w:w="1604" w:type="dxa"/>
                  <w:tcBorders>
                    <w:top w:val="single" w:color="000000" w:sz="4" w:space="0"/>
                    <w:left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mg/L</w:t>
                  </w:r>
                </w:p>
              </w:tc>
              <w:tc>
                <w:tcPr>
                  <w:tcW w:w="1715" w:type="dxa"/>
                  <w:tcBorders>
                    <w:top w:val="single" w:color="000000" w:sz="4" w:space="0"/>
                    <w:left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0.05</w:t>
                  </w:r>
                </w:p>
              </w:tc>
              <w:tc>
                <w:tcPr>
                  <w:tcW w:w="1715" w:type="dxa"/>
                  <w:tcBorders>
                    <w:top w:val="single" w:color="000000" w:sz="4" w:space="0"/>
                    <w:left w:val="single" w:color="000000" w:sz="4" w:space="0"/>
                    <w:right w:val="single" w:color="000000" w:sz="4" w:space="0"/>
                  </w:tcBorders>
                </w:tcPr>
                <w:p>
                  <w:pPr>
                    <w:widowControl/>
                    <w:snapToGrid w:val="0"/>
                    <w:spacing w:line="240" w:lineRule="auto"/>
                    <w:jc w:val="center"/>
                    <w:textAlignment w:val="auto"/>
                    <w:rPr>
                      <w:rFonts w:hint="default" w:ascii="Times New Roman" w:hAnsi="Times New Roman" w:cs="Times New Roman"/>
                      <w:color w:val="FF0000"/>
                      <w:kern w:val="2"/>
                      <w:szCs w:val="21"/>
                    </w:rPr>
                  </w:pPr>
                  <w:r>
                    <w:rPr>
                      <w:rFonts w:hint="default" w:ascii="Times New Roman" w:hAnsi="Times New Roman" w:cs="Times New Roman"/>
                      <w:color w:val="FF0000"/>
                      <w:kern w:val="2"/>
                      <w:szCs w:val="21"/>
                    </w:rPr>
                    <w:t>0.05</w:t>
                  </w:r>
                </w:p>
              </w:tc>
              <w:tc>
                <w:tcPr>
                  <w:tcW w:w="2245" w:type="dxa"/>
                  <w:vMerge w:val="continue"/>
                  <w:tcBorders>
                    <w:top w:val="nil"/>
                    <w:left w:val="single" w:color="000000" w:sz="4" w:space="0"/>
                    <w:right w:val="nil"/>
                  </w:tcBorders>
                </w:tcPr>
                <w:p>
                  <w:pPr>
                    <w:widowControl/>
                    <w:snapToGrid w:val="0"/>
                    <w:spacing w:line="240" w:lineRule="auto"/>
                    <w:jc w:val="center"/>
                    <w:textAlignment w:val="auto"/>
                    <w:rPr>
                      <w:rFonts w:hint="default" w:ascii="Times New Roman" w:hAnsi="Times New Roman" w:cs="Times New Roman"/>
                      <w:color w:val="FF0000"/>
                      <w:kern w:val="2"/>
                      <w:szCs w:val="21"/>
                    </w:rPr>
                  </w:pPr>
                </w:p>
              </w:tc>
            </w:tr>
          </w:tbl>
          <w:p>
            <w:pPr>
              <w:pStyle w:val="68"/>
              <w:ind w:firstLine="0" w:firstLineChars="0"/>
              <w:rPr>
                <w:rFonts w:hint="default" w:ascii="Times New Roman" w:hAnsi="Times New Roman" w:cs="Times New Roman"/>
                <w:color w:val="auto"/>
                <w:szCs w:val="24"/>
              </w:rPr>
            </w:pPr>
            <w:r>
              <w:rPr>
                <w:rFonts w:hint="default" w:ascii="Times New Roman" w:hAnsi="Times New Roman" w:cs="Times New Roman"/>
                <w:color w:val="auto"/>
                <w:szCs w:val="24"/>
              </w:rPr>
              <w:t>3、地下水质量标准</w:t>
            </w:r>
          </w:p>
          <w:p>
            <w:pPr>
              <w:pStyle w:val="68"/>
              <w:spacing w:before="0"/>
              <w:ind w:firstLine="480"/>
              <w:rPr>
                <w:rFonts w:hint="default" w:ascii="Times New Roman" w:hAnsi="Times New Roman" w:cs="Times New Roman"/>
                <w:b w:val="0"/>
                <w:bCs/>
                <w:color w:val="auto"/>
              </w:rPr>
            </w:pPr>
            <w:r>
              <w:rPr>
                <w:rFonts w:hint="default" w:ascii="Times New Roman" w:hAnsi="Times New Roman" w:cs="Times New Roman"/>
                <w:b w:val="0"/>
                <w:bCs/>
                <w:color w:val="auto"/>
              </w:rPr>
              <w:t>本项目区域地下水质量标准执行《地下水质量标准》（GB/T 14848-2017）表1中</w:t>
            </w:r>
            <w:r>
              <w:rPr>
                <w:rFonts w:hint="default" w:ascii="Times New Roman" w:hAnsi="Times New Roman" w:cs="Times New Roman"/>
                <w:b w:val="0"/>
                <w:bCs/>
                <w:color w:val="auto"/>
              </w:rPr>
              <w:fldChar w:fldCharType="begin"/>
            </w:r>
            <w:r>
              <w:rPr>
                <w:rFonts w:hint="default" w:ascii="Times New Roman" w:hAnsi="Times New Roman" w:cs="Times New Roman"/>
                <w:b w:val="0"/>
                <w:bCs/>
                <w:color w:val="auto"/>
              </w:rPr>
              <w:instrText xml:space="preserve"> = 3 \* ROMAN </w:instrText>
            </w:r>
            <w:r>
              <w:rPr>
                <w:rFonts w:hint="default" w:ascii="Times New Roman" w:hAnsi="Times New Roman" w:cs="Times New Roman"/>
                <w:b w:val="0"/>
                <w:bCs/>
                <w:color w:val="auto"/>
              </w:rPr>
              <w:fldChar w:fldCharType="separate"/>
            </w:r>
            <w:r>
              <w:rPr>
                <w:rFonts w:hint="default" w:ascii="Times New Roman" w:hAnsi="Times New Roman" w:cs="Times New Roman"/>
                <w:b w:val="0"/>
                <w:bCs/>
                <w:color w:val="auto"/>
              </w:rPr>
              <w:t>III</w:t>
            </w:r>
            <w:r>
              <w:rPr>
                <w:rFonts w:hint="default" w:ascii="Times New Roman" w:hAnsi="Times New Roman" w:cs="Times New Roman"/>
                <w:b w:val="0"/>
                <w:bCs/>
                <w:color w:val="auto"/>
              </w:rPr>
              <w:fldChar w:fldCharType="end"/>
            </w:r>
            <w:r>
              <w:rPr>
                <w:rFonts w:hint="default" w:ascii="Times New Roman" w:hAnsi="Times New Roman" w:cs="Times New Roman"/>
                <w:b w:val="0"/>
                <w:bCs/>
                <w:color w:val="auto"/>
              </w:rPr>
              <w:t>类水质标准，详见表4-4。</w:t>
            </w:r>
          </w:p>
          <w:p>
            <w:pPr>
              <w:adjustRightInd/>
              <w:spacing w:before="156" w:beforeLines="50" w:line="240" w:lineRule="auto"/>
              <w:jc w:val="center"/>
              <w:textAlignment w:val="auto"/>
              <w:rPr>
                <w:rFonts w:hint="default" w:ascii="Times New Roman" w:hAnsi="Times New Roman" w:cs="Times New Roman"/>
                <w:b/>
                <w:color w:val="auto"/>
                <w:kern w:val="2"/>
                <w:sz w:val="24"/>
                <w:szCs w:val="24"/>
              </w:rPr>
            </w:pPr>
            <w:r>
              <w:rPr>
                <w:rFonts w:hint="default" w:ascii="Times New Roman" w:hAnsi="Times New Roman" w:cs="Times New Roman"/>
                <w:b/>
                <w:color w:val="auto"/>
                <w:kern w:val="2"/>
                <w:sz w:val="24"/>
                <w:szCs w:val="24"/>
              </w:rPr>
              <w:t xml:space="preserve">表4-4 地下水质量标准 </w:t>
            </w:r>
          </w:p>
          <w:tbl>
            <w:tblPr>
              <w:tblStyle w:val="33"/>
              <w:tblW w:w="80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2790"/>
              <w:gridCol w:w="2738"/>
              <w:gridCol w:w="16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40"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序号</w:t>
                  </w:r>
                </w:p>
              </w:tc>
              <w:tc>
                <w:tcPr>
                  <w:tcW w:w="2790"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指标</w:t>
                  </w:r>
                </w:p>
              </w:tc>
              <w:tc>
                <w:tcPr>
                  <w:tcW w:w="2738"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III类</w:t>
                  </w:r>
                </w:p>
              </w:tc>
              <w:tc>
                <w:tcPr>
                  <w:tcW w:w="1633"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40" w:type="dxa"/>
                  <w:vMerge w:val="continue"/>
                  <w:vAlign w:val="center"/>
                </w:tcPr>
                <w:p>
                  <w:pPr>
                    <w:jc w:val="center"/>
                    <w:rPr>
                      <w:rFonts w:hint="default" w:ascii="Times New Roman" w:hAnsi="Times New Roman" w:cs="Times New Roman"/>
                      <w:bCs/>
                      <w:color w:val="auto"/>
                      <w:szCs w:val="21"/>
                    </w:rPr>
                  </w:pPr>
                </w:p>
              </w:tc>
              <w:tc>
                <w:tcPr>
                  <w:tcW w:w="2790" w:type="dxa"/>
                  <w:vMerge w:val="continue"/>
                  <w:vAlign w:val="center"/>
                </w:tcPr>
                <w:p>
                  <w:pPr>
                    <w:jc w:val="center"/>
                    <w:rPr>
                      <w:rFonts w:hint="default" w:ascii="Times New Roman" w:hAnsi="Times New Roman" w:cs="Times New Roman"/>
                      <w:bCs/>
                      <w:color w:val="auto"/>
                      <w:szCs w:val="21"/>
                    </w:rPr>
                  </w:pPr>
                </w:p>
              </w:tc>
              <w:tc>
                <w:tcPr>
                  <w:tcW w:w="2738"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标准值</w:t>
                  </w:r>
                </w:p>
              </w:tc>
              <w:tc>
                <w:tcPr>
                  <w:tcW w:w="1633" w:type="dxa"/>
                  <w:vMerge w:val="continue"/>
                  <w:vAlign w:val="center"/>
                </w:tcPr>
                <w:p>
                  <w:pPr>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4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w:t>
                  </w:r>
                </w:p>
              </w:tc>
              <w:tc>
                <w:tcPr>
                  <w:tcW w:w="279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pH</w:t>
                  </w:r>
                </w:p>
              </w:tc>
              <w:tc>
                <w:tcPr>
                  <w:tcW w:w="2738"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6.5≤pH≤8.5</w:t>
                  </w:r>
                </w:p>
              </w:tc>
              <w:tc>
                <w:tcPr>
                  <w:tcW w:w="1633"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《地下水质量标准》（GB/T 14848-2017）</w:t>
                  </w:r>
                  <w:r>
                    <w:rPr>
                      <w:rFonts w:hint="default" w:ascii="Times New Roman" w:hAnsi="Times New Roman" w:cs="Times New Roman"/>
                      <w:bCs/>
                      <w:color w:val="auto"/>
                      <w:szCs w:val="21"/>
                    </w:rPr>
                    <w:fldChar w:fldCharType="begin"/>
                  </w:r>
                  <w:r>
                    <w:rPr>
                      <w:rFonts w:hint="default" w:ascii="Times New Roman" w:hAnsi="Times New Roman" w:cs="Times New Roman"/>
                      <w:bCs/>
                      <w:color w:val="auto"/>
                      <w:szCs w:val="21"/>
                    </w:rPr>
                    <w:instrText xml:space="preserve"> = 3 \* ROMAN </w:instrText>
                  </w:r>
                  <w:r>
                    <w:rPr>
                      <w:rFonts w:hint="default" w:ascii="Times New Roman" w:hAnsi="Times New Roman" w:cs="Times New Roman"/>
                      <w:bCs/>
                      <w:color w:val="auto"/>
                      <w:szCs w:val="21"/>
                    </w:rPr>
                    <w:fldChar w:fldCharType="separate"/>
                  </w:r>
                  <w:r>
                    <w:rPr>
                      <w:rFonts w:hint="default" w:ascii="Times New Roman" w:hAnsi="Times New Roman" w:cs="Times New Roman"/>
                      <w:bCs/>
                      <w:color w:val="auto"/>
                      <w:szCs w:val="21"/>
                    </w:rPr>
                    <w:t>III</w:t>
                  </w:r>
                  <w:r>
                    <w:rPr>
                      <w:rFonts w:hint="default" w:ascii="Times New Roman" w:hAnsi="Times New Roman" w:cs="Times New Roman"/>
                      <w:bCs/>
                      <w:color w:val="auto"/>
                      <w:szCs w:val="21"/>
                    </w:rPr>
                    <w:fldChar w:fldCharType="end"/>
                  </w:r>
                  <w:r>
                    <w:rPr>
                      <w:rFonts w:hint="default" w:ascii="Times New Roman" w:hAnsi="Times New Roman" w:cs="Times New Roman"/>
                      <w:bCs/>
                      <w:color w:val="auto"/>
                      <w:szCs w:val="21"/>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4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w:t>
                  </w:r>
                </w:p>
              </w:tc>
              <w:tc>
                <w:tcPr>
                  <w:tcW w:w="279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氨氮（mg/L）</w:t>
                  </w:r>
                </w:p>
              </w:tc>
              <w:tc>
                <w:tcPr>
                  <w:tcW w:w="2738" w:type="dxa"/>
                </w:tcPr>
                <w:p>
                  <w:pPr>
                    <w:jc w:val="center"/>
                    <w:rPr>
                      <w:rFonts w:hint="default" w:ascii="Times New Roman" w:hAnsi="Times New Roman" w:cs="Times New Roman"/>
                      <w:color w:val="auto"/>
                    </w:rPr>
                  </w:pPr>
                  <w:r>
                    <w:rPr>
                      <w:rFonts w:hint="default" w:ascii="Times New Roman" w:hAnsi="Times New Roman" w:cs="Times New Roman"/>
                      <w:color w:val="auto"/>
                    </w:rPr>
                    <w:t>≤0.50</w:t>
                  </w:r>
                </w:p>
              </w:tc>
              <w:tc>
                <w:tcPr>
                  <w:tcW w:w="1633" w:type="dxa"/>
                  <w:vMerge w:val="continue"/>
                  <w:vAlign w:val="center"/>
                </w:tcPr>
                <w:p>
                  <w:pPr>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4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w:t>
                  </w:r>
                </w:p>
              </w:tc>
              <w:tc>
                <w:tcPr>
                  <w:tcW w:w="279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硝酸盐（mg/L）</w:t>
                  </w:r>
                </w:p>
              </w:tc>
              <w:tc>
                <w:tcPr>
                  <w:tcW w:w="2738" w:type="dxa"/>
                </w:tcPr>
                <w:p>
                  <w:pPr>
                    <w:jc w:val="center"/>
                    <w:rPr>
                      <w:rFonts w:hint="default" w:ascii="Times New Roman" w:hAnsi="Times New Roman" w:cs="Times New Roman"/>
                      <w:color w:val="auto"/>
                    </w:rPr>
                  </w:pPr>
                  <w:r>
                    <w:rPr>
                      <w:rFonts w:hint="default" w:ascii="Times New Roman" w:hAnsi="Times New Roman" w:cs="Times New Roman"/>
                      <w:color w:val="auto"/>
                    </w:rPr>
                    <w:t>≤20.0</w:t>
                  </w:r>
                </w:p>
              </w:tc>
              <w:tc>
                <w:tcPr>
                  <w:tcW w:w="1633" w:type="dxa"/>
                  <w:vMerge w:val="continue"/>
                  <w:vAlign w:val="center"/>
                </w:tcPr>
                <w:p>
                  <w:pPr>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4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w:t>
                  </w:r>
                </w:p>
              </w:tc>
              <w:tc>
                <w:tcPr>
                  <w:tcW w:w="279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亚硝酸盐（mg/L）</w:t>
                  </w:r>
                </w:p>
              </w:tc>
              <w:tc>
                <w:tcPr>
                  <w:tcW w:w="2738" w:type="dxa"/>
                </w:tcPr>
                <w:p>
                  <w:pPr>
                    <w:jc w:val="center"/>
                    <w:rPr>
                      <w:rFonts w:hint="default" w:ascii="Times New Roman" w:hAnsi="Times New Roman" w:cs="Times New Roman"/>
                      <w:color w:val="auto"/>
                    </w:rPr>
                  </w:pPr>
                  <w:r>
                    <w:rPr>
                      <w:rFonts w:hint="default" w:ascii="Times New Roman" w:hAnsi="Times New Roman" w:cs="Times New Roman"/>
                      <w:color w:val="auto"/>
                    </w:rPr>
                    <w:t>≤1.00</w:t>
                  </w:r>
                </w:p>
              </w:tc>
              <w:tc>
                <w:tcPr>
                  <w:tcW w:w="1633" w:type="dxa"/>
                  <w:vMerge w:val="continue"/>
                  <w:vAlign w:val="center"/>
                </w:tcPr>
                <w:p>
                  <w:pPr>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4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w:t>
                  </w:r>
                </w:p>
              </w:tc>
              <w:tc>
                <w:tcPr>
                  <w:tcW w:w="279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挥发酚</w:t>
                  </w:r>
                </w:p>
              </w:tc>
              <w:tc>
                <w:tcPr>
                  <w:tcW w:w="2738" w:type="dxa"/>
                </w:tcPr>
                <w:p>
                  <w:pPr>
                    <w:jc w:val="center"/>
                    <w:rPr>
                      <w:rFonts w:hint="default" w:ascii="Times New Roman" w:hAnsi="Times New Roman" w:cs="Times New Roman"/>
                      <w:color w:val="auto"/>
                    </w:rPr>
                  </w:pPr>
                  <w:r>
                    <w:rPr>
                      <w:rFonts w:hint="default" w:ascii="Times New Roman" w:hAnsi="Times New Roman" w:cs="Times New Roman"/>
                      <w:color w:val="auto"/>
                    </w:rPr>
                    <w:t>≤0.002</w:t>
                  </w:r>
                </w:p>
              </w:tc>
              <w:tc>
                <w:tcPr>
                  <w:tcW w:w="1633" w:type="dxa"/>
                  <w:vMerge w:val="continue"/>
                  <w:vAlign w:val="center"/>
                </w:tcPr>
                <w:p>
                  <w:pPr>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4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6</w:t>
                  </w:r>
                </w:p>
              </w:tc>
              <w:tc>
                <w:tcPr>
                  <w:tcW w:w="279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总硬度（mg/L）</w:t>
                  </w:r>
                </w:p>
              </w:tc>
              <w:tc>
                <w:tcPr>
                  <w:tcW w:w="2738" w:type="dxa"/>
                </w:tcPr>
                <w:p>
                  <w:pPr>
                    <w:jc w:val="center"/>
                    <w:rPr>
                      <w:rFonts w:hint="default" w:ascii="Times New Roman" w:hAnsi="Times New Roman" w:cs="Times New Roman"/>
                      <w:color w:val="auto"/>
                    </w:rPr>
                  </w:pPr>
                  <w:r>
                    <w:rPr>
                      <w:rFonts w:hint="default" w:ascii="Times New Roman" w:hAnsi="Times New Roman" w:cs="Times New Roman"/>
                      <w:color w:val="auto"/>
                    </w:rPr>
                    <w:t>≤450</w:t>
                  </w:r>
                </w:p>
              </w:tc>
              <w:tc>
                <w:tcPr>
                  <w:tcW w:w="1633" w:type="dxa"/>
                  <w:vMerge w:val="continue"/>
                  <w:vAlign w:val="center"/>
                </w:tcPr>
                <w:p>
                  <w:pPr>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4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7</w:t>
                  </w:r>
                </w:p>
              </w:tc>
              <w:tc>
                <w:tcPr>
                  <w:tcW w:w="279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耗氧量（mg/L）</w:t>
                  </w:r>
                </w:p>
              </w:tc>
              <w:tc>
                <w:tcPr>
                  <w:tcW w:w="2738" w:type="dxa"/>
                </w:tcPr>
                <w:p>
                  <w:pPr>
                    <w:jc w:val="center"/>
                    <w:rPr>
                      <w:rFonts w:hint="default" w:ascii="Times New Roman" w:hAnsi="Times New Roman" w:cs="Times New Roman"/>
                      <w:color w:val="auto"/>
                    </w:rPr>
                  </w:pPr>
                  <w:r>
                    <w:rPr>
                      <w:rFonts w:hint="default" w:ascii="Times New Roman" w:hAnsi="Times New Roman" w:cs="Times New Roman"/>
                      <w:color w:val="auto"/>
                    </w:rPr>
                    <w:t>≤3.0</w:t>
                  </w:r>
                </w:p>
              </w:tc>
              <w:tc>
                <w:tcPr>
                  <w:tcW w:w="1633" w:type="dxa"/>
                  <w:vMerge w:val="continue"/>
                  <w:vAlign w:val="center"/>
                </w:tcPr>
                <w:p>
                  <w:pPr>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4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w:t>
                  </w:r>
                </w:p>
              </w:tc>
              <w:tc>
                <w:tcPr>
                  <w:tcW w:w="279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溶解性总固体（mg/L）</w:t>
                  </w:r>
                </w:p>
              </w:tc>
              <w:tc>
                <w:tcPr>
                  <w:tcW w:w="2738" w:type="dxa"/>
                </w:tcPr>
                <w:p>
                  <w:pPr>
                    <w:jc w:val="center"/>
                    <w:rPr>
                      <w:rFonts w:hint="default" w:ascii="Times New Roman" w:hAnsi="Times New Roman" w:cs="Times New Roman"/>
                      <w:color w:val="auto"/>
                    </w:rPr>
                  </w:pPr>
                  <w:r>
                    <w:rPr>
                      <w:rFonts w:hint="default" w:ascii="Times New Roman" w:hAnsi="Times New Roman" w:cs="Times New Roman"/>
                      <w:color w:val="auto"/>
                    </w:rPr>
                    <w:t>≤1000</w:t>
                  </w:r>
                </w:p>
              </w:tc>
              <w:tc>
                <w:tcPr>
                  <w:tcW w:w="1633" w:type="dxa"/>
                  <w:vMerge w:val="continue"/>
                  <w:vAlign w:val="center"/>
                </w:tcPr>
                <w:p>
                  <w:pPr>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4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9</w:t>
                  </w:r>
                </w:p>
              </w:tc>
              <w:tc>
                <w:tcPr>
                  <w:tcW w:w="279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硫酸盐（mg/L）</w:t>
                  </w:r>
                </w:p>
              </w:tc>
              <w:tc>
                <w:tcPr>
                  <w:tcW w:w="2738" w:type="dxa"/>
                </w:tcPr>
                <w:p>
                  <w:pPr>
                    <w:jc w:val="center"/>
                    <w:rPr>
                      <w:rFonts w:hint="default" w:ascii="Times New Roman" w:hAnsi="Times New Roman" w:cs="Times New Roman"/>
                      <w:color w:val="auto"/>
                    </w:rPr>
                  </w:pPr>
                  <w:r>
                    <w:rPr>
                      <w:rFonts w:hint="default" w:ascii="Times New Roman" w:hAnsi="Times New Roman" w:cs="Times New Roman"/>
                      <w:color w:val="auto"/>
                    </w:rPr>
                    <w:t>≤250</w:t>
                  </w:r>
                </w:p>
              </w:tc>
              <w:tc>
                <w:tcPr>
                  <w:tcW w:w="1633" w:type="dxa"/>
                  <w:vMerge w:val="continue"/>
                  <w:vAlign w:val="center"/>
                </w:tcPr>
                <w:p>
                  <w:pPr>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4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w:t>
                  </w:r>
                </w:p>
              </w:tc>
              <w:tc>
                <w:tcPr>
                  <w:tcW w:w="279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氯化物（mg/L）</w:t>
                  </w:r>
                </w:p>
              </w:tc>
              <w:tc>
                <w:tcPr>
                  <w:tcW w:w="2738" w:type="dxa"/>
                </w:tcPr>
                <w:p>
                  <w:pPr>
                    <w:jc w:val="center"/>
                    <w:rPr>
                      <w:rFonts w:hint="default" w:ascii="Times New Roman" w:hAnsi="Times New Roman" w:cs="Times New Roman"/>
                      <w:color w:val="auto"/>
                    </w:rPr>
                  </w:pPr>
                  <w:r>
                    <w:rPr>
                      <w:rFonts w:hint="default" w:ascii="Times New Roman" w:hAnsi="Times New Roman" w:cs="Times New Roman"/>
                      <w:color w:val="auto"/>
                    </w:rPr>
                    <w:t>≤250</w:t>
                  </w:r>
                </w:p>
              </w:tc>
              <w:tc>
                <w:tcPr>
                  <w:tcW w:w="1633" w:type="dxa"/>
                  <w:vMerge w:val="continue"/>
                  <w:vAlign w:val="center"/>
                </w:tcPr>
                <w:p>
                  <w:pPr>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4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11</w:t>
                  </w:r>
                </w:p>
              </w:tc>
              <w:tc>
                <w:tcPr>
                  <w:tcW w:w="279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氟化物（mg/L）</w:t>
                  </w:r>
                </w:p>
              </w:tc>
              <w:tc>
                <w:tcPr>
                  <w:tcW w:w="2738" w:type="dxa"/>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1633" w:type="dxa"/>
                  <w:vMerge w:val="continue"/>
                  <w:vAlign w:val="center"/>
                </w:tcPr>
                <w:p>
                  <w:pPr>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4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12</w:t>
                  </w:r>
                </w:p>
              </w:tc>
              <w:tc>
                <w:tcPr>
                  <w:tcW w:w="279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氰化物（mg/L）</w:t>
                  </w:r>
                </w:p>
              </w:tc>
              <w:tc>
                <w:tcPr>
                  <w:tcW w:w="2738" w:type="dxa"/>
                </w:tcPr>
                <w:p>
                  <w:pPr>
                    <w:jc w:val="center"/>
                    <w:rPr>
                      <w:rFonts w:hint="default" w:ascii="Times New Roman" w:hAnsi="Times New Roman" w:cs="Times New Roman"/>
                      <w:color w:val="auto"/>
                    </w:rPr>
                  </w:pPr>
                  <w:r>
                    <w:rPr>
                      <w:rFonts w:hint="default" w:ascii="Times New Roman" w:hAnsi="Times New Roman" w:cs="Times New Roman"/>
                      <w:color w:val="auto"/>
                    </w:rPr>
                    <w:t>≤0.05</w:t>
                  </w:r>
                </w:p>
              </w:tc>
              <w:tc>
                <w:tcPr>
                  <w:tcW w:w="1633" w:type="dxa"/>
                  <w:vMerge w:val="continue"/>
                  <w:vAlign w:val="center"/>
                </w:tcPr>
                <w:p>
                  <w:pPr>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4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13</w:t>
                  </w:r>
                </w:p>
              </w:tc>
              <w:tc>
                <w:tcPr>
                  <w:tcW w:w="279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铁（mg/L）</w:t>
                  </w:r>
                </w:p>
              </w:tc>
              <w:tc>
                <w:tcPr>
                  <w:tcW w:w="2738" w:type="dxa"/>
                </w:tcPr>
                <w:p>
                  <w:pPr>
                    <w:jc w:val="center"/>
                    <w:rPr>
                      <w:rFonts w:hint="default" w:ascii="Times New Roman" w:hAnsi="Times New Roman" w:cs="Times New Roman"/>
                      <w:color w:val="auto"/>
                    </w:rPr>
                  </w:pPr>
                  <w:r>
                    <w:rPr>
                      <w:rFonts w:hint="default" w:ascii="Times New Roman" w:hAnsi="Times New Roman" w:cs="Times New Roman"/>
                      <w:color w:val="auto"/>
                    </w:rPr>
                    <w:t>≤0.3</w:t>
                  </w:r>
                </w:p>
              </w:tc>
              <w:tc>
                <w:tcPr>
                  <w:tcW w:w="1633" w:type="dxa"/>
                  <w:vMerge w:val="continue"/>
                  <w:vAlign w:val="center"/>
                </w:tcPr>
                <w:p>
                  <w:pPr>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4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14</w:t>
                  </w:r>
                </w:p>
              </w:tc>
              <w:tc>
                <w:tcPr>
                  <w:tcW w:w="279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锰（mg/L）</w:t>
                  </w:r>
                </w:p>
              </w:tc>
              <w:tc>
                <w:tcPr>
                  <w:tcW w:w="2738" w:type="dxa"/>
                </w:tcPr>
                <w:p>
                  <w:pPr>
                    <w:jc w:val="center"/>
                    <w:rPr>
                      <w:rFonts w:hint="default" w:ascii="Times New Roman" w:hAnsi="Times New Roman" w:cs="Times New Roman"/>
                      <w:color w:val="auto"/>
                    </w:rPr>
                  </w:pPr>
                  <w:r>
                    <w:rPr>
                      <w:rFonts w:hint="default" w:ascii="Times New Roman" w:hAnsi="Times New Roman" w:cs="Times New Roman"/>
                      <w:color w:val="auto"/>
                    </w:rPr>
                    <w:t>≤0.10</w:t>
                  </w:r>
                </w:p>
              </w:tc>
              <w:tc>
                <w:tcPr>
                  <w:tcW w:w="1633" w:type="dxa"/>
                  <w:vMerge w:val="continue"/>
                  <w:vAlign w:val="center"/>
                </w:tcPr>
                <w:p>
                  <w:pPr>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4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15</w:t>
                  </w:r>
                </w:p>
              </w:tc>
              <w:tc>
                <w:tcPr>
                  <w:tcW w:w="279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铅（mg/L）</w:t>
                  </w:r>
                </w:p>
              </w:tc>
              <w:tc>
                <w:tcPr>
                  <w:tcW w:w="2738" w:type="dxa"/>
                </w:tcPr>
                <w:p>
                  <w:pPr>
                    <w:jc w:val="center"/>
                    <w:rPr>
                      <w:rFonts w:hint="default" w:ascii="Times New Roman" w:hAnsi="Times New Roman" w:cs="Times New Roman"/>
                      <w:color w:val="auto"/>
                    </w:rPr>
                  </w:pPr>
                  <w:r>
                    <w:rPr>
                      <w:rFonts w:hint="default" w:ascii="Times New Roman" w:hAnsi="Times New Roman" w:cs="Times New Roman"/>
                      <w:color w:val="auto"/>
                    </w:rPr>
                    <w:t>≤0.01</w:t>
                  </w:r>
                </w:p>
              </w:tc>
              <w:tc>
                <w:tcPr>
                  <w:tcW w:w="1633" w:type="dxa"/>
                  <w:vMerge w:val="continue"/>
                  <w:vAlign w:val="center"/>
                </w:tcPr>
                <w:p>
                  <w:pPr>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4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16</w:t>
                  </w:r>
                </w:p>
              </w:tc>
              <w:tc>
                <w:tcPr>
                  <w:tcW w:w="279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镉（mg/L）</w:t>
                  </w:r>
                </w:p>
              </w:tc>
              <w:tc>
                <w:tcPr>
                  <w:tcW w:w="2738" w:type="dxa"/>
                </w:tcPr>
                <w:p>
                  <w:pPr>
                    <w:jc w:val="center"/>
                    <w:rPr>
                      <w:rFonts w:hint="default" w:ascii="Times New Roman" w:hAnsi="Times New Roman" w:cs="Times New Roman"/>
                      <w:color w:val="auto"/>
                    </w:rPr>
                  </w:pPr>
                  <w:r>
                    <w:rPr>
                      <w:rFonts w:hint="default" w:ascii="Times New Roman" w:hAnsi="Times New Roman" w:cs="Times New Roman"/>
                      <w:color w:val="auto"/>
                    </w:rPr>
                    <w:t>≤0.005</w:t>
                  </w:r>
                </w:p>
              </w:tc>
              <w:tc>
                <w:tcPr>
                  <w:tcW w:w="1633" w:type="dxa"/>
                  <w:vMerge w:val="continue"/>
                  <w:vAlign w:val="center"/>
                </w:tcPr>
                <w:p>
                  <w:pPr>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4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17</w:t>
                  </w:r>
                </w:p>
              </w:tc>
              <w:tc>
                <w:tcPr>
                  <w:tcW w:w="279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六价铬（mg/L）</w:t>
                  </w:r>
                </w:p>
              </w:tc>
              <w:tc>
                <w:tcPr>
                  <w:tcW w:w="2738" w:type="dxa"/>
                </w:tcPr>
                <w:p>
                  <w:pPr>
                    <w:jc w:val="center"/>
                    <w:rPr>
                      <w:rFonts w:hint="default" w:ascii="Times New Roman" w:hAnsi="Times New Roman" w:cs="Times New Roman"/>
                      <w:color w:val="auto"/>
                    </w:rPr>
                  </w:pPr>
                  <w:r>
                    <w:rPr>
                      <w:rFonts w:hint="default" w:ascii="Times New Roman" w:hAnsi="Times New Roman" w:cs="Times New Roman"/>
                      <w:color w:val="auto"/>
                    </w:rPr>
                    <w:t>≤0.05</w:t>
                  </w:r>
                </w:p>
              </w:tc>
              <w:tc>
                <w:tcPr>
                  <w:tcW w:w="1633" w:type="dxa"/>
                  <w:vMerge w:val="continue"/>
                  <w:vAlign w:val="center"/>
                </w:tcPr>
                <w:p>
                  <w:pPr>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4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18</w:t>
                  </w:r>
                </w:p>
              </w:tc>
              <w:tc>
                <w:tcPr>
                  <w:tcW w:w="279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汞（mg/L）</w:t>
                  </w:r>
                </w:p>
              </w:tc>
              <w:tc>
                <w:tcPr>
                  <w:tcW w:w="2738" w:type="dxa"/>
                </w:tcPr>
                <w:p>
                  <w:pPr>
                    <w:jc w:val="center"/>
                    <w:rPr>
                      <w:rFonts w:hint="default" w:ascii="Times New Roman" w:hAnsi="Times New Roman" w:cs="Times New Roman"/>
                      <w:color w:val="auto"/>
                    </w:rPr>
                  </w:pPr>
                  <w:r>
                    <w:rPr>
                      <w:rFonts w:hint="default" w:ascii="Times New Roman" w:hAnsi="Times New Roman" w:cs="Times New Roman"/>
                      <w:color w:val="auto"/>
                    </w:rPr>
                    <w:t>≤0.001</w:t>
                  </w:r>
                </w:p>
              </w:tc>
              <w:tc>
                <w:tcPr>
                  <w:tcW w:w="1633" w:type="dxa"/>
                  <w:vMerge w:val="continue"/>
                  <w:vAlign w:val="center"/>
                </w:tcPr>
                <w:p>
                  <w:pPr>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4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19</w:t>
                  </w:r>
                </w:p>
              </w:tc>
              <w:tc>
                <w:tcPr>
                  <w:tcW w:w="279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砷（mg/L）</w:t>
                  </w:r>
                </w:p>
              </w:tc>
              <w:tc>
                <w:tcPr>
                  <w:tcW w:w="2738" w:type="dxa"/>
                </w:tcPr>
                <w:p>
                  <w:pPr>
                    <w:jc w:val="center"/>
                    <w:rPr>
                      <w:rFonts w:hint="default" w:ascii="Times New Roman" w:hAnsi="Times New Roman" w:cs="Times New Roman"/>
                      <w:color w:val="auto"/>
                    </w:rPr>
                  </w:pPr>
                  <w:r>
                    <w:rPr>
                      <w:rFonts w:hint="default" w:ascii="Times New Roman" w:hAnsi="Times New Roman" w:cs="Times New Roman"/>
                      <w:color w:val="auto"/>
                    </w:rPr>
                    <w:t>≤0.01</w:t>
                  </w:r>
                </w:p>
              </w:tc>
              <w:tc>
                <w:tcPr>
                  <w:tcW w:w="1633" w:type="dxa"/>
                  <w:vMerge w:val="continue"/>
                  <w:vAlign w:val="center"/>
                </w:tcPr>
                <w:p>
                  <w:pPr>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4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20</w:t>
                  </w:r>
                </w:p>
              </w:tc>
              <w:tc>
                <w:tcPr>
                  <w:tcW w:w="279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总大肠菌群（MPNh/100mL）</w:t>
                  </w:r>
                </w:p>
              </w:tc>
              <w:tc>
                <w:tcPr>
                  <w:tcW w:w="2738" w:type="dxa"/>
                </w:tcPr>
                <w:p>
                  <w:pPr>
                    <w:jc w:val="center"/>
                    <w:rPr>
                      <w:rFonts w:hint="default" w:ascii="Times New Roman" w:hAnsi="Times New Roman" w:cs="Times New Roman"/>
                      <w:color w:val="auto"/>
                    </w:rPr>
                  </w:pPr>
                  <w:r>
                    <w:rPr>
                      <w:rFonts w:hint="default" w:ascii="Times New Roman" w:hAnsi="Times New Roman" w:cs="Times New Roman"/>
                      <w:color w:val="auto"/>
                    </w:rPr>
                    <w:t>≤3.0</w:t>
                  </w:r>
                </w:p>
              </w:tc>
              <w:tc>
                <w:tcPr>
                  <w:tcW w:w="1633" w:type="dxa"/>
                  <w:vMerge w:val="continue"/>
                  <w:vAlign w:val="center"/>
                </w:tcPr>
                <w:p>
                  <w:pPr>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4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21</w:t>
                  </w:r>
                </w:p>
              </w:tc>
              <w:tc>
                <w:tcPr>
                  <w:tcW w:w="279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菌落总数</w:t>
                  </w:r>
                </w:p>
              </w:tc>
              <w:tc>
                <w:tcPr>
                  <w:tcW w:w="2738" w:type="dxa"/>
                </w:tcPr>
                <w:p>
                  <w:pPr>
                    <w:jc w:val="center"/>
                    <w:rPr>
                      <w:rFonts w:hint="default" w:ascii="Times New Roman" w:hAnsi="Times New Roman" w:cs="Times New Roman"/>
                      <w:color w:val="auto"/>
                    </w:rPr>
                  </w:pPr>
                  <w:r>
                    <w:rPr>
                      <w:rFonts w:hint="default" w:ascii="Times New Roman" w:hAnsi="Times New Roman" w:cs="Times New Roman"/>
                      <w:color w:val="auto"/>
                    </w:rPr>
                    <w:t>≤100</w:t>
                  </w:r>
                </w:p>
              </w:tc>
              <w:tc>
                <w:tcPr>
                  <w:tcW w:w="1633" w:type="dxa"/>
                  <w:vMerge w:val="continue"/>
                  <w:vAlign w:val="center"/>
                </w:tcPr>
                <w:p>
                  <w:pPr>
                    <w:jc w:val="center"/>
                    <w:rPr>
                      <w:rFonts w:hint="default" w:ascii="Times New Roman" w:hAnsi="Times New Roman" w:cs="Times New Roman"/>
                      <w:bCs/>
                      <w:color w:val="auto"/>
                      <w:szCs w:val="21"/>
                    </w:rPr>
                  </w:pPr>
                </w:p>
              </w:tc>
            </w:tr>
          </w:tbl>
          <w:p>
            <w:pPr>
              <w:pStyle w:val="68"/>
              <w:numPr>
                <w:ilvl w:val="0"/>
                <w:numId w:val="3"/>
              </w:numPr>
              <w:ind w:firstLine="0" w:firstLineChars="0"/>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土壤质量标准</w:t>
            </w:r>
          </w:p>
          <w:p>
            <w:pPr>
              <w:pStyle w:val="68"/>
              <w:keepNext/>
              <w:keepLines w:val="0"/>
              <w:pageBreakBefore w:val="0"/>
              <w:widowControl w:val="0"/>
              <w:kinsoku/>
              <w:wordWrap/>
              <w:overflowPunct/>
              <w:topLinePunct w:val="0"/>
              <w:autoSpaceDE/>
              <w:autoSpaceDN/>
              <w:bidi w:val="0"/>
              <w:adjustRightInd/>
              <w:snapToGrid/>
              <w:spacing w:before="0"/>
              <w:ind w:firstLine="480"/>
              <w:textAlignment w:val="auto"/>
              <w:rPr>
                <w:rFonts w:hint="default" w:ascii="Times New Roman" w:hAnsi="Times New Roman" w:eastAsia="宋体" w:cs="Times New Roman"/>
                <w:b w:val="0"/>
                <w:bCs/>
                <w:color w:val="auto"/>
                <w:szCs w:val="22"/>
                <w:lang w:val="en-US" w:eastAsia="zh-CN"/>
              </w:rPr>
            </w:pPr>
            <w:r>
              <w:rPr>
                <w:rFonts w:hint="default" w:ascii="Times New Roman" w:hAnsi="Times New Roman" w:eastAsia="宋体" w:cs="Times New Roman"/>
                <w:b w:val="0"/>
                <w:bCs/>
                <w:color w:val="auto"/>
                <w:szCs w:val="22"/>
              </w:rPr>
              <w:t>土壤环境执行《土壤环境质量 建设用地土壤污染风险管控标准（试行）》（GB36600-2018）</w:t>
            </w:r>
            <w:r>
              <w:rPr>
                <w:rFonts w:hint="default" w:ascii="Times New Roman" w:hAnsi="Times New Roman" w:cs="Times New Roman"/>
                <w:b w:val="0"/>
                <w:bCs/>
                <w:color w:val="auto"/>
                <w:szCs w:val="22"/>
                <w:lang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2"/>
              <w:jc w:val="center"/>
              <w:textAlignment w:val="baseline"/>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表4-5</w:t>
            </w:r>
            <w:r>
              <w:rPr>
                <w:rFonts w:hint="default" w:ascii="Times New Roman" w:hAnsi="Times New Roman" w:cs="Times New Roman"/>
                <w:b/>
                <w:bCs/>
                <w:color w:val="auto"/>
                <w:sz w:val="24"/>
                <w:szCs w:val="24"/>
              </w:rPr>
              <w:t>建设用地土壤污染风险管控标准一览表  （单位：mg/kg）</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2139"/>
              <w:gridCol w:w="1047"/>
              <w:gridCol w:w="667"/>
              <w:gridCol w:w="2474"/>
              <w:gridCol w:w="9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序号</w:t>
                  </w:r>
                </w:p>
              </w:tc>
              <w:tc>
                <w:tcPr>
                  <w:tcW w:w="13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污染物项目</w:t>
                  </w:r>
                </w:p>
              </w:tc>
              <w:tc>
                <w:tcPr>
                  <w:tcW w:w="654"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筛选值</w:t>
                  </w:r>
                </w:p>
              </w:tc>
              <w:tc>
                <w:tcPr>
                  <w:tcW w:w="41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序号</w:t>
                  </w:r>
                </w:p>
              </w:tc>
              <w:tc>
                <w:tcPr>
                  <w:tcW w:w="1546"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污染物项目</w:t>
                  </w:r>
                </w:p>
              </w:tc>
              <w:tc>
                <w:tcPr>
                  <w:tcW w:w="609"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3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w:t>
                  </w:r>
                </w:p>
              </w:tc>
              <w:tc>
                <w:tcPr>
                  <w:tcW w:w="13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砷</w:t>
                  </w:r>
                </w:p>
              </w:tc>
              <w:tc>
                <w:tcPr>
                  <w:tcW w:w="654"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60</w:t>
                  </w:r>
                </w:p>
              </w:tc>
              <w:tc>
                <w:tcPr>
                  <w:tcW w:w="41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5</w:t>
                  </w:r>
                </w:p>
              </w:tc>
              <w:tc>
                <w:tcPr>
                  <w:tcW w:w="1546"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铅</w:t>
                  </w:r>
                </w:p>
              </w:tc>
              <w:tc>
                <w:tcPr>
                  <w:tcW w:w="609"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3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2</w:t>
                  </w:r>
                </w:p>
              </w:tc>
              <w:tc>
                <w:tcPr>
                  <w:tcW w:w="13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镉</w:t>
                  </w:r>
                </w:p>
              </w:tc>
              <w:tc>
                <w:tcPr>
                  <w:tcW w:w="654"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65</w:t>
                  </w:r>
                </w:p>
              </w:tc>
              <w:tc>
                <w:tcPr>
                  <w:tcW w:w="41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6</w:t>
                  </w:r>
                </w:p>
              </w:tc>
              <w:tc>
                <w:tcPr>
                  <w:tcW w:w="1546"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汞</w:t>
                  </w:r>
                </w:p>
              </w:tc>
              <w:tc>
                <w:tcPr>
                  <w:tcW w:w="609"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3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3</w:t>
                  </w:r>
                </w:p>
              </w:tc>
              <w:tc>
                <w:tcPr>
                  <w:tcW w:w="13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铬（六价）</w:t>
                  </w:r>
                </w:p>
              </w:tc>
              <w:tc>
                <w:tcPr>
                  <w:tcW w:w="654"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5.7</w:t>
                  </w:r>
                </w:p>
              </w:tc>
              <w:tc>
                <w:tcPr>
                  <w:tcW w:w="41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7</w:t>
                  </w:r>
                </w:p>
              </w:tc>
              <w:tc>
                <w:tcPr>
                  <w:tcW w:w="1546"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镍</w:t>
                  </w:r>
                </w:p>
              </w:tc>
              <w:tc>
                <w:tcPr>
                  <w:tcW w:w="609"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3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4</w:t>
                  </w:r>
                </w:p>
              </w:tc>
              <w:tc>
                <w:tcPr>
                  <w:tcW w:w="13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铜</w:t>
                  </w:r>
                </w:p>
              </w:tc>
              <w:tc>
                <w:tcPr>
                  <w:tcW w:w="654"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18000</w:t>
                  </w:r>
                </w:p>
              </w:tc>
              <w:tc>
                <w:tcPr>
                  <w:tcW w:w="41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8</w:t>
                  </w:r>
                </w:p>
              </w:tc>
              <w:tc>
                <w:tcPr>
                  <w:tcW w:w="1546"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锑</w:t>
                  </w:r>
                </w:p>
              </w:tc>
              <w:tc>
                <w:tcPr>
                  <w:tcW w:w="609"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180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3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9</w:t>
                  </w:r>
                </w:p>
              </w:tc>
              <w:tc>
                <w:tcPr>
                  <w:tcW w:w="13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铍</w:t>
                  </w:r>
                </w:p>
              </w:tc>
              <w:tc>
                <w:tcPr>
                  <w:tcW w:w="654"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29</w:t>
                  </w:r>
                </w:p>
              </w:tc>
              <w:tc>
                <w:tcPr>
                  <w:tcW w:w="41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10</w:t>
                  </w:r>
                </w:p>
              </w:tc>
              <w:tc>
                <w:tcPr>
                  <w:tcW w:w="1546"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钴</w:t>
                  </w:r>
                </w:p>
              </w:tc>
              <w:tc>
                <w:tcPr>
                  <w:tcW w:w="609"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3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11</w:t>
                  </w:r>
                </w:p>
              </w:tc>
              <w:tc>
                <w:tcPr>
                  <w:tcW w:w="13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钒</w:t>
                  </w:r>
                </w:p>
              </w:tc>
              <w:tc>
                <w:tcPr>
                  <w:tcW w:w="654"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752</w:t>
                  </w:r>
                </w:p>
              </w:tc>
              <w:tc>
                <w:tcPr>
                  <w:tcW w:w="41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p>
              </w:tc>
              <w:tc>
                <w:tcPr>
                  <w:tcW w:w="1546"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lang w:val="en-US" w:eastAsia="zh-CN"/>
                    </w:rPr>
                  </w:pPr>
                </w:p>
              </w:tc>
              <w:tc>
                <w:tcPr>
                  <w:tcW w:w="609"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428" w:type="pct"/>
                  <w:gridSpan w:val="3"/>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挥发性有机物</w:t>
                  </w:r>
                </w:p>
              </w:tc>
              <w:tc>
                <w:tcPr>
                  <w:tcW w:w="1963" w:type="pct"/>
                  <w:gridSpan w:val="2"/>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p>
              </w:tc>
              <w:tc>
                <w:tcPr>
                  <w:tcW w:w="609"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12</w:t>
                  </w:r>
                </w:p>
              </w:tc>
              <w:tc>
                <w:tcPr>
                  <w:tcW w:w="133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四氯化碳</w:t>
                  </w:r>
                </w:p>
              </w:tc>
              <w:tc>
                <w:tcPr>
                  <w:tcW w:w="654"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2.8</w:t>
                  </w:r>
                </w:p>
              </w:tc>
              <w:tc>
                <w:tcPr>
                  <w:tcW w:w="41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26</w:t>
                  </w:r>
                </w:p>
              </w:tc>
              <w:tc>
                <w:tcPr>
                  <w:tcW w:w="1546"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氯乙烯</w:t>
                  </w:r>
                </w:p>
              </w:tc>
              <w:tc>
                <w:tcPr>
                  <w:tcW w:w="609"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13</w:t>
                  </w:r>
                </w:p>
              </w:tc>
              <w:tc>
                <w:tcPr>
                  <w:tcW w:w="13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氯仿</w:t>
                  </w:r>
                </w:p>
              </w:tc>
              <w:tc>
                <w:tcPr>
                  <w:tcW w:w="654"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0.9</w:t>
                  </w:r>
                </w:p>
              </w:tc>
              <w:tc>
                <w:tcPr>
                  <w:tcW w:w="41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27</w:t>
                  </w:r>
                </w:p>
              </w:tc>
              <w:tc>
                <w:tcPr>
                  <w:tcW w:w="1546"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三氯乙烯</w:t>
                  </w:r>
                </w:p>
              </w:tc>
              <w:tc>
                <w:tcPr>
                  <w:tcW w:w="609"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14</w:t>
                  </w:r>
                </w:p>
              </w:tc>
              <w:tc>
                <w:tcPr>
                  <w:tcW w:w="13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氯甲烷</w:t>
                  </w:r>
                </w:p>
              </w:tc>
              <w:tc>
                <w:tcPr>
                  <w:tcW w:w="654"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37</w:t>
                  </w:r>
                </w:p>
              </w:tc>
              <w:tc>
                <w:tcPr>
                  <w:tcW w:w="41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28</w:t>
                  </w:r>
                </w:p>
              </w:tc>
              <w:tc>
                <w:tcPr>
                  <w:tcW w:w="1546"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苯</w:t>
                  </w:r>
                </w:p>
              </w:tc>
              <w:tc>
                <w:tcPr>
                  <w:tcW w:w="609"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15</w:t>
                  </w:r>
                </w:p>
              </w:tc>
              <w:tc>
                <w:tcPr>
                  <w:tcW w:w="13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1，1-二氯乙烷</w:t>
                  </w:r>
                </w:p>
              </w:tc>
              <w:tc>
                <w:tcPr>
                  <w:tcW w:w="654"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9</w:t>
                  </w:r>
                </w:p>
              </w:tc>
              <w:tc>
                <w:tcPr>
                  <w:tcW w:w="41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29</w:t>
                  </w:r>
                </w:p>
              </w:tc>
              <w:tc>
                <w:tcPr>
                  <w:tcW w:w="1546"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1，1，2-三氯乙烷</w:t>
                  </w:r>
                </w:p>
              </w:tc>
              <w:tc>
                <w:tcPr>
                  <w:tcW w:w="609"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16</w:t>
                  </w:r>
                </w:p>
              </w:tc>
              <w:tc>
                <w:tcPr>
                  <w:tcW w:w="13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1，2-二氯乙烷</w:t>
                  </w:r>
                </w:p>
              </w:tc>
              <w:tc>
                <w:tcPr>
                  <w:tcW w:w="654"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5</w:t>
                  </w:r>
                </w:p>
              </w:tc>
              <w:tc>
                <w:tcPr>
                  <w:tcW w:w="41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30</w:t>
                  </w:r>
                </w:p>
              </w:tc>
              <w:tc>
                <w:tcPr>
                  <w:tcW w:w="1546"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1，2，3-三氯丙烷</w:t>
                  </w:r>
                </w:p>
              </w:tc>
              <w:tc>
                <w:tcPr>
                  <w:tcW w:w="609"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17</w:t>
                  </w:r>
                </w:p>
              </w:tc>
              <w:tc>
                <w:tcPr>
                  <w:tcW w:w="13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1，1-二氯乙烯</w:t>
                  </w:r>
                </w:p>
              </w:tc>
              <w:tc>
                <w:tcPr>
                  <w:tcW w:w="654"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66</w:t>
                  </w:r>
                </w:p>
              </w:tc>
              <w:tc>
                <w:tcPr>
                  <w:tcW w:w="41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31</w:t>
                  </w:r>
                </w:p>
              </w:tc>
              <w:tc>
                <w:tcPr>
                  <w:tcW w:w="1546"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顺-1，2-二氯乙烯</w:t>
                  </w:r>
                </w:p>
              </w:tc>
              <w:tc>
                <w:tcPr>
                  <w:tcW w:w="609"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596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18</w:t>
                  </w:r>
                </w:p>
              </w:tc>
              <w:tc>
                <w:tcPr>
                  <w:tcW w:w="13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乙苯</w:t>
                  </w:r>
                </w:p>
              </w:tc>
              <w:tc>
                <w:tcPr>
                  <w:tcW w:w="654"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28</w:t>
                  </w:r>
                </w:p>
              </w:tc>
              <w:tc>
                <w:tcPr>
                  <w:tcW w:w="41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32</w:t>
                  </w:r>
                </w:p>
              </w:tc>
              <w:tc>
                <w:tcPr>
                  <w:tcW w:w="1546"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1，2-二氯苯</w:t>
                  </w:r>
                </w:p>
              </w:tc>
              <w:tc>
                <w:tcPr>
                  <w:tcW w:w="609"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19</w:t>
                  </w:r>
                </w:p>
              </w:tc>
              <w:tc>
                <w:tcPr>
                  <w:tcW w:w="13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反-1，2-二氯乙烯</w:t>
                  </w:r>
                </w:p>
              </w:tc>
              <w:tc>
                <w:tcPr>
                  <w:tcW w:w="654"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54</w:t>
                  </w:r>
                </w:p>
              </w:tc>
              <w:tc>
                <w:tcPr>
                  <w:tcW w:w="41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33</w:t>
                  </w:r>
                </w:p>
              </w:tc>
              <w:tc>
                <w:tcPr>
                  <w:tcW w:w="1546"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1，1，2，2-四氯乙烷</w:t>
                  </w:r>
                </w:p>
              </w:tc>
              <w:tc>
                <w:tcPr>
                  <w:tcW w:w="609"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20</w:t>
                  </w:r>
                </w:p>
              </w:tc>
              <w:tc>
                <w:tcPr>
                  <w:tcW w:w="13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二氯甲烷</w:t>
                  </w:r>
                </w:p>
              </w:tc>
              <w:tc>
                <w:tcPr>
                  <w:tcW w:w="654"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616</w:t>
                  </w:r>
                </w:p>
              </w:tc>
              <w:tc>
                <w:tcPr>
                  <w:tcW w:w="41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34</w:t>
                  </w:r>
                </w:p>
              </w:tc>
              <w:tc>
                <w:tcPr>
                  <w:tcW w:w="1546"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1，2-二氯丙烷</w:t>
                  </w:r>
                </w:p>
              </w:tc>
              <w:tc>
                <w:tcPr>
                  <w:tcW w:w="609"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21</w:t>
                  </w:r>
                </w:p>
              </w:tc>
              <w:tc>
                <w:tcPr>
                  <w:tcW w:w="13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氯苯</w:t>
                  </w:r>
                </w:p>
              </w:tc>
              <w:tc>
                <w:tcPr>
                  <w:tcW w:w="654"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270</w:t>
                  </w:r>
                </w:p>
              </w:tc>
              <w:tc>
                <w:tcPr>
                  <w:tcW w:w="41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35</w:t>
                  </w:r>
                </w:p>
              </w:tc>
              <w:tc>
                <w:tcPr>
                  <w:tcW w:w="1546"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苯乙烯</w:t>
                  </w:r>
                </w:p>
              </w:tc>
              <w:tc>
                <w:tcPr>
                  <w:tcW w:w="609"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eastAsia="zh-CN"/>
                    </w:rPr>
                    <w:t>2</w:t>
                  </w:r>
                  <w:r>
                    <w:rPr>
                      <w:rFonts w:hint="default" w:ascii="Times New Roman" w:hAnsi="Times New Roman" w:cs="Times New Roman"/>
                      <w:bCs/>
                      <w:iCs/>
                      <w:color w:val="auto"/>
                      <w:kern w:val="2"/>
                      <w:sz w:val="21"/>
                      <w:szCs w:val="21"/>
                      <w:lang w:val="en-US" w:eastAsia="zh-CN"/>
                    </w:rPr>
                    <w:t>2</w:t>
                  </w:r>
                </w:p>
              </w:tc>
              <w:tc>
                <w:tcPr>
                  <w:tcW w:w="13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1，1，1，2-四氯乙烷</w:t>
                  </w:r>
                </w:p>
              </w:tc>
              <w:tc>
                <w:tcPr>
                  <w:tcW w:w="654"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10</w:t>
                  </w:r>
                </w:p>
              </w:tc>
              <w:tc>
                <w:tcPr>
                  <w:tcW w:w="41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36</w:t>
                  </w:r>
                </w:p>
              </w:tc>
              <w:tc>
                <w:tcPr>
                  <w:tcW w:w="1546"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间二甲苯+对二甲苯</w:t>
                  </w:r>
                </w:p>
              </w:tc>
              <w:tc>
                <w:tcPr>
                  <w:tcW w:w="609"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570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lang w:val="en-US" w:eastAsia="zh-CN"/>
                    </w:rPr>
                    <w:t>2</w:t>
                  </w:r>
                  <w:r>
                    <w:rPr>
                      <w:rFonts w:hint="default" w:ascii="Times New Roman" w:hAnsi="Times New Roman" w:cs="Times New Roman"/>
                      <w:bCs/>
                      <w:iCs/>
                      <w:color w:val="auto"/>
                      <w:kern w:val="2"/>
                      <w:sz w:val="21"/>
                      <w:szCs w:val="21"/>
                    </w:rPr>
                    <w:t>3</w:t>
                  </w:r>
                </w:p>
              </w:tc>
              <w:tc>
                <w:tcPr>
                  <w:tcW w:w="13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1，4-二氯苯</w:t>
                  </w:r>
                </w:p>
              </w:tc>
              <w:tc>
                <w:tcPr>
                  <w:tcW w:w="654"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20</w:t>
                  </w:r>
                </w:p>
              </w:tc>
              <w:tc>
                <w:tcPr>
                  <w:tcW w:w="41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37</w:t>
                  </w:r>
                </w:p>
              </w:tc>
              <w:tc>
                <w:tcPr>
                  <w:tcW w:w="1546"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甲苯</w:t>
                  </w:r>
                </w:p>
              </w:tc>
              <w:tc>
                <w:tcPr>
                  <w:tcW w:w="609"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lang w:val="en-US" w:eastAsia="zh-CN"/>
                    </w:rPr>
                    <w:t>2</w:t>
                  </w:r>
                  <w:r>
                    <w:rPr>
                      <w:rFonts w:hint="default" w:ascii="Times New Roman" w:hAnsi="Times New Roman" w:cs="Times New Roman"/>
                      <w:bCs/>
                      <w:iCs/>
                      <w:color w:val="auto"/>
                      <w:kern w:val="2"/>
                      <w:sz w:val="21"/>
                      <w:szCs w:val="21"/>
                    </w:rPr>
                    <w:t>4</w:t>
                  </w:r>
                </w:p>
              </w:tc>
              <w:tc>
                <w:tcPr>
                  <w:tcW w:w="13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四氯乙烯</w:t>
                  </w:r>
                </w:p>
              </w:tc>
              <w:tc>
                <w:tcPr>
                  <w:tcW w:w="654"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53</w:t>
                  </w:r>
                </w:p>
              </w:tc>
              <w:tc>
                <w:tcPr>
                  <w:tcW w:w="41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38</w:t>
                  </w:r>
                </w:p>
              </w:tc>
              <w:tc>
                <w:tcPr>
                  <w:tcW w:w="1546"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邻二甲苯</w:t>
                  </w:r>
                </w:p>
              </w:tc>
              <w:tc>
                <w:tcPr>
                  <w:tcW w:w="609"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640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25</w:t>
                  </w:r>
                </w:p>
              </w:tc>
              <w:tc>
                <w:tcPr>
                  <w:tcW w:w="13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1，1，1-三氯乙烷</w:t>
                  </w:r>
                </w:p>
              </w:tc>
              <w:tc>
                <w:tcPr>
                  <w:tcW w:w="654"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840</w:t>
                  </w:r>
                </w:p>
              </w:tc>
              <w:tc>
                <w:tcPr>
                  <w:tcW w:w="41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39</w:t>
                  </w:r>
                </w:p>
              </w:tc>
              <w:tc>
                <w:tcPr>
                  <w:tcW w:w="1546"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1，1，2-三氯乙烷</w:t>
                  </w:r>
                </w:p>
              </w:tc>
              <w:tc>
                <w:tcPr>
                  <w:tcW w:w="609"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28" w:type="pct"/>
                  <w:gridSpan w:val="3"/>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半挥发性有机物</w:t>
                  </w:r>
                </w:p>
              </w:tc>
              <w:tc>
                <w:tcPr>
                  <w:tcW w:w="1963" w:type="pct"/>
                  <w:gridSpan w:val="2"/>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p>
              </w:tc>
              <w:tc>
                <w:tcPr>
                  <w:tcW w:w="609"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40</w:t>
                  </w:r>
                </w:p>
              </w:tc>
              <w:tc>
                <w:tcPr>
                  <w:tcW w:w="13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硝基苯</w:t>
                  </w:r>
                </w:p>
              </w:tc>
              <w:tc>
                <w:tcPr>
                  <w:tcW w:w="654"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76</w:t>
                  </w:r>
                </w:p>
              </w:tc>
              <w:tc>
                <w:tcPr>
                  <w:tcW w:w="41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45</w:t>
                  </w:r>
                </w:p>
              </w:tc>
              <w:tc>
                <w:tcPr>
                  <w:tcW w:w="1546"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䓛</w:t>
                  </w:r>
                </w:p>
              </w:tc>
              <w:tc>
                <w:tcPr>
                  <w:tcW w:w="609"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1293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41</w:t>
                  </w:r>
                </w:p>
              </w:tc>
              <w:tc>
                <w:tcPr>
                  <w:tcW w:w="13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苯胺</w:t>
                  </w:r>
                </w:p>
              </w:tc>
              <w:tc>
                <w:tcPr>
                  <w:tcW w:w="654"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260</w:t>
                  </w:r>
                </w:p>
              </w:tc>
              <w:tc>
                <w:tcPr>
                  <w:tcW w:w="41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46</w:t>
                  </w:r>
                </w:p>
              </w:tc>
              <w:tc>
                <w:tcPr>
                  <w:tcW w:w="1546"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二苯并[a，b]蒽</w:t>
                  </w:r>
                </w:p>
              </w:tc>
              <w:tc>
                <w:tcPr>
                  <w:tcW w:w="609"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42</w:t>
                  </w:r>
                </w:p>
              </w:tc>
              <w:tc>
                <w:tcPr>
                  <w:tcW w:w="133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2-氯酚</w:t>
                  </w:r>
                </w:p>
              </w:tc>
              <w:tc>
                <w:tcPr>
                  <w:tcW w:w="654"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2256</w:t>
                  </w:r>
                </w:p>
              </w:tc>
              <w:tc>
                <w:tcPr>
                  <w:tcW w:w="41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47</w:t>
                  </w:r>
                </w:p>
              </w:tc>
              <w:tc>
                <w:tcPr>
                  <w:tcW w:w="1546"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茚并[1，2，3-cd]芘</w:t>
                  </w:r>
                </w:p>
              </w:tc>
              <w:tc>
                <w:tcPr>
                  <w:tcW w:w="609"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43</w:t>
                  </w:r>
                </w:p>
              </w:tc>
              <w:tc>
                <w:tcPr>
                  <w:tcW w:w="13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苯并[a]蒽</w:t>
                  </w:r>
                </w:p>
              </w:tc>
              <w:tc>
                <w:tcPr>
                  <w:tcW w:w="654"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15</w:t>
                  </w:r>
                </w:p>
              </w:tc>
              <w:tc>
                <w:tcPr>
                  <w:tcW w:w="41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48</w:t>
                  </w:r>
                </w:p>
              </w:tc>
              <w:tc>
                <w:tcPr>
                  <w:tcW w:w="1546"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萘</w:t>
                  </w:r>
                </w:p>
              </w:tc>
              <w:tc>
                <w:tcPr>
                  <w:tcW w:w="609"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44</w:t>
                  </w:r>
                </w:p>
              </w:tc>
              <w:tc>
                <w:tcPr>
                  <w:tcW w:w="13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苯并[a]芘</w:t>
                  </w:r>
                </w:p>
              </w:tc>
              <w:tc>
                <w:tcPr>
                  <w:tcW w:w="654"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1.5</w:t>
                  </w:r>
                </w:p>
              </w:tc>
              <w:tc>
                <w:tcPr>
                  <w:tcW w:w="41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49</w:t>
                  </w:r>
                </w:p>
              </w:tc>
              <w:tc>
                <w:tcPr>
                  <w:tcW w:w="1546"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石油烃</w:t>
                  </w:r>
                </w:p>
              </w:tc>
              <w:tc>
                <w:tcPr>
                  <w:tcW w:w="609"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r>
                    <w:rPr>
                      <w:rFonts w:hint="default" w:ascii="Times New Roman" w:hAnsi="Times New Roman" w:cs="Times New Roman"/>
                      <w:bCs/>
                      <w:iCs/>
                      <w:color w:val="auto"/>
                      <w:kern w:val="2"/>
                      <w:sz w:val="21"/>
                      <w:szCs w:val="21"/>
                    </w:rPr>
                    <w:t>4500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50</w:t>
                  </w:r>
                </w:p>
              </w:tc>
              <w:tc>
                <w:tcPr>
                  <w:tcW w:w="1337"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二噁英</w:t>
                  </w:r>
                </w:p>
              </w:tc>
              <w:tc>
                <w:tcPr>
                  <w:tcW w:w="654"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eastAsia="宋体" w:cs="Times New Roman"/>
                      <w:bCs/>
                      <w:iCs/>
                      <w:color w:val="auto"/>
                      <w:kern w:val="2"/>
                      <w:sz w:val="21"/>
                      <w:szCs w:val="21"/>
                      <w:lang w:val="en-US" w:eastAsia="zh-CN"/>
                    </w:rPr>
                  </w:pPr>
                  <w:r>
                    <w:rPr>
                      <w:rFonts w:hint="default" w:ascii="Times New Roman" w:hAnsi="Times New Roman" w:cs="Times New Roman"/>
                      <w:bCs/>
                      <w:iCs/>
                      <w:color w:val="auto"/>
                      <w:kern w:val="2"/>
                      <w:sz w:val="21"/>
                      <w:szCs w:val="21"/>
                      <w:lang w:val="en-US" w:eastAsia="zh-CN"/>
                    </w:rPr>
                    <w:t>0.00004</w:t>
                  </w:r>
                </w:p>
              </w:tc>
              <w:tc>
                <w:tcPr>
                  <w:tcW w:w="417"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lang w:val="en-US" w:eastAsia="zh-CN"/>
                    </w:rPr>
                  </w:pPr>
                </w:p>
              </w:tc>
              <w:tc>
                <w:tcPr>
                  <w:tcW w:w="1546"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p>
              </w:tc>
              <w:tc>
                <w:tcPr>
                  <w:tcW w:w="609" w:type="pct"/>
                </w:tcPr>
                <w:p>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center"/>
                    <w:rPr>
                      <w:rFonts w:hint="default" w:ascii="Times New Roman" w:hAnsi="Times New Roman" w:cs="Times New Roman"/>
                      <w:bCs/>
                      <w:iCs/>
                      <w:color w:val="auto"/>
                      <w:kern w:val="2"/>
                      <w:sz w:val="21"/>
                      <w:szCs w:val="21"/>
                    </w:rPr>
                  </w:pPr>
                </w:p>
              </w:tc>
            </w:tr>
          </w:tbl>
          <w:p>
            <w:pPr>
              <w:pStyle w:val="68"/>
              <w:ind w:firstLine="0" w:firstLineChars="0"/>
              <w:rPr>
                <w:rFonts w:hint="default" w:ascii="Times New Roman" w:hAnsi="Times New Roman" w:cs="Times New Roman"/>
                <w:color w:val="auto"/>
                <w:szCs w:val="24"/>
              </w:rPr>
            </w:pPr>
            <w:r>
              <w:rPr>
                <w:rFonts w:hint="default" w:ascii="Times New Roman" w:hAnsi="Times New Roman" w:cs="Times New Roman"/>
                <w:color w:val="auto"/>
                <w:szCs w:val="24"/>
                <w:lang w:val="en-US" w:eastAsia="zh-CN"/>
              </w:rPr>
              <w:t>5</w:t>
            </w:r>
            <w:r>
              <w:rPr>
                <w:rFonts w:hint="default" w:ascii="Times New Roman" w:hAnsi="Times New Roman" w:cs="Times New Roman"/>
                <w:color w:val="auto"/>
                <w:szCs w:val="24"/>
              </w:rPr>
              <w:t>、声环境质量标准</w:t>
            </w:r>
          </w:p>
          <w:p>
            <w:pPr>
              <w:pStyle w:val="68"/>
              <w:spacing w:before="0"/>
              <w:ind w:firstLine="480"/>
              <w:rPr>
                <w:rFonts w:hint="default" w:ascii="Times New Roman" w:hAnsi="Times New Roman" w:cs="Times New Roman"/>
                <w:b w:val="0"/>
                <w:bCs/>
                <w:color w:val="auto"/>
              </w:rPr>
            </w:pPr>
            <w:r>
              <w:rPr>
                <w:rFonts w:hint="default" w:ascii="Times New Roman" w:hAnsi="Times New Roman" w:cs="Times New Roman"/>
                <w:b w:val="0"/>
                <w:bCs/>
                <w:color w:val="auto"/>
              </w:rPr>
              <w:t>该项目区域声环境质量执行国家《声环境质量标准》(GB3096-2008) 2类标准，详见表4-</w:t>
            </w:r>
            <w:r>
              <w:rPr>
                <w:rFonts w:hint="default" w:ascii="Times New Roman" w:hAnsi="Times New Roman" w:cs="Times New Roman"/>
                <w:b w:val="0"/>
                <w:bCs/>
                <w:color w:val="auto"/>
                <w:lang w:val="en-US" w:eastAsia="zh-CN"/>
              </w:rPr>
              <w:t>6</w:t>
            </w:r>
            <w:r>
              <w:rPr>
                <w:rFonts w:hint="default" w:ascii="Times New Roman" w:hAnsi="Times New Roman" w:cs="Times New Roman"/>
                <w:b w:val="0"/>
                <w:bCs/>
                <w:color w:val="auto"/>
              </w:rPr>
              <w:t>。</w:t>
            </w:r>
          </w:p>
          <w:p>
            <w:pPr>
              <w:adjustRightInd/>
              <w:spacing w:line="360" w:lineRule="auto"/>
              <w:jc w:val="center"/>
              <w:textAlignment w:val="auto"/>
              <w:rPr>
                <w:rFonts w:hint="default" w:ascii="Times New Roman" w:hAnsi="Times New Roman" w:cs="Times New Roman"/>
                <w:b/>
                <w:color w:val="auto"/>
                <w:kern w:val="2"/>
                <w:sz w:val="24"/>
                <w:szCs w:val="24"/>
              </w:rPr>
            </w:pPr>
            <w:r>
              <w:rPr>
                <w:rFonts w:hint="default" w:ascii="Times New Roman" w:hAnsi="Times New Roman" w:cs="Times New Roman"/>
                <w:b/>
                <w:color w:val="auto"/>
                <w:kern w:val="2"/>
                <w:sz w:val="24"/>
                <w:szCs w:val="24"/>
              </w:rPr>
              <w:t>表4-</w:t>
            </w:r>
            <w:r>
              <w:rPr>
                <w:rFonts w:hint="default" w:ascii="Times New Roman" w:hAnsi="Times New Roman" w:cs="Times New Roman"/>
                <w:b/>
                <w:color w:val="auto"/>
                <w:kern w:val="2"/>
                <w:sz w:val="24"/>
                <w:szCs w:val="24"/>
                <w:lang w:val="en-US" w:eastAsia="zh-CN"/>
              </w:rPr>
              <w:t>6</w:t>
            </w:r>
            <w:r>
              <w:rPr>
                <w:rFonts w:hint="default" w:ascii="Times New Roman" w:hAnsi="Times New Roman" w:cs="Times New Roman"/>
                <w:b/>
                <w:color w:val="auto"/>
                <w:kern w:val="2"/>
                <w:sz w:val="24"/>
                <w:szCs w:val="24"/>
              </w:rPr>
              <w:t xml:space="preserve"> 声环境质量标准值            单位： dB(A)</w:t>
            </w:r>
          </w:p>
          <w:tbl>
            <w:tblPr>
              <w:tblStyle w:val="33"/>
              <w:tblW w:w="80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90"/>
              <w:gridCol w:w="2210"/>
              <w:gridCol w:w="1739"/>
              <w:gridCol w:w="15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49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标准</w:t>
                  </w:r>
                </w:p>
              </w:tc>
              <w:tc>
                <w:tcPr>
                  <w:tcW w:w="221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类别</w:t>
                  </w:r>
                </w:p>
              </w:tc>
              <w:tc>
                <w:tcPr>
                  <w:tcW w:w="173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昼间</w:t>
                  </w:r>
                </w:p>
              </w:tc>
              <w:tc>
                <w:tcPr>
                  <w:tcW w:w="1562"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49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《声环境质量标准》（GB3096-2008）</w:t>
                  </w:r>
                </w:p>
              </w:tc>
              <w:tc>
                <w:tcPr>
                  <w:tcW w:w="221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2类</w:t>
                  </w:r>
                </w:p>
              </w:tc>
              <w:tc>
                <w:tcPr>
                  <w:tcW w:w="173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60</w:t>
                  </w:r>
                </w:p>
              </w:tc>
              <w:tc>
                <w:tcPr>
                  <w:tcW w:w="1562"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50</w:t>
                  </w:r>
                </w:p>
              </w:tc>
            </w:tr>
          </w:tbl>
          <w:p>
            <w:pPr>
              <w:pStyle w:val="68"/>
              <w:ind w:firstLine="0" w:firstLineChars="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34" w:hRule="atLeast"/>
          <w:jc w:val="center"/>
        </w:trPr>
        <w:tc>
          <w:tcPr>
            <w:tcW w:w="730" w:type="dxa"/>
            <w:vAlign w:val="center"/>
          </w:tcPr>
          <w:p>
            <w:pPr>
              <w:spacing w:line="360" w:lineRule="auto"/>
              <w:jc w:val="center"/>
              <w:rPr>
                <w:rFonts w:hint="default" w:ascii="Times New Roman" w:hAnsi="Times New Roman" w:cs="Times New Roman"/>
                <w:b/>
                <w:color w:val="auto"/>
                <w:sz w:val="32"/>
              </w:rPr>
            </w:pPr>
            <w:r>
              <w:rPr>
                <w:rFonts w:hint="default" w:ascii="Times New Roman" w:hAnsi="Times New Roman" w:cs="Times New Roman"/>
                <w:color w:val="auto"/>
                <w:sz w:val="28"/>
              </w:rPr>
              <w:t>污染物排放标准</w:t>
            </w:r>
          </w:p>
        </w:tc>
        <w:tc>
          <w:tcPr>
            <w:tcW w:w="8217" w:type="dxa"/>
            <w:vAlign w:val="center"/>
          </w:tcPr>
          <w:p>
            <w:pPr>
              <w:pStyle w:val="68"/>
              <w:ind w:firstLine="0" w:firstLineChars="0"/>
              <w:rPr>
                <w:rFonts w:hint="default" w:ascii="Times New Roman" w:hAnsi="Times New Roman" w:cs="Times New Roman"/>
                <w:color w:val="auto"/>
                <w:szCs w:val="24"/>
              </w:rPr>
            </w:pPr>
            <w:r>
              <w:rPr>
                <w:rFonts w:hint="default" w:ascii="Times New Roman" w:hAnsi="Times New Roman" w:cs="Times New Roman"/>
                <w:color w:val="auto"/>
                <w:szCs w:val="24"/>
              </w:rPr>
              <w:t>1、废气排放标准</w:t>
            </w:r>
          </w:p>
          <w:p>
            <w:pPr>
              <w:pStyle w:val="41"/>
              <w:snapToGrid w:val="0"/>
              <w:spacing w:line="360" w:lineRule="auto"/>
              <w:ind w:firstLine="480" w:firstLineChars="200"/>
              <w:jc w:val="both"/>
              <w:rPr>
                <w:rFonts w:hint="default" w:ascii="Times New Roman" w:hAnsi="Times New Roman" w:cs="Times New Roman"/>
                <w:color w:val="auto"/>
                <w:szCs w:val="20"/>
              </w:rPr>
            </w:pPr>
            <w:r>
              <w:rPr>
                <w:rFonts w:hint="default" w:ascii="Times New Roman" w:hAnsi="Times New Roman" w:cs="Times New Roman"/>
                <w:color w:val="auto"/>
                <w:szCs w:val="20"/>
              </w:rPr>
              <w:t>本项目施工过程中产生的粉尘执行</w:t>
            </w:r>
            <w:r>
              <w:rPr>
                <w:rFonts w:hint="default" w:ascii="Times New Roman" w:hAnsi="Times New Roman" w:cs="Times New Roman"/>
                <w:color w:val="auto"/>
              </w:rPr>
              <w:t>《大气污染物综合排放标准》（GB16297-1996）表2规定的颗粒物无组织排放监控浓度限值</w:t>
            </w:r>
            <w:r>
              <w:rPr>
                <w:rFonts w:hint="default" w:ascii="Times New Roman" w:hAnsi="Times New Roman" w:cs="Times New Roman"/>
                <w:color w:val="auto"/>
                <w:szCs w:val="20"/>
              </w:rPr>
              <w:t>。具体见表4-</w:t>
            </w:r>
            <w:r>
              <w:rPr>
                <w:rFonts w:hint="default" w:ascii="Times New Roman" w:hAnsi="Times New Roman" w:cs="Times New Roman"/>
                <w:color w:val="auto"/>
                <w:szCs w:val="20"/>
                <w:lang w:val="en-US" w:eastAsia="zh-CN"/>
              </w:rPr>
              <w:t>7</w:t>
            </w:r>
            <w:r>
              <w:rPr>
                <w:rFonts w:hint="default" w:ascii="Times New Roman" w:hAnsi="Times New Roman" w:cs="Times New Roman"/>
                <w:color w:val="auto"/>
                <w:szCs w:val="20"/>
              </w:rPr>
              <w:t>。</w:t>
            </w:r>
          </w:p>
          <w:p>
            <w:pPr>
              <w:adjustRightInd/>
              <w:spacing w:before="156" w:beforeLines="50" w:line="240" w:lineRule="auto"/>
              <w:jc w:val="center"/>
              <w:textAlignment w:val="auto"/>
              <w:rPr>
                <w:rFonts w:hint="default" w:ascii="Times New Roman" w:hAnsi="Times New Roman" w:cs="Times New Roman"/>
                <w:b/>
                <w:color w:val="auto"/>
                <w:kern w:val="2"/>
                <w:sz w:val="24"/>
                <w:szCs w:val="24"/>
              </w:rPr>
            </w:pPr>
            <w:r>
              <w:rPr>
                <w:rFonts w:hint="default" w:ascii="Times New Roman" w:hAnsi="Times New Roman" w:cs="Times New Roman"/>
                <w:b/>
                <w:color w:val="auto"/>
                <w:kern w:val="2"/>
                <w:sz w:val="24"/>
                <w:szCs w:val="24"/>
              </w:rPr>
              <w:t>表4-</w:t>
            </w:r>
            <w:r>
              <w:rPr>
                <w:rFonts w:hint="default" w:ascii="Times New Roman" w:hAnsi="Times New Roman" w:cs="Times New Roman"/>
                <w:b/>
                <w:color w:val="auto"/>
                <w:kern w:val="2"/>
                <w:sz w:val="24"/>
                <w:szCs w:val="24"/>
                <w:lang w:val="en-US" w:eastAsia="zh-CN"/>
              </w:rPr>
              <w:t>7</w:t>
            </w:r>
            <w:r>
              <w:rPr>
                <w:rFonts w:hint="default" w:ascii="Times New Roman" w:hAnsi="Times New Roman" w:cs="Times New Roman"/>
                <w:b/>
                <w:color w:val="auto"/>
                <w:kern w:val="2"/>
                <w:sz w:val="24"/>
                <w:szCs w:val="24"/>
              </w:rPr>
              <w:t>大气污染物综合排放标准    单位：mg/m</w:t>
            </w:r>
            <w:r>
              <w:rPr>
                <w:rFonts w:hint="default" w:ascii="Times New Roman" w:hAnsi="Times New Roman" w:cs="Times New Roman"/>
                <w:b/>
                <w:color w:val="auto"/>
                <w:kern w:val="2"/>
                <w:sz w:val="24"/>
                <w:szCs w:val="24"/>
                <w:vertAlign w:val="superscript"/>
              </w:rPr>
              <w:t>3</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77"/>
              <w:gridCol w:w="2032"/>
              <w:gridCol w:w="30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8"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监测项目</w:t>
                  </w:r>
                </w:p>
              </w:tc>
              <w:tc>
                <w:tcPr>
                  <w:tcW w:w="1270"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监控点</w:t>
                  </w:r>
                </w:p>
              </w:tc>
              <w:tc>
                <w:tcPr>
                  <w:tcW w:w="1932"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8"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颗粒物（TSP）</w:t>
                  </w:r>
                </w:p>
              </w:tc>
              <w:tc>
                <w:tcPr>
                  <w:tcW w:w="1270"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周界外浓度最高点</w:t>
                  </w:r>
                </w:p>
              </w:tc>
              <w:tc>
                <w:tcPr>
                  <w:tcW w:w="1932"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《恶臭污染物排放标准》（GB14554-93）中排气筒高度15m规定的标准限值</w:t>
            </w:r>
            <w:r>
              <w:rPr>
                <w:rFonts w:hint="default" w:ascii="Times New Roman" w:hAnsi="Times New Roman" w:cs="Times New Roman"/>
                <w:color w:val="auto"/>
                <w:sz w:val="24"/>
                <w:lang w:val="en-US" w:eastAsia="zh-CN"/>
              </w:rPr>
              <w:t>及无组织排放限值</w:t>
            </w:r>
            <w:r>
              <w:rPr>
                <w:rFonts w:hint="default" w:ascii="Times New Roman" w:hAnsi="Times New Roman" w:cs="Times New Roman"/>
                <w:color w:val="auto"/>
                <w:sz w:val="24"/>
              </w:rPr>
              <w:t>。</w:t>
            </w:r>
          </w:p>
          <w:p>
            <w:pPr>
              <w:adjustRightInd/>
              <w:spacing w:before="156" w:beforeLines="50" w:line="240" w:lineRule="auto"/>
              <w:jc w:val="center"/>
              <w:textAlignment w:val="auto"/>
              <w:rPr>
                <w:rFonts w:hint="default" w:ascii="Times New Roman" w:hAnsi="Times New Roman" w:cs="Times New Roman"/>
                <w:b/>
                <w:color w:val="auto"/>
                <w:kern w:val="2"/>
                <w:sz w:val="24"/>
                <w:szCs w:val="24"/>
              </w:rPr>
            </w:pPr>
            <w:r>
              <w:rPr>
                <w:rFonts w:hint="default" w:ascii="Times New Roman" w:hAnsi="Times New Roman" w:cs="Times New Roman"/>
                <w:b/>
                <w:color w:val="auto"/>
                <w:kern w:val="2"/>
                <w:sz w:val="24"/>
                <w:szCs w:val="24"/>
              </w:rPr>
              <w:t>表4-</w:t>
            </w:r>
            <w:r>
              <w:rPr>
                <w:rFonts w:hint="default" w:ascii="Times New Roman" w:hAnsi="Times New Roman" w:cs="Times New Roman"/>
                <w:b/>
                <w:color w:val="auto"/>
                <w:kern w:val="2"/>
                <w:sz w:val="24"/>
                <w:szCs w:val="24"/>
                <w:lang w:val="en-US" w:eastAsia="zh-CN"/>
              </w:rPr>
              <w:t>8</w:t>
            </w:r>
            <w:r>
              <w:rPr>
                <w:rFonts w:hint="default" w:ascii="Times New Roman" w:hAnsi="Times New Roman" w:cs="Times New Roman"/>
                <w:b/>
                <w:color w:val="auto"/>
                <w:kern w:val="2"/>
                <w:sz w:val="24"/>
                <w:szCs w:val="24"/>
              </w:rPr>
              <w:t>恶臭污染物排放标准</w:t>
            </w:r>
            <w:r>
              <w:rPr>
                <w:rFonts w:hint="default" w:ascii="Times New Roman" w:hAnsi="Times New Roman" w:cs="Times New Roman"/>
                <w:b/>
                <w:color w:val="auto"/>
                <w:kern w:val="2"/>
                <w:sz w:val="24"/>
                <w:szCs w:val="24"/>
                <w:lang w:eastAsia="zh-CN"/>
              </w:rPr>
              <w:t>（</w:t>
            </w:r>
            <w:r>
              <w:rPr>
                <w:rFonts w:hint="default" w:ascii="Times New Roman" w:hAnsi="Times New Roman" w:cs="Times New Roman"/>
                <w:b/>
                <w:color w:val="auto"/>
                <w:kern w:val="2"/>
                <w:sz w:val="24"/>
                <w:szCs w:val="24"/>
                <w:lang w:val="en-US" w:eastAsia="zh-CN"/>
              </w:rPr>
              <w:t>厂界无组织</w:t>
            </w:r>
            <w:r>
              <w:rPr>
                <w:rFonts w:hint="default" w:ascii="Times New Roman" w:hAnsi="Times New Roman" w:cs="Times New Roman"/>
                <w:b/>
                <w:color w:val="auto"/>
                <w:kern w:val="2"/>
                <w:sz w:val="24"/>
                <w:szCs w:val="24"/>
                <w:lang w:eastAsia="zh-CN"/>
              </w:rPr>
              <w:t>）</w:t>
            </w:r>
            <w:r>
              <w:rPr>
                <w:rFonts w:hint="default" w:ascii="Times New Roman" w:hAnsi="Times New Roman" w:cs="Times New Roman"/>
                <w:b/>
                <w:color w:val="auto"/>
                <w:kern w:val="2"/>
                <w:sz w:val="24"/>
                <w:szCs w:val="24"/>
              </w:rPr>
              <w:t xml:space="preserve">    单位：mg/m3</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29"/>
              <w:gridCol w:w="1282"/>
              <w:gridCol w:w="2343"/>
              <w:gridCol w:w="23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控制项目</w:t>
                  </w:r>
                </w:p>
              </w:tc>
              <w:tc>
                <w:tcPr>
                  <w:tcW w:w="801"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氨</w:t>
                  </w:r>
                </w:p>
              </w:tc>
              <w:tc>
                <w:tcPr>
                  <w:tcW w:w="1464"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硫化氢</w:t>
                  </w:r>
                </w:p>
              </w:tc>
              <w:tc>
                <w:tcPr>
                  <w:tcW w:w="1465"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臭气浓度（无量纲）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二级新改扩建</w:t>
                  </w:r>
                </w:p>
              </w:tc>
              <w:tc>
                <w:tcPr>
                  <w:tcW w:w="801"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1.5</w:t>
                  </w:r>
                </w:p>
              </w:tc>
              <w:tc>
                <w:tcPr>
                  <w:tcW w:w="1464"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0.06</w:t>
                  </w:r>
                </w:p>
              </w:tc>
              <w:tc>
                <w:tcPr>
                  <w:tcW w:w="1465"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20</w:t>
                  </w:r>
                </w:p>
              </w:tc>
            </w:tr>
          </w:tbl>
          <w:p>
            <w:pPr>
              <w:adjustRightInd/>
              <w:spacing w:before="156" w:beforeLines="50" w:line="240" w:lineRule="auto"/>
              <w:jc w:val="center"/>
              <w:textAlignment w:val="auto"/>
              <w:rPr>
                <w:rFonts w:hint="default" w:ascii="Times New Roman" w:hAnsi="Times New Roman" w:cs="Times New Roman"/>
                <w:b/>
                <w:color w:val="auto"/>
                <w:kern w:val="2"/>
                <w:sz w:val="24"/>
                <w:szCs w:val="24"/>
              </w:rPr>
            </w:pPr>
            <w:r>
              <w:rPr>
                <w:rFonts w:hint="default" w:ascii="Times New Roman" w:hAnsi="Times New Roman" w:cs="Times New Roman"/>
                <w:b/>
                <w:color w:val="auto"/>
                <w:kern w:val="2"/>
                <w:sz w:val="24"/>
                <w:szCs w:val="24"/>
              </w:rPr>
              <w:t>表4-</w:t>
            </w:r>
            <w:r>
              <w:rPr>
                <w:rFonts w:hint="default" w:ascii="Times New Roman" w:hAnsi="Times New Roman" w:cs="Times New Roman"/>
                <w:b/>
                <w:color w:val="auto"/>
                <w:kern w:val="2"/>
                <w:sz w:val="24"/>
                <w:szCs w:val="24"/>
                <w:lang w:val="en-US" w:eastAsia="zh-CN"/>
              </w:rPr>
              <w:t>9</w:t>
            </w:r>
            <w:r>
              <w:rPr>
                <w:rFonts w:hint="default" w:ascii="Times New Roman" w:hAnsi="Times New Roman" w:cs="Times New Roman"/>
                <w:b/>
                <w:color w:val="auto"/>
                <w:kern w:val="2"/>
                <w:sz w:val="24"/>
                <w:szCs w:val="24"/>
              </w:rPr>
              <w:t>恶臭污染物排放标准</w:t>
            </w:r>
            <w:r>
              <w:rPr>
                <w:rFonts w:hint="default" w:ascii="Times New Roman" w:hAnsi="Times New Roman" w:cs="Times New Roman"/>
                <w:b/>
                <w:color w:val="auto"/>
                <w:kern w:val="2"/>
                <w:sz w:val="24"/>
                <w:szCs w:val="24"/>
                <w:lang w:eastAsia="zh-CN"/>
              </w:rPr>
              <w:t>（</w:t>
            </w:r>
            <w:r>
              <w:rPr>
                <w:rFonts w:hint="default" w:ascii="Times New Roman" w:hAnsi="Times New Roman" w:cs="Times New Roman"/>
                <w:b/>
                <w:color w:val="auto"/>
                <w:kern w:val="2"/>
                <w:sz w:val="24"/>
                <w:szCs w:val="24"/>
                <w:lang w:val="en-US" w:eastAsia="zh-CN"/>
              </w:rPr>
              <w:t>15m排气筒有组织</w:t>
            </w:r>
            <w:r>
              <w:rPr>
                <w:rFonts w:hint="default" w:ascii="Times New Roman" w:hAnsi="Times New Roman" w:cs="Times New Roman"/>
                <w:b/>
                <w:color w:val="auto"/>
                <w:kern w:val="2"/>
                <w:sz w:val="24"/>
                <w:szCs w:val="24"/>
                <w:lang w:eastAsia="zh-CN"/>
              </w:rPr>
              <w:t>）</w:t>
            </w:r>
            <w:r>
              <w:rPr>
                <w:rFonts w:hint="default" w:ascii="Times New Roman" w:hAnsi="Times New Roman" w:cs="Times New Roman"/>
                <w:b/>
                <w:color w:val="auto"/>
                <w:kern w:val="2"/>
                <w:sz w:val="24"/>
                <w:szCs w:val="24"/>
              </w:rPr>
              <w:t xml:space="preserve">    单位：kg/h</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29"/>
              <w:gridCol w:w="1283"/>
              <w:gridCol w:w="2344"/>
              <w:gridCol w:w="23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控制项目</w:t>
                  </w:r>
                </w:p>
              </w:tc>
              <w:tc>
                <w:tcPr>
                  <w:tcW w:w="802"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氨</w:t>
                  </w:r>
                </w:p>
              </w:tc>
              <w:tc>
                <w:tcPr>
                  <w:tcW w:w="1465"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硫化氢</w:t>
                  </w:r>
                </w:p>
              </w:tc>
              <w:tc>
                <w:tcPr>
                  <w:tcW w:w="1465"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臭气浓度（无量纲）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pct"/>
                  <w:vAlign w:val="center"/>
                </w:tcPr>
                <w:p>
                  <w:pPr>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标准</w:t>
                  </w:r>
                </w:p>
              </w:tc>
              <w:tc>
                <w:tcPr>
                  <w:tcW w:w="802" w:type="pct"/>
                  <w:vAlign w:val="center"/>
                </w:tcPr>
                <w:p>
                  <w:pPr>
                    <w:snapToGrid w:val="0"/>
                    <w:spacing w:line="240" w:lineRule="auto"/>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4.9</w:t>
                  </w:r>
                </w:p>
              </w:tc>
              <w:tc>
                <w:tcPr>
                  <w:tcW w:w="1465" w:type="pct"/>
                  <w:vAlign w:val="center"/>
                </w:tcPr>
                <w:p>
                  <w:pPr>
                    <w:snapToGrid w:val="0"/>
                    <w:spacing w:line="240" w:lineRule="auto"/>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0.33</w:t>
                  </w:r>
                </w:p>
              </w:tc>
              <w:tc>
                <w:tcPr>
                  <w:tcW w:w="1465" w:type="pct"/>
                  <w:vAlign w:val="center"/>
                </w:tcPr>
                <w:p>
                  <w:pPr>
                    <w:snapToGrid w:val="0"/>
                    <w:spacing w:line="240" w:lineRule="auto"/>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2000</w:t>
                  </w:r>
                </w:p>
              </w:tc>
            </w:tr>
          </w:tbl>
          <w:p>
            <w:pPr>
              <w:pStyle w:val="68"/>
              <w:ind w:firstLine="0" w:firstLineChars="0"/>
              <w:rPr>
                <w:rFonts w:hint="default" w:ascii="Times New Roman" w:hAnsi="Times New Roman" w:cs="Times New Roman"/>
                <w:color w:val="auto"/>
                <w:szCs w:val="24"/>
              </w:rPr>
            </w:pPr>
            <w:r>
              <w:rPr>
                <w:rFonts w:hint="default" w:ascii="Times New Roman" w:hAnsi="Times New Roman" w:cs="Times New Roman"/>
                <w:color w:val="auto"/>
                <w:szCs w:val="24"/>
              </w:rPr>
              <w:t>2、废水排放标准</w:t>
            </w:r>
          </w:p>
          <w:p>
            <w:pPr>
              <w:snapToGrid w:val="0"/>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本工程处理后的中水全部回用，不排放。根据环保部门的有关规定和意见，同江市城市生活垃圾处理场渗沥液站改造工程建设的污水处理厂出水主要指标按照《</w:t>
            </w:r>
            <w:r>
              <w:rPr>
                <w:rFonts w:hint="default" w:ascii="Times New Roman" w:hAnsi="Times New Roman" w:cs="Times New Roman"/>
                <w:color w:val="auto"/>
                <w:sz w:val="24"/>
                <w:szCs w:val="22"/>
                <w:lang w:val="en-US" w:eastAsia="zh-CN"/>
              </w:rPr>
              <w:t>生活垃圾填埋场污染控制标准</w:t>
            </w:r>
            <w:r>
              <w:rPr>
                <w:rFonts w:hint="default" w:ascii="Times New Roman" w:hAnsi="Times New Roman" w:cs="Times New Roman"/>
                <w:color w:val="auto"/>
                <w:sz w:val="24"/>
                <w:szCs w:val="22"/>
              </w:rPr>
              <w:t>》（GB</w:t>
            </w:r>
            <w:r>
              <w:rPr>
                <w:rFonts w:hint="default" w:ascii="Times New Roman" w:hAnsi="Times New Roman" w:cs="Times New Roman"/>
                <w:color w:val="auto"/>
                <w:sz w:val="24"/>
                <w:szCs w:val="22"/>
                <w:lang w:val="en-US" w:eastAsia="zh-CN"/>
              </w:rPr>
              <w:t>16889-2008</w:t>
            </w:r>
            <w:r>
              <w:rPr>
                <w:rFonts w:hint="default" w:ascii="Times New Roman" w:hAnsi="Times New Roman" w:cs="Times New Roman"/>
                <w:color w:val="auto"/>
                <w:sz w:val="24"/>
                <w:szCs w:val="22"/>
              </w:rPr>
              <w:t>）</w:t>
            </w:r>
            <w:r>
              <w:rPr>
                <w:rFonts w:hint="default" w:ascii="Times New Roman" w:hAnsi="Times New Roman" w:cs="Times New Roman"/>
                <w:color w:val="auto"/>
                <w:sz w:val="24"/>
                <w:szCs w:val="22"/>
                <w:lang w:val="en-US" w:eastAsia="zh-CN"/>
              </w:rPr>
              <w:t>中表2规定的水污染物排放浓度限值</w:t>
            </w:r>
            <w:r>
              <w:rPr>
                <w:rFonts w:hint="default" w:ascii="Times New Roman" w:hAnsi="Times New Roman" w:cs="Times New Roman"/>
                <w:color w:val="auto"/>
                <w:sz w:val="24"/>
                <w:szCs w:val="22"/>
              </w:rPr>
              <w:t>，其标准值见表4-</w:t>
            </w:r>
            <w:r>
              <w:rPr>
                <w:rFonts w:hint="default" w:ascii="Times New Roman" w:hAnsi="Times New Roman" w:cs="Times New Roman"/>
                <w:color w:val="auto"/>
                <w:sz w:val="24"/>
                <w:szCs w:val="22"/>
                <w:lang w:val="en-US" w:eastAsia="zh-CN"/>
              </w:rPr>
              <w:t>10</w:t>
            </w:r>
            <w:r>
              <w:rPr>
                <w:rFonts w:hint="default" w:ascii="Times New Roman" w:hAnsi="Times New Roman" w:cs="Times New Roman"/>
                <w:color w:val="auto"/>
                <w:sz w:val="24"/>
                <w:szCs w:val="22"/>
              </w:rPr>
              <w:t>。</w:t>
            </w:r>
          </w:p>
          <w:p>
            <w:pPr>
              <w:adjustRightInd/>
              <w:spacing w:before="156" w:beforeLines="50" w:line="240" w:lineRule="auto"/>
              <w:jc w:val="center"/>
              <w:textAlignment w:val="auto"/>
              <w:rPr>
                <w:rFonts w:hint="default" w:ascii="Times New Roman" w:hAnsi="Times New Roman" w:cs="Times New Roman"/>
                <w:b/>
                <w:color w:val="auto"/>
                <w:kern w:val="2"/>
                <w:sz w:val="24"/>
                <w:szCs w:val="24"/>
                <w:lang w:val="en-US" w:eastAsia="zh-CN"/>
              </w:rPr>
            </w:pPr>
            <w:r>
              <w:rPr>
                <w:rFonts w:hint="default" w:ascii="Times New Roman" w:hAnsi="Times New Roman" w:cs="Times New Roman"/>
                <w:b/>
                <w:color w:val="auto"/>
                <w:kern w:val="2"/>
                <w:sz w:val="24"/>
                <w:szCs w:val="24"/>
              </w:rPr>
              <w:t>表4-</w:t>
            </w:r>
            <w:r>
              <w:rPr>
                <w:rFonts w:hint="default" w:ascii="Times New Roman" w:hAnsi="Times New Roman" w:cs="Times New Roman"/>
                <w:b/>
                <w:color w:val="auto"/>
                <w:kern w:val="2"/>
                <w:sz w:val="24"/>
                <w:szCs w:val="24"/>
                <w:lang w:val="en-US" w:eastAsia="zh-CN"/>
              </w:rPr>
              <w:t>10现有和新建生活垃圾填埋场水污染物排放质量浓度限值</w:t>
            </w:r>
          </w:p>
          <w:p>
            <w:pPr>
              <w:adjustRightInd/>
              <w:spacing w:before="156" w:beforeLines="50" w:line="240" w:lineRule="auto"/>
              <w:jc w:val="center"/>
              <w:textAlignment w:val="auto"/>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 xml:space="preserve"> 单位：mg/L（</w:t>
            </w:r>
            <w:r>
              <w:rPr>
                <w:rFonts w:hint="default" w:ascii="Times New Roman" w:hAnsi="Times New Roman" w:eastAsia="宋体" w:cs="Times New Roman"/>
                <w:b/>
                <w:color w:val="auto"/>
                <w:kern w:val="2"/>
                <w:sz w:val="24"/>
                <w:szCs w:val="24"/>
                <w:lang w:val="en-US" w:eastAsia="zh-CN"/>
              </w:rPr>
              <w:t>粪大肠菌群数个/L</w:t>
            </w:r>
            <w:r>
              <w:rPr>
                <w:rFonts w:hint="default" w:ascii="Times New Roman" w:hAnsi="Times New Roman" w:eastAsia="宋体" w:cs="Times New Roman"/>
                <w:b/>
                <w:color w:val="auto"/>
                <w:kern w:val="2"/>
                <w:sz w:val="24"/>
                <w:szCs w:val="24"/>
              </w:rPr>
              <w:t>）</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2386"/>
              <w:gridCol w:w="2131"/>
              <w:gridCol w:w="27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481" w:type="pct"/>
                  <w:vAlign w:val="center"/>
                </w:tcPr>
                <w:p>
                  <w:pPr>
                    <w:autoSpaceDE w:val="0"/>
                    <w:autoSpaceDN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序号</w:t>
                  </w:r>
                </w:p>
              </w:tc>
              <w:tc>
                <w:tcPr>
                  <w:tcW w:w="1491" w:type="pct"/>
                  <w:vAlign w:val="center"/>
                </w:tcPr>
                <w:p>
                  <w:pPr>
                    <w:autoSpaceDE w:val="0"/>
                    <w:autoSpaceDN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控制污染物</w:t>
                  </w:r>
                </w:p>
              </w:tc>
              <w:tc>
                <w:tcPr>
                  <w:tcW w:w="1332" w:type="pct"/>
                  <w:vAlign w:val="center"/>
                </w:tcPr>
                <w:p>
                  <w:pPr>
                    <w:autoSpaceDE w:val="0"/>
                    <w:autoSpaceDN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排放质量浓度限值</w:t>
                  </w:r>
                </w:p>
              </w:tc>
              <w:tc>
                <w:tcPr>
                  <w:tcW w:w="1694" w:type="pct"/>
                  <w:vAlign w:val="center"/>
                </w:tcPr>
                <w:p>
                  <w:pPr>
                    <w:autoSpaceDE w:val="0"/>
                    <w:autoSpaceDN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污染物排放监控位置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81" w:type="pct"/>
                  <w:vAlign w:val="center"/>
                </w:tcPr>
                <w:p>
                  <w:pPr>
                    <w:autoSpaceDE w:val="0"/>
                    <w:autoSpaceDN w:val="0"/>
                    <w:snapToGrid w:val="0"/>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w:t>
                  </w:r>
                </w:p>
              </w:tc>
              <w:tc>
                <w:tcPr>
                  <w:tcW w:w="1491" w:type="pct"/>
                  <w:vAlign w:val="center"/>
                </w:tcPr>
                <w:p>
                  <w:pPr>
                    <w:autoSpaceDE w:val="0"/>
                    <w:autoSpaceDN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色度（稀释倍数）</w:t>
                  </w:r>
                </w:p>
              </w:tc>
              <w:tc>
                <w:tcPr>
                  <w:tcW w:w="1332" w:type="pct"/>
                  <w:vAlign w:val="center"/>
                </w:tcPr>
                <w:p>
                  <w:pPr>
                    <w:autoSpaceDE w:val="0"/>
                    <w:autoSpaceDN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40</w:t>
                  </w:r>
                </w:p>
              </w:tc>
              <w:tc>
                <w:tcPr>
                  <w:tcW w:w="1694" w:type="pct"/>
                  <w:vAlign w:val="center"/>
                </w:tcPr>
                <w:p>
                  <w:pPr>
                    <w:autoSpaceDE w:val="0"/>
                    <w:autoSpaceDN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常规污水处理设施排放口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81" w:type="pct"/>
                  <w:vAlign w:val="center"/>
                </w:tcPr>
                <w:p>
                  <w:pPr>
                    <w:autoSpaceDE w:val="0"/>
                    <w:autoSpaceDN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w:t>
                  </w:r>
                </w:p>
              </w:tc>
              <w:tc>
                <w:tcPr>
                  <w:tcW w:w="1491" w:type="pct"/>
                  <w:vAlign w:val="center"/>
                </w:tcPr>
                <w:p>
                  <w:pPr>
                    <w:autoSpaceDE w:val="0"/>
                    <w:autoSpaceDN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COD</w:t>
                  </w:r>
                </w:p>
              </w:tc>
              <w:tc>
                <w:tcPr>
                  <w:tcW w:w="1332" w:type="pct"/>
                  <w:vAlign w:val="center"/>
                </w:tcPr>
                <w:p>
                  <w:pPr>
                    <w:autoSpaceDE w:val="0"/>
                    <w:autoSpaceDN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100</w:t>
                  </w:r>
                </w:p>
              </w:tc>
              <w:tc>
                <w:tcPr>
                  <w:tcW w:w="1694" w:type="pct"/>
                  <w:vAlign w:val="center"/>
                </w:tcPr>
                <w:p>
                  <w:pPr>
                    <w:autoSpaceDE w:val="0"/>
                    <w:autoSpaceDN w:val="0"/>
                    <w:snapToGrid w:val="0"/>
                    <w:jc w:val="center"/>
                    <w:rPr>
                      <w:rFonts w:hint="default" w:ascii="Times New Roman" w:hAnsi="Times New Roman" w:eastAsia="宋体" w:cs="Times New Roman"/>
                      <w:color w:val="auto"/>
                      <w:sz w:val="21"/>
                      <w:lang w:val="en-US" w:eastAsia="zh-CN" w:bidi="ar-SA"/>
                    </w:rPr>
                  </w:pPr>
                  <w:r>
                    <w:rPr>
                      <w:rFonts w:hint="default" w:ascii="Times New Roman" w:hAnsi="Times New Roman" w:cs="Times New Roman"/>
                      <w:color w:val="auto"/>
                      <w:lang w:val="en-US" w:eastAsia="zh-CN"/>
                    </w:rPr>
                    <w:t>常规污水处理设施排放口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81" w:type="pct"/>
                  <w:vAlign w:val="center"/>
                </w:tcPr>
                <w:p>
                  <w:pPr>
                    <w:autoSpaceDE w:val="0"/>
                    <w:autoSpaceDN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w:t>
                  </w:r>
                </w:p>
              </w:tc>
              <w:tc>
                <w:tcPr>
                  <w:tcW w:w="1491" w:type="pct"/>
                  <w:vAlign w:val="center"/>
                </w:tcPr>
                <w:p>
                  <w:pPr>
                    <w:autoSpaceDE w:val="0"/>
                    <w:autoSpaceDN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BOD5</w:t>
                  </w:r>
                </w:p>
              </w:tc>
              <w:tc>
                <w:tcPr>
                  <w:tcW w:w="1332" w:type="pct"/>
                  <w:vAlign w:val="center"/>
                </w:tcPr>
                <w:p>
                  <w:pPr>
                    <w:autoSpaceDE w:val="0"/>
                    <w:autoSpaceDN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30</w:t>
                  </w:r>
                </w:p>
              </w:tc>
              <w:tc>
                <w:tcPr>
                  <w:tcW w:w="2711" w:type="dxa"/>
                  <w:vAlign w:val="center"/>
                </w:tcPr>
                <w:p>
                  <w:pPr>
                    <w:autoSpaceDE w:val="0"/>
                    <w:autoSpaceDN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常规污水处理设施排放口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81" w:type="pct"/>
                  <w:vAlign w:val="center"/>
                </w:tcPr>
                <w:p>
                  <w:pPr>
                    <w:autoSpaceDE w:val="0"/>
                    <w:autoSpaceDN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w:t>
                  </w:r>
                </w:p>
              </w:tc>
              <w:tc>
                <w:tcPr>
                  <w:tcW w:w="1491" w:type="pct"/>
                  <w:vAlign w:val="center"/>
                </w:tcPr>
                <w:p>
                  <w:pPr>
                    <w:autoSpaceDE w:val="0"/>
                    <w:autoSpaceDN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SS</w:t>
                  </w:r>
                </w:p>
              </w:tc>
              <w:tc>
                <w:tcPr>
                  <w:tcW w:w="1332" w:type="pct"/>
                  <w:vAlign w:val="center"/>
                </w:tcPr>
                <w:p>
                  <w:pPr>
                    <w:autoSpaceDE w:val="0"/>
                    <w:autoSpaceDN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30</w:t>
                  </w:r>
                </w:p>
              </w:tc>
              <w:tc>
                <w:tcPr>
                  <w:tcW w:w="2711" w:type="dxa"/>
                  <w:vAlign w:val="center"/>
                </w:tcPr>
                <w:p>
                  <w:pPr>
                    <w:autoSpaceDE w:val="0"/>
                    <w:autoSpaceDN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常规污水处理设施排放口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1" w:type="pct"/>
                  <w:vAlign w:val="center"/>
                </w:tcPr>
                <w:p>
                  <w:pPr>
                    <w:autoSpaceDE w:val="0"/>
                    <w:autoSpaceDN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w:t>
                  </w:r>
                </w:p>
              </w:tc>
              <w:tc>
                <w:tcPr>
                  <w:tcW w:w="1491" w:type="pct"/>
                  <w:vAlign w:val="center"/>
                </w:tcPr>
                <w:p>
                  <w:pPr>
                    <w:autoSpaceDE w:val="0"/>
                    <w:autoSpaceDN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总氮</w:t>
                  </w:r>
                </w:p>
              </w:tc>
              <w:tc>
                <w:tcPr>
                  <w:tcW w:w="1332" w:type="pct"/>
                  <w:vAlign w:val="center"/>
                </w:tcPr>
                <w:p>
                  <w:pPr>
                    <w:autoSpaceDE w:val="0"/>
                    <w:autoSpaceDN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40</w:t>
                  </w:r>
                </w:p>
              </w:tc>
              <w:tc>
                <w:tcPr>
                  <w:tcW w:w="2711" w:type="dxa"/>
                  <w:vAlign w:val="center"/>
                </w:tcPr>
                <w:p>
                  <w:pPr>
                    <w:autoSpaceDE w:val="0"/>
                    <w:autoSpaceDN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常规污水处理设施排放口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81" w:type="pct"/>
                  <w:vAlign w:val="center"/>
                </w:tcPr>
                <w:p>
                  <w:pPr>
                    <w:autoSpaceDE w:val="0"/>
                    <w:autoSpaceDN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w:t>
                  </w:r>
                </w:p>
              </w:tc>
              <w:tc>
                <w:tcPr>
                  <w:tcW w:w="1491" w:type="pct"/>
                  <w:vAlign w:val="center"/>
                </w:tcPr>
                <w:p>
                  <w:pPr>
                    <w:autoSpaceDE w:val="0"/>
                    <w:autoSpaceDN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氨氮</w:t>
                  </w:r>
                </w:p>
              </w:tc>
              <w:tc>
                <w:tcPr>
                  <w:tcW w:w="1332" w:type="pct"/>
                  <w:vAlign w:val="center"/>
                </w:tcPr>
                <w:p>
                  <w:pPr>
                    <w:autoSpaceDE w:val="0"/>
                    <w:autoSpaceDN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25</w:t>
                  </w:r>
                </w:p>
              </w:tc>
              <w:tc>
                <w:tcPr>
                  <w:tcW w:w="2711" w:type="dxa"/>
                  <w:vAlign w:val="center"/>
                </w:tcPr>
                <w:p>
                  <w:pPr>
                    <w:autoSpaceDE w:val="0"/>
                    <w:autoSpaceDN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常规污水处理设施排放口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81" w:type="pct"/>
                  <w:vAlign w:val="center"/>
                </w:tcPr>
                <w:p>
                  <w:pPr>
                    <w:autoSpaceDE w:val="0"/>
                    <w:autoSpaceDN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w:t>
                  </w:r>
                </w:p>
              </w:tc>
              <w:tc>
                <w:tcPr>
                  <w:tcW w:w="1491" w:type="pct"/>
                  <w:vAlign w:val="center"/>
                </w:tcPr>
                <w:p>
                  <w:pPr>
                    <w:autoSpaceDE w:val="0"/>
                    <w:autoSpaceDN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总磷</w:t>
                  </w:r>
                </w:p>
              </w:tc>
              <w:tc>
                <w:tcPr>
                  <w:tcW w:w="1332" w:type="pct"/>
                  <w:vAlign w:val="center"/>
                </w:tcPr>
                <w:p>
                  <w:pPr>
                    <w:autoSpaceDE w:val="0"/>
                    <w:autoSpaceDN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p>
              </w:tc>
              <w:tc>
                <w:tcPr>
                  <w:tcW w:w="2711" w:type="dxa"/>
                  <w:vAlign w:val="center"/>
                </w:tcPr>
                <w:p>
                  <w:pPr>
                    <w:autoSpaceDE w:val="0"/>
                    <w:autoSpaceDN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常规污水处理设施排放口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81" w:type="pct"/>
                  <w:vAlign w:val="center"/>
                </w:tcPr>
                <w:p>
                  <w:pPr>
                    <w:autoSpaceDE w:val="0"/>
                    <w:autoSpaceDN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w:t>
                  </w:r>
                </w:p>
              </w:tc>
              <w:tc>
                <w:tcPr>
                  <w:tcW w:w="1491" w:type="pct"/>
                  <w:vAlign w:val="center"/>
                </w:tcPr>
                <w:p>
                  <w:pPr>
                    <w:autoSpaceDE w:val="0"/>
                    <w:autoSpaceDN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粪大肠菌群数</w:t>
                  </w:r>
                </w:p>
              </w:tc>
              <w:tc>
                <w:tcPr>
                  <w:tcW w:w="1332" w:type="pct"/>
                  <w:vAlign w:val="center"/>
                </w:tcPr>
                <w:p>
                  <w:pPr>
                    <w:autoSpaceDE w:val="0"/>
                    <w:autoSpaceDN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10000</w:t>
                  </w:r>
                </w:p>
              </w:tc>
              <w:tc>
                <w:tcPr>
                  <w:tcW w:w="2711" w:type="dxa"/>
                  <w:vAlign w:val="center"/>
                </w:tcPr>
                <w:p>
                  <w:pPr>
                    <w:autoSpaceDE w:val="0"/>
                    <w:autoSpaceDN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常规污水处理设施排放口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81" w:type="pct"/>
                  <w:vAlign w:val="center"/>
                </w:tcPr>
                <w:p>
                  <w:pPr>
                    <w:autoSpaceDE w:val="0"/>
                    <w:autoSpaceDN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w:t>
                  </w:r>
                </w:p>
              </w:tc>
              <w:tc>
                <w:tcPr>
                  <w:tcW w:w="1491" w:type="pct"/>
                  <w:vAlign w:val="center"/>
                </w:tcPr>
                <w:p>
                  <w:pPr>
                    <w:autoSpaceDE w:val="0"/>
                    <w:autoSpaceDN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总汞</w:t>
                  </w:r>
                </w:p>
              </w:tc>
              <w:tc>
                <w:tcPr>
                  <w:tcW w:w="1332" w:type="pct"/>
                  <w:vAlign w:val="center"/>
                </w:tcPr>
                <w:p>
                  <w:pPr>
                    <w:autoSpaceDE w:val="0"/>
                    <w:autoSpaceDN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0.001</w:t>
                  </w:r>
                </w:p>
              </w:tc>
              <w:tc>
                <w:tcPr>
                  <w:tcW w:w="2711" w:type="dxa"/>
                  <w:vAlign w:val="center"/>
                </w:tcPr>
                <w:p>
                  <w:pPr>
                    <w:autoSpaceDE w:val="0"/>
                    <w:autoSpaceDN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常规污水处理设施排放口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81" w:type="pct"/>
                  <w:vAlign w:val="center"/>
                </w:tcPr>
                <w:p>
                  <w:pPr>
                    <w:autoSpaceDE w:val="0"/>
                    <w:autoSpaceDN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1491" w:type="pct"/>
                  <w:vAlign w:val="center"/>
                </w:tcPr>
                <w:p>
                  <w:pPr>
                    <w:autoSpaceDE w:val="0"/>
                    <w:autoSpaceDN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总镉</w:t>
                  </w:r>
                </w:p>
              </w:tc>
              <w:tc>
                <w:tcPr>
                  <w:tcW w:w="1332" w:type="pct"/>
                  <w:vAlign w:val="center"/>
                </w:tcPr>
                <w:p>
                  <w:pPr>
                    <w:autoSpaceDE w:val="0"/>
                    <w:autoSpaceDN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0.01</w:t>
                  </w:r>
                </w:p>
              </w:tc>
              <w:tc>
                <w:tcPr>
                  <w:tcW w:w="2711" w:type="dxa"/>
                  <w:vAlign w:val="center"/>
                </w:tcPr>
                <w:p>
                  <w:pPr>
                    <w:autoSpaceDE w:val="0"/>
                    <w:autoSpaceDN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常规污水处理设施排放口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81" w:type="pct"/>
                  <w:vAlign w:val="center"/>
                </w:tcPr>
                <w:p>
                  <w:pPr>
                    <w:autoSpaceDE w:val="0"/>
                    <w:autoSpaceDN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w:t>
                  </w:r>
                </w:p>
              </w:tc>
              <w:tc>
                <w:tcPr>
                  <w:tcW w:w="1491" w:type="pct"/>
                  <w:vAlign w:val="center"/>
                </w:tcPr>
                <w:p>
                  <w:pPr>
                    <w:autoSpaceDE w:val="0"/>
                    <w:autoSpaceDN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总铬</w:t>
                  </w:r>
                </w:p>
              </w:tc>
              <w:tc>
                <w:tcPr>
                  <w:tcW w:w="1332" w:type="pct"/>
                  <w:vAlign w:val="center"/>
                </w:tcPr>
                <w:p>
                  <w:pPr>
                    <w:autoSpaceDE w:val="0"/>
                    <w:autoSpaceDN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0.1</w:t>
                  </w:r>
                </w:p>
              </w:tc>
              <w:tc>
                <w:tcPr>
                  <w:tcW w:w="2711" w:type="dxa"/>
                  <w:vAlign w:val="center"/>
                </w:tcPr>
                <w:p>
                  <w:pPr>
                    <w:autoSpaceDE w:val="0"/>
                    <w:autoSpaceDN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常规污水处理设施排放口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81" w:type="pct"/>
                  <w:vAlign w:val="center"/>
                </w:tcPr>
                <w:p>
                  <w:pPr>
                    <w:autoSpaceDE w:val="0"/>
                    <w:autoSpaceDN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w:t>
                  </w:r>
                </w:p>
              </w:tc>
              <w:tc>
                <w:tcPr>
                  <w:tcW w:w="1491" w:type="pct"/>
                  <w:vAlign w:val="center"/>
                </w:tcPr>
                <w:p>
                  <w:pPr>
                    <w:autoSpaceDE w:val="0"/>
                    <w:autoSpaceDN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六价铬</w:t>
                  </w:r>
                </w:p>
              </w:tc>
              <w:tc>
                <w:tcPr>
                  <w:tcW w:w="1332" w:type="pct"/>
                  <w:vAlign w:val="center"/>
                </w:tcPr>
                <w:p>
                  <w:pPr>
                    <w:autoSpaceDE w:val="0"/>
                    <w:autoSpaceDN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0.05</w:t>
                  </w:r>
                </w:p>
              </w:tc>
              <w:tc>
                <w:tcPr>
                  <w:tcW w:w="2711" w:type="dxa"/>
                  <w:vAlign w:val="center"/>
                </w:tcPr>
                <w:p>
                  <w:pPr>
                    <w:autoSpaceDE w:val="0"/>
                    <w:autoSpaceDN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常规污水处理设施排放口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81" w:type="pct"/>
                  <w:vAlign w:val="center"/>
                </w:tcPr>
                <w:p>
                  <w:pPr>
                    <w:autoSpaceDE w:val="0"/>
                    <w:autoSpaceDN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w:t>
                  </w:r>
                </w:p>
              </w:tc>
              <w:tc>
                <w:tcPr>
                  <w:tcW w:w="1491" w:type="pct"/>
                  <w:vAlign w:val="center"/>
                </w:tcPr>
                <w:p>
                  <w:pPr>
                    <w:autoSpaceDE w:val="0"/>
                    <w:autoSpaceDN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总砷</w:t>
                  </w:r>
                </w:p>
              </w:tc>
              <w:tc>
                <w:tcPr>
                  <w:tcW w:w="1332" w:type="pct"/>
                  <w:vAlign w:val="center"/>
                </w:tcPr>
                <w:p>
                  <w:pPr>
                    <w:autoSpaceDE w:val="0"/>
                    <w:autoSpaceDN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0.1</w:t>
                  </w:r>
                </w:p>
              </w:tc>
              <w:tc>
                <w:tcPr>
                  <w:tcW w:w="2711" w:type="dxa"/>
                  <w:vAlign w:val="center"/>
                </w:tcPr>
                <w:p>
                  <w:pPr>
                    <w:autoSpaceDE w:val="0"/>
                    <w:autoSpaceDN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常规污水处理设施排放口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81" w:type="pct"/>
                  <w:vAlign w:val="center"/>
                </w:tcPr>
                <w:p>
                  <w:pPr>
                    <w:autoSpaceDE w:val="0"/>
                    <w:autoSpaceDN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14</w:t>
                  </w:r>
                </w:p>
              </w:tc>
              <w:tc>
                <w:tcPr>
                  <w:tcW w:w="1491" w:type="pct"/>
                  <w:vAlign w:val="center"/>
                </w:tcPr>
                <w:p>
                  <w:pPr>
                    <w:autoSpaceDE w:val="0"/>
                    <w:autoSpaceDN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总铅</w:t>
                  </w:r>
                </w:p>
              </w:tc>
              <w:tc>
                <w:tcPr>
                  <w:tcW w:w="1332" w:type="pct"/>
                  <w:vAlign w:val="center"/>
                </w:tcPr>
                <w:p>
                  <w:pPr>
                    <w:autoSpaceDE w:val="0"/>
                    <w:autoSpaceDN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0.1</w:t>
                  </w:r>
                </w:p>
              </w:tc>
              <w:tc>
                <w:tcPr>
                  <w:tcW w:w="2711" w:type="dxa"/>
                  <w:vAlign w:val="center"/>
                </w:tcPr>
                <w:p>
                  <w:pPr>
                    <w:autoSpaceDE w:val="0"/>
                    <w:autoSpaceDN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常规污水处理设施排放口</w:t>
                  </w:r>
                </w:p>
              </w:tc>
            </w:tr>
          </w:tbl>
          <w:p>
            <w:pPr>
              <w:pStyle w:val="68"/>
              <w:ind w:firstLine="0" w:firstLineChars="0"/>
              <w:rPr>
                <w:rFonts w:hint="default" w:ascii="Times New Roman" w:hAnsi="Times New Roman" w:cs="Times New Roman"/>
                <w:color w:val="auto"/>
                <w:szCs w:val="24"/>
              </w:rPr>
            </w:pPr>
            <w:r>
              <w:rPr>
                <w:rFonts w:hint="default" w:ascii="Times New Roman" w:hAnsi="Times New Roman" w:cs="Times New Roman"/>
                <w:color w:val="auto"/>
                <w:szCs w:val="24"/>
              </w:rPr>
              <w:t>3、噪声排放标准</w:t>
            </w:r>
          </w:p>
          <w:p>
            <w:pPr>
              <w:pStyle w:val="68"/>
              <w:spacing w:before="0"/>
              <w:ind w:firstLine="480"/>
              <w:rPr>
                <w:rFonts w:hint="default" w:ascii="Times New Roman" w:hAnsi="Times New Roman" w:cs="Times New Roman"/>
                <w:b w:val="0"/>
                <w:bCs/>
                <w:color w:val="auto"/>
              </w:rPr>
            </w:pPr>
            <w:r>
              <w:rPr>
                <w:rFonts w:hint="default" w:ascii="Times New Roman" w:hAnsi="Times New Roman" w:cs="Times New Roman"/>
                <w:b w:val="0"/>
                <w:bCs/>
                <w:color w:val="auto"/>
              </w:rPr>
              <w:t>施工期噪声执行《建筑施工场界环境噪声排放标准》(GB12523-2011)表1建筑施工场界环境噪声排放限值，标准值见表4-1</w:t>
            </w:r>
            <w:r>
              <w:rPr>
                <w:rFonts w:hint="default" w:ascii="Times New Roman" w:hAnsi="Times New Roman" w:cs="Times New Roman"/>
                <w:b w:val="0"/>
                <w:bCs/>
                <w:color w:val="auto"/>
                <w:lang w:val="en-US" w:eastAsia="zh-CN"/>
              </w:rPr>
              <w:t>1</w:t>
            </w:r>
            <w:r>
              <w:rPr>
                <w:rFonts w:hint="default" w:ascii="Times New Roman" w:hAnsi="Times New Roman" w:cs="Times New Roman"/>
                <w:b w:val="0"/>
                <w:bCs/>
                <w:color w:val="auto"/>
              </w:rPr>
              <w:t>。</w:t>
            </w:r>
          </w:p>
          <w:p>
            <w:pPr>
              <w:adjustRightInd/>
              <w:spacing w:before="156" w:beforeLines="50" w:line="240" w:lineRule="auto"/>
              <w:jc w:val="center"/>
              <w:textAlignment w:val="auto"/>
              <w:rPr>
                <w:rFonts w:hint="default" w:ascii="Times New Roman" w:hAnsi="Times New Roman" w:cs="Times New Roman"/>
                <w:b/>
                <w:color w:val="auto"/>
                <w:kern w:val="2"/>
                <w:sz w:val="24"/>
                <w:szCs w:val="24"/>
              </w:rPr>
            </w:pPr>
            <w:r>
              <w:rPr>
                <w:rFonts w:hint="default" w:ascii="Times New Roman" w:hAnsi="Times New Roman" w:cs="Times New Roman"/>
                <w:b/>
                <w:color w:val="auto"/>
                <w:kern w:val="2"/>
                <w:sz w:val="24"/>
                <w:szCs w:val="24"/>
              </w:rPr>
              <w:t>表4-1</w:t>
            </w:r>
            <w:r>
              <w:rPr>
                <w:rFonts w:hint="default" w:ascii="Times New Roman" w:hAnsi="Times New Roman" w:cs="Times New Roman"/>
                <w:b/>
                <w:color w:val="auto"/>
                <w:kern w:val="2"/>
                <w:sz w:val="24"/>
                <w:szCs w:val="24"/>
                <w:lang w:val="en-US" w:eastAsia="zh-CN"/>
              </w:rPr>
              <w:t>1</w:t>
            </w:r>
            <w:r>
              <w:rPr>
                <w:rFonts w:hint="default" w:ascii="Times New Roman" w:hAnsi="Times New Roman" w:cs="Times New Roman"/>
                <w:b/>
                <w:color w:val="auto"/>
                <w:kern w:val="2"/>
                <w:sz w:val="24"/>
                <w:szCs w:val="24"/>
              </w:rPr>
              <w:t>建筑施工场界坏境噪声排放标准</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094"/>
              <w:gridCol w:w="1956"/>
              <w:gridCol w:w="195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58" w:type="pct"/>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1222" w:type="pct"/>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昼间dB(A)</w:t>
                  </w:r>
                </w:p>
              </w:tc>
              <w:tc>
                <w:tcPr>
                  <w:tcW w:w="1219" w:type="pct"/>
                  <w:vAlign w:val="center"/>
                </w:tcPr>
                <w:p>
                  <w:pPr>
                    <w:spacing w:line="240" w:lineRule="auto"/>
                    <w:ind w:right="-106"/>
                    <w:jc w:val="center"/>
                    <w:rPr>
                      <w:rFonts w:hint="default" w:ascii="Times New Roman" w:hAnsi="Times New Roman" w:cs="Times New Roman"/>
                      <w:color w:val="auto"/>
                      <w:szCs w:val="21"/>
                    </w:rPr>
                  </w:pPr>
                  <w:r>
                    <w:rPr>
                      <w:rFonts w:hint="default" w:ascii="Times New Roman" w:hAnsi="Times New Roman" w:cs="Times New Roman"/>
                      <w:color w:val="auto"/>
                      <w:szCs w:val="21"/>
                    </w:rPr>
                    <w:t>夜间dB(A)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58" w:type="pct"/>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《建筑施工场界环境噪声排放标准》(GB12523-2011)</w:t>
                  </w:r>
                </w:p>
              </w:tc>
              <w:tc>
                <w:tcPr>
                  <w:tcW w:w="1222" w:type="pct"/>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70</w:t>
                  </w:r>
                </w:p>
              </w:tc>
              <w:tc>
                <w:tcPr>
                  <w:tcW w:w="1219" w:type="pct"/>
                  <w:vAlign w:val="center"/>
                </w:tcPr>
                <w:p>
                  <w:pPr>
                    <w:spacing w:line="240" w:lineRule="auto"/>
                    <w:ind w:right="-106"/>
                    <w:jc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r>
          </w:tbl>
          <w:p>
            <w:pPr>
              <w:pStyle w:val="68"/>
              <w:adjustRightInd w:val="0"/>
              <w:snapToGrid w:val="0"/>
              <w:spacing w:before="0"/>
              <w:ind w:firstLine="480"/>
              <w:rPr>
                <w:rFonts w:hint="default" w:ascii="Times New Roman" w:hAnsi="Times New Roman" w:cs="Times New Roman"/>
                <w:b w:val="0"/>
                <w:bCs/>
                <w:color w:val="auto"/>
              </w:rPr>
            </w:pPr>
            <w:r>
              <w:rPr>
                <w:rFonts w:hint="default" w:ascii="Times New Roman" w:hAnsi="Times New Roman" w:cs="Times New Roman"/>
                <w:b w:val="0"/>
                <w:bCs/>
                <w:color w:val="auto"/>
              </w:rPr>
              <w:t>运营期噪声排放执行《工业企业厂界环境噪声排放标准》（GB12348-2008）中的2类标准要求详见表4-1</w:t>
            </w:r>
            <w:r>
              <w:rPr>
                <w:rFonts w:hint="default" w:ascii="Times New Roman" w:hAnsi="Times New Roman" w:cs="Times New Roman"/>
                <w:b w:val="0"/>
                <w:bCs/>
                <w:color w:val="auto"/>
                <w:lang w:val="en-US" w:eastAsia="zh-CN"/>
              </w:rPr>
              <w:t>2</w:t>
            </w:r>
            <w:r>
              <w:rPr>
                <w:rFonts w:hint="default" w:ascii="Times New Roman" w:hAnsi="Times New Roman" w:cs="Times New Roman"/>
                <w:b w:val="0"/>
                <w:bCs/>
                <w:color w:val="auto"/>
              </w:rPr>
              <w:t>。</w:t>
            </w:r>
          </w:p>
          <w:p>
            <w:pPr>
              <w:snapToGrid w:val="0"/>
              <w:spacing w:line="240" w:lineRule="auto"/>
              <w:jc w:val="center"/>
              <w:textAlignment w:val="auto"/>
              <w:rPr>
                <w:rFonts w:hint="default" w:ascii="Times New Roman" w:hAnsi="Times New Roman" w:cs="Times New Roman"/>
                <w:b/>
                <w:color w:val="auto"/>
                <w:kern w:val="2"/>
                <w:sz w:val="24"/>
                <w:szCs w:val="24"/>
              </w:rPr>
            </w:pPr>
            <w:r>
              <w:rPr>
                <w:rFonts w:hint="default" w:ascii="Times New Roman" w:hAnsi="Times New Roman" w:cs="Times New Roman"/>
                <w:b/>
                <w:color w:val="auto"/>
                <w:kern w:val="2"/>
                <w:sz w:val="24"/>
                <w:szCs w:val="24"/>
              </w:rPr>
              <w:t>表4-1</w:t>
            </w:r>
            <w:r>
              <w:rPr>
                <w:rFonts w:hint="default" w:ascii="Times New Roman" w:hAnsi="Times New Roman" w:cs="Times New Roman"/>
                <w:b/>
                <w:color w:val="auto"/>
                <w:kern w:val="2"/>
                <w:sz w:val="24"/>
                <w:szCs w:val="24"/>
                <w:lang w:val="en-US" w:eastAsia="zh-CN"/>
              </w:rPr>
              <w:t>2</w:t>
            </w:r>
            <w:r>
              <w:rPr>
                <w:rFonts w:hint="default" w:ascii="Times New Roman" w:hAnsi="Times New Roman" w:cs="Times New Roman"/>
                <w:b/>
                <w:color w:val="auto"/>
                <w:kern w:val="2"/>
                <w:sz w:val="24"/>
                <w:szCs w:val="24"/>
              </w:rPr>
              <w:t>工业企业厂界坏境噪声排放标准</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094"/>
              <w:gridCol w:w="1956"/>
              <w:gridCol w:w="195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58" w:type="pct"/>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1222" w:type="pct"/>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昼间dB(A)</w:t>
                  </w:r>
                </w:p>
              </w:tc>
              <w:tc>
                <w:tcPr>
                  <w:tcW w:w="1219" w:type="pct"/>
                  <w:vAlign w:val="center"/>
                </w:tcPr>
                <w:p>
                  <w:pPr>
                    <w:spacing w:line="240" w:lineRule="auto"/>
                    <w:ind w:right="-106"/>
                    <w:jc w:val="center"/>
                    <w:rPr>
                      <w:rFonts w:hint="default" w:ascii="Times New Roman" w:hAnsi="Times New Roman" w:cs="Times New Roman"/>
                      <w:color w:val="auto"/>
                      <w:szCs w:val="21"/>
                    </w:rPr>
                  </w:pPr>
                  <w:r>
                    <w:rPr>
                      <w:rFonts w:hint="default" w:ascii="Times New Roman" w:hAnsi="Times New Roman" w:cs="Times New Roman"/>
                      <w:color w:val="auto"/>
                      <w:szCs w:val="21"/>
                    </w:rPr>
                    <w:t>夜间dB(A)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58" w:type="pct"/>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《工业企业厂界环境噪声排放标准》</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（GB12348-2008）2类</w:t>
                  </w:r>
                </w:p>
              </w:tc>
              <w:tc>
                <w:tcPr>
                  <w:tcW w:w="1222" w:type="pct"/>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1219" w:type="pct"/>
                  <w:vAlign w:val="center"/>
                </w:tcPr>
                <w:p>
                  <w:pPr>
                    <w:spacing w:line="240" w:lineRule="auto"/>
                    <w:ind w:right="-106"/>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r>
          </w:tbl>
          <w:p>
            <w:pPr>
              <w:pStyle w:val="68"/>
              <w:ind w:firstLine="0" w:firstLineChars="0"/>
              <w:rPr>
                <w:rFonts w:hint="default" w:ascii="Times New Roman" w:hAnsi="Times New Roman" w:cs="Times New Roman"/>
                <w:color w:val="auto"/>
                <w:szCs w:val="24"/>
              </w:rPr>
            </w:pPr>
            <w:r>
              <w:rPr>
                <w:rFonts w:hint="default" w:ascii="Times New Roman" w:hAnsi="Times New Roman" w:cs="Times New Roman"/>
                <w:color w:val="auto"/>
                <w:szCs w:val="24"/>
              </w:rPr>
              <w:t>4、固体废物</w:t>
            </w:r>
          </w:p>
          <w:p>
            <w:pPr>
              <w:spacing w:line="500" w:lineRule="exact"/>
              <w:ind w:firstLine="480"/>
              <w:jc w:val="both"/>
              <w:rPr>
                <w:rFonts w:hint="default" w:ascii="Times New Roman" w:hAnsi="Times New Roman" w:eastAsia="宋体" w:cs="Times New Roman"/>
                <w:b w:val="0"/>
                <w:bCs/>
                <w:color w:val="auto"/>
                <w:sz w:val="24"/>
                <w:szCs w:val="22"/>
                <w:lang w:val="en-US" w:eastAsia="zh-CN" w:bidi="ar-SA"/>
              </w:rPr>
            </w:pPr>
            <w:r>
              <w:rPr>
                <w:rFonts w:hint="default" w:ascii="Times New Roman" w:hAnsi="Times New Roman" w:eastAsia="宋体" w:cs="Times New Roman"/>
                <w:b w:val="0"/>
                <w:bCs/>
                <w:color w:val="auto"/>
                <w:sz w:val="24"/>
                <w:szCs w:val="22"/>
                <w:lang w:val="en-US" w:eastAsia="zh-CN" w:bidi="ar-SA"/>
              </w:rPr>
              <w:t>一般工业废物执行《一般工业固体废物贮存、处置场污染控制标准》（GB18599-2001）及其修改单（环保部 2013年 36号公告）。危险废物执行《危险废物贮存污染控制标准》（GB18597-2001）及2013年修改单。</w:t>
            </w:r>
          </w:p>
          <w:p>
            <w:pPr>
              <w:pStyle w:val="68"/>
              <w:ind w:left="0" w:leftChars="0" w:firstLine="0" w:firstLineChars="0"/>
              <w:rPr>
                <w:rFonts w:hint="default" w:ascii="Times New Roman" w:hAnsi="Times New Roman" w:cs="Times New Roman"/>
                <w:b w:val="0"/>
                <w:bCs/>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11" w:hRule="atLeast"/>
          <w:jc w:val="center"/>
        </w:trPr>
        <w:tc>
          <w:tcPr>
            <w:tcW w:w="730" w:type="dxa"/>
          </w:tcPr>
          <w:p>
            <w:pPr>
              <w:spacing w:line="360" w:lineRule="auto"/>
              <w:jc w:val="center"/>
              <w:rPr>
                <w:rFonts w:hint="default" w:ascii="Times New Roman" w:hAnsi="Times New Roman" w:cs="Times New Roman"/>
                <w:b/>
                <w:color w:val="auto"/>
                <w:sz w:val="24"/>
              </w:rPr>
            </w:pPr>
            <w:r>
              <w:rPr>
                <w:rFonts w:hint="default" w:ascii="Times New Roman" w:hAnsi="Times New Roman" w:cs="Times New Roman"/>
                <w:color w:val="auto"/>
                <w:sz w:val="28"/>
              </w:rPr>
              <w:t>总量控制指标</w:t>
            </w:r>
          </w:p>
        </w:tc>
        <w:tc>
          <w:tcPr>
            <w:tcW w:w="8217" w:type="dxa"/>
          </w:tcPr>
          <w:p>
            <w:pPr>
              <w:snapToGrid w:val="0"/>
              <w:spacing w:line="360" w:lineRule="auto"/>
              <w:ind w:firstLine="480" w:firstLineChars="200"/>
              <w:rPr>
                <w:rFonts w:hint="default" w:ascii="Times New Roman" w:hAnsi="Times New Roman" w:cs="Times New Roman"/>
                <w:bCs/>
                <w:color w:val="auto"/>
                <w:sz w:val="24"/>
                <w:szCs w:val="24"/>
              </w:rPr>
            </w:pPr>
            <w:r>
              <w:rPr>
                <w:rFonts w:hint="eastAsia" w:cs="Times New Roman"/>
                <w:bCs/>
                <w:color w:val="auto"/>
                <w:sz w:val="24"/>
                <w:szCs w:val="24"/>
                <w:lang w:val="en-US" w:eastAsia="zh-CN"/>
              </w:rPr>
              <w:t>项目总量指标及三本帐见下表</w:t>
            </w:r>
            <w:r>
              <w:rPr>
                <w:rFonts w:hint="default" w:ascii="Times New Roman" w:hAnsi="Times New Roman" w:cs="Times New Roman"/>
                <w:bCs/>
                <w:color w:val="auto"/>
                <w:sz w:val="24"/>
                <w:szCs w:val="24"/>
              </w:rPr>
              <w:t>。</w:t>
            </w:r>
          </w:p>
          <w:p>
            <w:pPr>
              <w:jc w:val="center"/>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表4-1</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rPr>
              <w:t xml:space="preserve"> 项目“三本账一览表</w:t>
            </w:r>
          </w:p>
          <w:tbl>
            <w:tblPr>
              <w:tblStyle w:val="36"/>
              <w:tblW w:w="0" w:type="auto"/>
              <w:tblInd w:w="0" w:type="dxa"/>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435"/>
              <w:gridCol w:w="1258"/>
              <w:gridCol w:w="1105"/>
              <w:gridCol w:w="1095"/>
              <w:gridCol w:w="1160"/>
              <w:gridCol w:w="1368"/>
              <w:gridCol w:w="920"/>
            </w:tblGrid>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5" w:type="dxa"/>
                  <w:gridSpan w:val="2"/>
                  <w:tcBorders>
                    <w:bottom w:val="nil"/>
                    <w:right w:val="nil"/>
                    <w:tl2br w:val="nil"/>
                    <w:tr2bl w:val="nil"/>
                  </w:tcBorders>
                  <w:vAlign w:val="center"/>
                </w:tcPr>
                <w:p>
                  <w:pPr>
                    <w:jc w:val="center"/>
                    <w:rPr>
                      <w:rFonts w:hint="default" w:ascii="Times New Roman" w:hAnsi="Times New Roman" w:eastAsia="Times New Roman" w:cs="Times New Roman"/>
                      <w:i/>
                      <w:iCs w:val="0"/>
                      <w:color w:val="auto"/>
                    </w:rPr>
                  </w:pPr>
                  <w:r>
                    <w:rPr>
                      <w:rFonts w:hint="default" w:ascii="Times New Roman" w:hAnsi="Times New Roman" w:eastAsia="Times New Roman" w:cs="Times New Roman"/>
                      <w:i w:val="0"/>
                      <w:iCs/>
                      <w:color w:val="auto"/>
                    </w:rPr>
                    <w:t>污染物名称</w:t>
                  </w:r>
                </w:p>
              </w:tc>
              <w:tc>
                <w:tcPr>
                  <w:tcW w:w="1258" w:type="dxa"/>
                  <w:tcBorders>
                    <w:bottom w:val="nil"/>
                    <w:tl2br w:val="nil"/>
                    <w:tr2bl w:val="nil"/>
                  </w:tcBorders>
                  <w:vAlign w:val="center"/>
                </w:tcPr>
                <w:p>
                  <w:pPr>
                    <w:jc w:val="center"/>
                    <w:rPr>
                      <w:rFonts w:hint="default" w:ascii="Times New Roman" w:hAnsi="Times New Roman" w:eastAsia="宋体" w:cs="Times New Roman"/>
                      <w:i w:val="0"/>
                      <w:iCs/>
                      <w:color w:val="auto"/>
                      <w:lang w:val="en-US" w:eastAsia="zh-CN"/>
                    </w:rPr>
                  </w:pPr>
                  <w:r>
                    <w:rPr>
                      <w:rFonts w:hint="eastAsia" w:eastAsia="宋体" w:cs="Times New Roman"/>
                      <w:i w:val="0"/>
                      <w:iCs/>
                      <w:color w:val="auto"/>
                      <w:lang w:val="en-US" w:eastAsia="zh-CN"/>
                    </w:rPr>
                    <w:t>现有工程排放量</w:t>
                  </w:r>
                </w:p>
              </w:tc>
              <w:tc>
                <w:tcPr>
                  <w:tcW w:w="1105" w:type="dxa"/>
                  <w:tcBorders>
                    <w:bottom w:val="nil"/>
                    <w:tl2br w:val="nil"/>
                    <w:tr2bl w:val="nil"/>
                  </w:tcBorders>
                  <w:vAlign w:val="center"/>
                </w:tcPr>
                <w:p>
                  <w:pPr>
                    <w:jc w:val="center"/>
                    <w:rPr>
                      <w:rFonts w:hint="default" w:ascii="Times New Roman" w:hAnsi="Times New Roman" w:eastAsia="宋体" w:cs="Times New Roman"/>
                      <w:i/>
                      <w:iCs w:val="0"/>
                      <w:color w:val="auto"/>
                      <w:kern w:val="2"/>
                      <w:szCs w:val="21"/>
                      <w:lang w:val="en-US" w:eastAsia="zh-CN"/>
                    </w:rPr>
                  </w:pPr>
                  <w:r>
                    <w:rPr>
                      <w:rFonts w:hint="eastAsia" w:eastAsia="宋体" w:cs="Times New Roman"/>
                      <w:i w:val="0"/>
                      <w:iCs/>
                      <w:color w:val="auto"/>
                      <w:lang w:val="en-US" w:eastAsia="zh-CN"/>
                    </w:rPr>
                    <w:t>本次核定排放量</w:t>
                  </w:r>
                </w:p>
              </w:tc>
              <w:tc>
                <w:tcPr>
                  <w:tcW w:w="1095" w:type="dxa"/>
                  <w:tcBorders>
                    <w:bottom w:val="nil"/>
                    <w:tl2br w:val="nil"/>
                    <w:tr2bl w:val="nil"/>
                  </w:tcBorders>
                  <w:vAlign w:val="center"/>
                </w:tcPr>
                <w:p>
                  <w:pPr>
                    <w:jc w:val="center"/>
                    <w:rPr>
                      <w:rFonts w:hint="default" w:ascii="Times New Roman" w:hAnsi="Times New Roman" w:eastAsia="宋体" w:cs="Times New Roman"/>
                      <w:i/>
                      <w:iCs w:val="0"/>
                      <w:color w:val="auto"/>
                      <w:kern w:val="2"/>
                      <w:szCs w:val="21"/>
                      <w:lang w:val="en-US" w:eastAsia="zh-CN"/>
                    </w:rPr>
                  </w:pPr>
                  <w:r>
                    <w:rPr>
                      <w:rFonts w:hint="eastAsia" w:eastAsia="宋体" w:cs="Times New Roman"/>
                      <w:i w:val="0"/>
                      <w:iCs/>
                      <w:color w:val="auto"/>
                      <w:lang w:val="en-US" w:eastAsia="zh-CN"/>
                    </w:rPr>
                    <w:t>本次排放量</w:t>
                  </w:r>
                </w:p>
              </w:tc>
              <w:tc>
                <w:tcPr>
                  <w:tcW w:w="1160" w:type="dxa"/>
                  <w:tcBorders>
                    <w:bottom w:val="nil"/>
                    <w:tl2br w:val="nil"/>
                    <w:tr2bl w:val="nil"/>
                  </w:tcBorders>
                  <w:vAlign w:val="center"/>
                </w:tcPr>
                <w:p>
                  <w:pPr>
                    <w:jc w:val="center"/>
                    <w:rPr>
                      <w:rFonts w:hint="default" w:ascii="Times New Roman" w:hAnsi="Times New Roman" w:eastAsia="宋体" w:cs="Times New Roman"/>
                      <w:i/>
                      <w:iCs w:val="0"/>
                      <w:color w:val="auto"/>
                      <w:kern w:val="2"/>
                      <w:szCs w:val="21"/>
                      <w:lang w:val="en-US" w:eastAsia="zh-CN"/>
                    </w:rPr>
                  </w:pPr>
                  <w:r>
                    <w:rPr>
                      <w:rFonts w:hint="eastAsia" w:eastAsia="宋体" w:cs="Times New Roman"/>
                      <w:i w:val="0"/>
                      <w:iCs/>
                      <w:color w:val="auto"/>
                      <w:lang w:eastAsia="zh-CN"/>
                    </w:rPr>
                    <w:t>“</w:t>
                  </w:r>
                  <w:r>
                    <w:rPr>
                      <w:rFonts w:hint="eastAsia" w:eastAsia="宋体" w:cs="Times New Roman"/>
                      <w:i w:val="0"/>
                      <w:iCs/>
                      <w:color w:val="auto"/>
                      <w:lang w:val="en-US" w:eastAsia="zh-CN"/>
                    </w:rPr>
                    <w:t>以新带老</w:t>
                  </w:r>
                  <w:r>
                    <w:rPr>
                      <w:rFonts w:hint="eastAsia" w:eastAsia="宋体" w:cs="Times New Roman"/>
                      <w:i w:val="0"/>
                      <w:iCs/>
                      <w:color w:val="auto"/>
                      <w:lang w:eastAsia="zh-CN"/>
                    </w:rPr>
                    <w:t>”</w:t>
                  </w:r>
                  <w:r>
                    <w:rPr>
                      <w:rFonts w:hint="eastAsia" w:eastAsia="宋体" w:cs="Times New Roman"/>
                      <w:i w:val="0"/>
                      <w:iCs/>
                      <w:color w:val="auto"/>
                      <w:lang w:val="en-US" w:eastAsia="zh-CN"/>
                    </w:rPr>
                    <w:t>削减量</w:t>
                  </w:r>
                </w:p>
              </w:tc>
              <w:tc>
                <w:tcPr>
                  <w:tcW w:w="1368" w:type="dxa"/>
                  <w:tcBorders>
                    <w:bottom w:val="nil"/>
                    <w:tl2br w:val="nil"/>
                    <w:tr2bl w:val="nil"/>
                  </w:tcBorders>
                  <w:vAlign w:val="center"/>
                </w:tcPr>
                <w:p>
                  <w:pPr>
                    <w:jc w:val="center"/>
                    <w:rPr>
                      <w:rFonts w:hint="default" w:ascii="Times New Roman" w:hAnsi="Times New Roman" w:eastAsia="宋体" w:cs="Times New Roman"/>
                      <w:i/>
                      <w:iCs w:val="0"/>
                      <w:color w:val="auto"/>
                      <w:kern w:val="2"/>
                      <w:szCs w:val="21"/>
                      <w:lang w:val="en-US" w:eastAsia="zh-CN"/>
                    </w:rPr>
                  </w:pPr>
                  <w:r>
                    <w:rPr>
                      <w:rFonts w:hint="eastAsia" w:eastAsia="宋体" w:cs="Times New Roman"/>
                      <w:i w:val="0"/>
                      <w:iCs/>
                      <w:color w:val="auto"/>
                      <w:lang w:val="en-US" w:eastAsia="zh-CN"/>
                    </w:rPr>
                    <w:t>总排放量</w:t>
                  </w:r>
                </w:p>
              </w:tc>
              <w:tc>
                <w:tcPr>
                  <w:tcW w:w="920" w:type="dxa"/>
                  <w:tcBorders>
                    <w:bottom w:val="nil"/>
                    <w:tl2br w:val="nil"/>
                    <w:tr2bl w:val="nil"/>
                  </w:tcBorders>
                  <w:vAlign w:val="center"/>
                </w:tcPr>
                <w:p>
                  <w:pPr>
                    <w:rPr>
                      <w:rFonts w:hint="default" w:ascii="Times New Roman" w:hAnsi="Times New Roman" w:eastAsia="Times New Roman" w:cs="Times New Roman"/>
                      <w:i/>
                      <w:iCs w:val="0"/>
                      <w:color w:val="auto"/>
                      <w:kern w:val="2"/>
                      <w:szCs w:val="21"/>
                    </w:rPr>
                  </w:pPr>
                  <w:r>
                    <w:rPr>
                      <w:rFonts w:hint="default" w:ascii="Times New Roman" w:hAnsi="Times New Roman" w:eastAsia="Times New Roman" w:cs="Times New Roman"/>
                      <w:i w:val="0"/>
                      <w:iCs/>
                      <w:color w:val="auto"/>
                    </w:rPr>
                    <w:t>增减量</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0" w:type="dxa"/>
                  <w:tcBorders>
                    <w:right w:val="nil"/>
                    <w:tl2br w:val="nil"/>
                    <w:tr2bl w:val="nil"/>
                  </w:tcBorders>
                  <w:vAlign w:val="center"/>
                </w:tcPr>
                <w:p>
                  <w:pPr>
                    <w:jc w:val="center"/>
                    <w:rPr>
                      <w:rFonts w:hint="default" w:ascii="Times New Roman" w:hAnsi="Times New Roman" w:eastAsia="Times New Roman" w:cs="Times New Roman"/>
                      <w:iCs/>
                      <w:color w:val="auto"/>
                    </w:rPr>
                  </w:pPr>
                  <w:r>
                    <w:rPr>
                      <w:rFonts w:hint="default" w:ascii="Times New Roman" w:hAnsi="Times New Roman" w:eastAsia="Times New Roman" w:cs="Times New Roman"/>
                      <w:iCs/>
                      <w:color w:val="auto"/>
                    </w:rPr>
                    <w:t>COD</w:t>
                  </w:r>
                </w:p>
              </w:tc>
              <w:tc>
                <w:tcPr>
                  <w:tcW w:w="435" w:type="dxa"/>
                  <w:vAlign w:val="center"/>
                </w:tcPr>
                <w:p>
                  <w:pPr>
                    <w:jc w:val="center"/>
                    <w:rPr>
                      <w:rFonts w:hint="default" w:ascii="Times New Roman" w:hAnsi="Times New Roman" w:eastAsia="Times New Roman" w:cs="Times New Roman"/>
                      <w:iCs/>
                      <w:color w:val="auto"/>
                    </w:rPr>
                  </w:pPr>
                  <w:r>
                    <w:rPr>
                      <w:rFonts w:hint="default" w:ascii="Times New Roman" w:hAnsi="Times New Roman" w:eastAsia="Times New Roman" w:cs="Times New Roman"/>
                      <w:iCs/>
                      <w:color w:val="auto"/>
                    </w:rPr>
                    <w:t>t/a</w:t>
                  </w:r>
                </w:p>
              </w:tc>
              <w:tc>
                <w:tcPr>
                  <w:tcW w:w="1258" w:type="dxa"/>
                  <w:vAlign w:val="center"/>
                </w:tcPr>
                <w:p>
                  <w:pPr>
                    <w:jc w:val="center"/>
                    <w:rPr>
                      <w:rFonts w:hint="default" w:ascii="Times New Roman" w:hAnsi="Times New Roman" w:eastAsia="宋体" w:cs="Times New Roman"/>
                      <w:iCs/>
                      <w:color w:val="auto"/>
                      <w:lang w:val="en-US" w:eastAsia="zh-CN"/>
                    </w:rPr>
                  </w:pPr>
                  <w:r>
                    <w:rPr>
                      <w:rFonts w:hint="eastAsia" w:eastAsia="宋体" w:cs="Times New Roman"/>
                      <w:iCs/>
                      <w:color w:val="auto"/>
                      <w:lang w:val="en-US" w:eastAsia="zh-CN"/>
                    </w:rPr>
                    <w:t>0.97</w:t>
                  </w:r>
                </w:p>
              </w:tc>
              <w:tc>
                <w:tcPr>
                  <w:tcW w:w="1105" w:type="dxa"/>
                  <w:vAlign w:val="center"/>
                </w:tcPr>
                <w:p>
                  <w:pPr>
                    <w:jc w:val="center"/>
                    <w:rPr>
                      <w:rFonts w:hint="default" w:ascii="Times New Roman" w:hAnsi="Times New Roman" w:cs="Times New Roman" w:eastAsiaTheme="minorEastAsia"/>
                      <w:color w:val="auto"/>
                      <w:kern w:val="2"/>
                      <w:szCs w:val="21"/>
                      <w:lang w:val="en-US" w:eastAsia="zh-CN"/>
                    </w:rPr>
                  </w:pPr>
                  <w:r>
                    <w:rPr>
                      <w:rFonts w:hint="eastAsia" w:cs="Times New Roman" w:eastAsiaTheme="minorEastAsia"/>
                      <w:color w:val="auto"/>
                      <w:kern w:val="2"/>
                      <w:szCs w:val="21"/>
                      <w:lang w:val="en-US" w:eastAsia="zh-CN"/>
                    </w:rPr>
                    <w:t>5.84</w:t>
                  </w:r>
                </w:p>
              </w:tc>
              <w:tc>
                <w:tcPr>
                  <w:tcW w:w="1095" w:type="dxa"/>
                  <w:vAlign w:val="center"/>
                </w:tcPr>
                <w:p>
                  <w:pPr>
                    <w:jc w:val="center"/>
                    <w:rPr>
                      <w:rFonts w:hint="default" w:ascii="Times New Roman" w:hAnsi="Times New Roman" w:eastAsia="Times New Roman" w:cs="Times New Roman"/>
                      <w:color w:val="auto"/>
                      <w:kern w:val="2"/>
                      <w:szCs w:val="21"/>
                    </w:rPr>
                  </w:pPr>
                  <w:r>
                    <w:rPr>
                      <w:rFonts w:hint="eastAsia" w:cs="Times New Roman" w:eastAsiaTheme="minorEastAsia"/>
                      <w:color w:val="auto"/>
                      <w:lang w:val="en-US" w:eastAsia="zh-CN"/>
                    </w:rPr>
                    <w:t>2.62</w:t>
                  </w:r>
                </w:p>
              </w:tc>
              <w:tc>
                <w:tcPr>
                  <w:tcW w:w="1160" w:type="dxa"/>
                  <w:vAlign w:val="center"/>
                </w:tcPr>
                <w:p>
                  <w:pPr>
                    <w:jc w:val="center"/>
                    <w:rPr>
                      <w:rFonts w:hint="default" w:ascii="Times New Roman" w:hAnsi="Times New Roman" w:cs="Times New Roman" w:eastAsiaTheme="minorEastAsia"/>
                      <w:color w:val="auto"/>
                      <w:kern w:val="2"/>
                      <w:szCs w:val="21"/>
                      <w:lang w:val="en-US" w:eastAsia="zh-CN"/>
                    </w:rPr>
                  </w:pPr>
                  <w:r>
                    <w:rPr>
                      <w:rFonts w:hint="eastAsia" w:cs="Times New Roman" w:eastAsiaTheme="minorEastAsia"/>
                      <w:color w:val="auto"/>
                      <w:lang w:val="en-US" w:eastAsia="zh-CN"/>
                    </w:rPr>
                    <w:t>0.74</w:t>
                  </w:r>
                </w:p>
              </w:tc>
              <w:tc>
                <w:tcPr>
                  <w:tcW w:w="1368" w:type="dxa"/>
                  <w:vAlign w:val="center"/>
                </w:tcPr>
                <w:p>
                  <w:pPr>
                    <w:jc w:val="center"/>
                    <w:rPr>
                      <w:rFonts w:hint="default" w:ascii="Times New Roman" w:hAnsi="Times New Roman" w:cs="Times New Roman" w:eastAsiaTheme="minorEastAsia"/>
                      <w:color w:val="auto"/>
                      <w:kern w:val="2"/>
                      <w:szCs w:val="21"/>
                      <w:lang w:val="en-US" w:eastAsia="zh-CN"/>
                    </w:rPr>
                  </w:pPr>
                  <w:r>
                    <w:rPr>
                      <w:rFonts w:hint="eastAsia" w:cs="Times New Roman" w:eastAsiaTheme="minorEastAsia"/>
                      <w:color w:val="auto"/>
                      <w:kern w:val="2"/>
                      <w:szCs w:val="21"/>
                      <w:lang w:val="en-US" w:eastAsia="zh-CN"/>
                    </w:rPr>
                    <w:t>2.85</w:t>
                  </w:r>
                </w:p>
              </w:tc>
              <w:tc>
                <w:tcPr>
                  <w:tcW w:w="920" w:type="dxa"/>
                  <w:vAlign w:val="center"/>
                </w:tcPr>
                <w:p>
                  <w:pPr>
                    <w:jc w:val="center"/>
                    <w:rPr>
                      <w:rFonts w:hint="default" w:ascii="Times New Roman" w:hAnsi="Times New Roman" w:eastAsia="宋体" w:cs="Times New Roman"/>
                      <w:color w:val="auto"/>
                      <w:lang w:val="en-US" w:eastAsia="zh-CN"/>
                    </w:rPr>
                  </w:pPr>
                  <w:r>
                    <w:rPr>
                      <w:rFonts w:hint="eastAsia" w:cs="Times New Roman" w:eastAsiaTheme="minorEastAsia"/>
                      <w:color w:val="auto"/>
                      <w:lang w:val="en-US" w:eastAsia="zh-CN"/>
                    </w:rPr>
                    <w:t>+1.88</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60" w:type="dxa"/>
                  <w:tcBorders>
                    <w:right w:val="nil"/>
                    <w:tl2br w:val="nil"/>
                    <w:tr2bl w:val="nil"/>
                  </w:tcBorders>
                  <w:vAlign w:val="center"/>
                </w:tcPr>
                <w:p>
                  <w:pPr>
                    <w:jc w:val="center"/>
                    <w:rPr>
                      <w:rFonts w:hint="default" w:ascii="Times New Roman" w:hAnsi="Times New Roman" w:eastAsia="Times New Roman" w:cs="Times New Roman"/>
                      <w:iCs/>
                      <w:color w:val="auto"/>
                    </w:rPr>
                  </w:pPr>
                  <w:r>
                    <w:rPr>
                      <w:rFonts w:hint="default" w:ascii="Times New Roman" w:hAnsi="Times New Roman" w:eastAsia="Times New Roman" w:cs="Times New Roman"/>
                      <w:iCs/>
                      <w:color w:val="auto"/>
                    </w:rPr>
                    <w:t>氨氮</w:t>
                  </w:r>
                </w:p>
              </w:tc>
              <w:tc>
                <w:tcPr>
                  <w:tcW w:w="435" w:type="dxa"/>
                  <w:vAlign w:val="center"/>
                </w:tcPr>
                <w:p>
                  <w:pPr>
                    <w:jc w:val="center"/>
                    <w:rPr>
                      <w:rFonts w:hint="default" w:ascii="Times New Roman" w:hAnsi="Times New Roman" w:eastAsia="Times New Roman" w:cs="Times New Roman"/>
                      <w:iCs/>
                      <w:color w:val="auto"/>
                    </w:rPr>
                  </w:pPr>
                  <w:r>
                    <w:rPr>
                      <w:rFonts w:hint="default" w:ascii="Times New Roman" w:hAnsi="Times New Roman" w:eastAsia="Times New Roman" w:cs="Times New Roman"/>
                      <w:iCs/>
                      <w:color w:val="auto"/>
                    </w:rPr>
                    <w:t>t/a</w:t>
                  </w:r>
                </w:p>
              </w:tc>
              <w:tc>
                <w:tcPr>
                  <w:tcW w:w="1258" w:type="dxa"/>
                  <w:vAlign w:val="center"/>
                </w:tcPr>
                <w:p>
                  <w:pPr>
                    <w:jc w:val="center"/>
                    <w:rPr>
                      <w:rFonts w:hint="default" w:ascii="Times New Roman" w:hAnsi="Times New Roman" w:eastAsia="宋体" w:cs="Times New Roman"/>
                      <w:iCs/>
                      <w:color w:val="auto"/>
                      <w:lang w:val="en-US" w:eastAsia="zh-CN"/>
                    </w:rPr>
                  </w:pPr>
                  <w:r>
                    <w:rPr>
                      <w:rFonts w:hint="eastAsia" w:eastAsia="宋体" w:cs="Times New Roman"/>
                      <w:iCs/>
                      <w:color w:val="auto"/>
                      <w:lang w:val="en-US" w:eastAsia="zh-CN"/>
                    </w:rPr>
                    <w:t>0.18</w:t>
                  </w:r>
                </w:p>
              </w:tc>
              <w:tc>
                <w:tcPr>
                  <w:tcW w:w="1105" w:type="dxa"/>
                  <w:vAlign w:val="center"/>
                </w:tcPr>
                <w:p>
                  <w:pPr>
                    <w:jc w:val="center"/>
                    <w:rPr>
                      <w:rFonts w:hint="default" w:ascii="Times New Roman" w:hAnsi="Times New Roman" w:eastAsia="宋体" w:cs="Times New Roman"/>
                      <w:color w:val="auto"/>
                      <w:kern w:val="2"/>
                      <w:szCs w:val="21"/>
                      <w:lang w:val="en-US" w:eastAsia="zh-CN"/>
                    </w:rPr>
                  </w:pPr>
                  <w:r>
                    <w:rPr>
                      <w:rFonts w:hint="eastAsia" w:eastAsia="宋体" w:cs="Times New Roman"/>
                      <w:color w:val="auto"/>
                      <w:kern w:val="2"/>
                      <w:szCs w:val="21"/>
                      <w:lang w:val="en-US" w:eastAsia="zh-CN"/>
                    </w:rPr>
                    <w:t>1.37</w:t>
                  </w:r>
                </w:p>
              </w:tc>
              <w:tc>
                <w:tcPr>
                  <w:tcW w:w="1095" w:type="dxa"/>
                  <w:vAlign w:val="center"/>
                </w:tcPr>
                <w:p>
                  <w:pPr>
                    <w:jc w:val="center"/>
                    <w:rPr>
                      <w:rFonts w:hint="default" w:ascii="Times New Roman" w:hAnsi="Times New Roman" w:eastAsia="Times New Roman" w:cs="Times New Roman"/>
                      <w:color w:val="auto"/>
                      <w:kern w:val="2"/>
                      <w:szCs w:val="21"/>
                    </w:rPr>
                  </w:pPr>
                  <w:r>
                    <w:rPr>
                      <w:rFonts w:hint="eastAsia" w:cs="Times New Roman" w:eastAsiaTheme="minorEastAsia"/>
                      <w:color w:val="auto"/>
                      <w:lang w:val="en-US" w:eastAsia="zh-CN"/>
                    </w:rPr>
                    <w:t>0.27</w:t>
                  </w:r>
                </w:p>
              </w:tc>
              <w:tc>
                <w:tcPr>
                  <w:tcW w:w="1160" w:type="dxa"/>
                  <w:vAlign w:val="center"/>
                </w:tcPr>
                <w:p>
                  <w:pPr>
                    <w:jc w:val="center"/>
                    <w:rPr>
                      <w:rFonts w:hint="default" w:ascii="Times New Roman" w:hAnsi="Times New Roman" w:cs="Times New Roman" w:eastAsiaTheme="minorEastAsia"/>
                      <w:color w:val="auto"/>
                      <w:kern w:val="2"/>
                      <w:szCs w:val="21"/>
                      <w:lang w:val="en-US" w:eastAsia="zh-CN"/>
                    </w:rPr>
                  </w:pPr>
                  <w:r>
                    <w:rPr>
                      <w:rFonts w:hint="eastAsia" w:cs="Times New Roman" w:eastAsiaTheme="minorEastAsia"/>
                      <w:color w:val="auto"/>
                      <w:lang w:val="en-US" w:eastAsia="zh-CN"/>
                    </w:rPr>
                    <w:t>0.16</w:t>
                  </w:r>
                </w:p>
              </w:tc>
              <w:tc>
                <w:tcPr>
                  <w:tcW w:w="1368" w:type="dxa"/>
                  <w:vAlign w:val="center"/>
                </w:tcPr>
                <w:p>
                  <w:pPr>
                    <w:jc w:val="center"/>
                    <w:rPr>
                      <w:rFonts w:hint="default" w:ascii="Times New Roman" w:hAnsi="Times New Roman" w:cs="Times New Roman" w:eastAsiaTheme="minorEastAsia"/>
                      <w:color w:val="auto"/>
                      <w:kern w:val="2"/>
                      <w:szCs w:val="21"/>
                      <w:lang w:val="en-US" w:eastAsia="zh-CN"/>
                    </w:rPr>
                  </w:pPr>
                  <w:r>
                    <w:rPr>
                      <w:rFonts w:hint="eastAsia" w:cs="Times New Roman" w:eastAsiaTheme="minorEastAsia"/>
                      <w:color w:val="auto"/>
                      <w:kern w:val="2"/>
                      <w:szCs w:val="21"/>
                      <w:lang w:val="en-US" w:eastAsia="zh-CN"/>
                    </w:rPr>
                    <w:t>0.29</w:t>
                  </w:r>
                </w:p>
              </w:tc>
              <w:tc>
                <w:tcPr>
                  <w:tcW w:w="920" w:type="dxa"/>
                  <w:vAlign w:val="center"/>
                </w:tcPr>
                <w:p>
                  <w:pPr>
                    <w:jc w:val="center"/>
                    <w:rPr>
                      <w:rFonts w:hint="default" w:ascii="Times New Roman" w:hAnsi="Times New Roman" w:eastAsia="宋体" w:cs="Times New Roman"/>
                      <w:color w:val="auto"/>
                      <w:lang w:val="en-US" w:eastAsia="zh-CN"/>
                    </w:rPr>
                  </w:pPr>
                  <w:r>
                    <w:rPr>
                      <w:rFonts w:hint="eastAsia" w:cs="Times New Roman" w:eastAsiaTheme="minorEastAsia"/>
                      <w:color w:val="auto"/>
                      <w:lang w:val="en-US" w:eastAsia="zh-CN"/>
                    </w:rPr>
                    <w:t>+0.11</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60" w:type="dxa"/>
                  <w:tcBorders>
                    <w:right w:val="nil"/>
                    <w:tl2br w:val="nil"/>
                    <w:tr2bl w:val="nil"/>
                  </w:tcBorders>
                  <w:vAlign w:val="center"/>
                </w:tcPr>
                <w:p>
                  <w:pPr>
                    <w:jc w:val="center"/>
                    <w:rPr>
                      <w:rFonts w:hint="default" w:ascii="Times New Roman" w:hAnsi="Times New Roman" w:eastAsia="Times New Roman" w:cs="Times New Roman"/>
                      <w:iCs/>
                      <w:color w:val="auto"/>
                    </w:rPr>
                  </w:pPr>
                  <w:r>
                    <w:rPr>
                      <w:rFonts w:hint="default" w:ascii="Times New Roman" w:hAnsi="Times New Roman" w:eastAsia="Times New Roman" w:cs="Times New Roman"/>
                      <w:iCs/>
                      <w:color w:val="auto"/>
                    </w:rPr>
                    <w:t>总氮</w:t>
                  </w:r>
                </w:p>
              </w:tc>
              <w:tc>
                <w:tcPr>
                  <w:tcW w:w="435" w:type="dxa"/>
                  <w:vAlign w:val="center"/>
                </w:tcPr>
                <w:p>
                  <w:pPr>
                    <w:jc w:val="center"/>
                    <w:rPr>
                      <w:rFonts w:hint="default" w:ascii="Times New Roman" w:hAnsi="Times New Roman" w:eastAsia="Times New Roman" w:cs="Times New Roman"/>
                      <w:iCs/>
                      <w:color w:val="auto"/>
                    </w:rPr>
                  </w:pPr>
                  <w:r>
                    <w:rPr>
                      <w:rFonts w:hint="default" w:ascii="Times New Roman" w:hAnsi="Times New Roman" w:eastAsia="Times New Roman" w:cs="Times New Roman"/>
                      <w:iCs/>
                      <w:color w:val="auto"/>
                    </w:rPr>
                    <w:t>t/a</w:t>
                  </w:r>
                </w:p>
              </w:tc>
              <w:tc>
                <w:tcPr>
                  <w:tcW w:w="1258" w:type="dxa"/>
                  <w:vAlign w:val="center"/>
                </w:tcPr>
                <w:p>
                  <w:pPr>
                    <w:jc w:val="center"/>
                    <w:rPr>
                      <w:rFonts w:hint="default" w:ascii="Times New Roman" w:hAnsi="Times New Roman" w:eastAsia="宋体" w:cs="Times New Roman"/>
                      <w:iCs/>
                      <w:color w:val="auto"/>
                      <w:lang w:val="en-US" w:eastAsia="zh-CN"/>
                    </w:rPr>
                  </w:pPr>
                  <w:r>
                    <w:rPr>
                      <w:rFonts w:hint="eastAsia" w:eastAsia="宋体" w:cs="Times New Roman"/>
                      <w:iCs/>
                      <w:color w:val="auto"/>
                      <w:lang w:val="en-US" w:eastAsia="zh-CN"/>
                    </w:rPr>
                    <w:t>0.26</w:t>
                  </w:r>
                </w:p>
              </w:tc>
              <w:tc>
                <w:tcPr>
                  <w:tcW w:w="1105" w:type="dxa"/>
                  <w:vAlign w:val="center"/>
                </w:tcPr>
                <w:p>
                  <w:pPr>
                    <w:jc w:val="center"/>
                    <w:rPr>
                      <w:rFonts w:hint="default" w:ascii="Times New Roman" w:hAnsi="Times New Roman" w:cs="Times New Roman" w:eastAsiaTheme="minorEastAsia"/>
                      <w:color w:val="auto"/>
                      <w:lang w:val="en-US" w:eastAsia="zh-CN"/>
                    </w:rPr>
                  </w:pPr>
                  <w:r>
                    <w:rPr>
                      <w:rFonts w:hint="eastAsia" w:cs="Times New Roman" w:eastAsiaTheme="minorEastAsia"/>
                      <w:color w:val="auto"/>
                      <w:lang w:val="en-US" w:eastAsia="zh-CN"/>
                    </w:rPr>
                    <w:t>2.19</w:t>
                  </w:r>
                </w:p>
              </w:tc>
              <w:tc>
                <w:tcPr>
                  <w:tcW w:w="1095" w:type="dxa"/>
                  <w:vAlign w:val="center"/>
                </w:tcPr>
                <w:p>
                  <w:pPr>
                    <w:jc w:val="center"/>
                    <w:rPr>
                      <w:rFonts w:hint="default" w:ascii="Times New Roman" w:hAnsi="Times New Roman" w:eastAsia="Times New Roman" w:cs="Times New Roman"/>
                      <w:color w:val="auto"/>
                    </w:rPr>
                  </w:pPr>
                  <w:r>
                    <w:rPr>
                      <w:rStyle w:val="125"/>
                      <w:rFonts w:hint="eastAsia" w:ascii="Times New Roman" w:hAnsi="Times New Roman" w:cs="Times New Roman"/>
                      <w:color w:val="auto"/>
                      <w:lang w:val="en-US" w:eastAsia="zh-CN"/>
                    </w:rPr>
                    <w:t>0.</w:t>
                  </w:r>
                  <w:r>
                    <w:rPr>
                      <w:rStyle w:val="125"/>
                      <w:rFonts w:hint="eastAsia" w:cs="Times New Roman"/>
                      <w:color w:val="auto"/>
                      <w:lang w:val="en-US" w:eastAsia="zh-CN"/>
                    </w:rPr>
                    <w:t>41</w:t>
                  </w:r>
                </w:p>
              </w:tc>
              <w:tc>
                <w:tcPr>
                  <w:tcW w:w="1160" w:type="dxa"/>
                  <w:vAlign w:val="center"/>
                </w:tcPr>
                <w:p>
                  <w:pPr>
                    <w:jc w:val="center"/>
                    <w:rPr>
                      <w:rFonts w:hint="default" w:ascii="Times New Roman" w:hAnsi="Times New Roman" w:eastAsia="宋体" w:cs="Times New Roman"/>
                      <w:color w:val="auto"/>
                      <w:lang w:val="en-US" w:eastAsia="zh-CN"/>
                    </w:rPr>
                  </w:pPr>
                  <w:r>
                    <w:rPr>
                      <w:rFonts w:hint="eastAsia" w:eastAsia="宋体" w:cs="Times New Roman"/>
                      <w:color w:val="auto"/>
                      <w:lang w:val="en-US" w:eastAsia="zh-CN"/>
                    </w:rPr>
                    <w:t>0.26</w:t>
                  </w:r>
                </w:p>
              </w:tc>
              <w:tc>
                <w:tcPr>
                  <w:tcW w:w="1368" w:type="dxa"/>
                  <w:vAlign w:val="center"/>
                </w:tcPr>
                <w:p>
                  <w:pPr>
                    <w:jc w:val="center"/>
                    <w:rPr>
                      <w:rFonts w:hint="default" w:ascii="Times New Roman" w:hAnsi="Times New Roman" w:cs="Times New Roman" w:eastAsiaTheme="minorEastAsia"/>
                      <w:color w:val="auto"/>
                      <w:lang w:val="en-US" w:eastAsia="zh-CN"/>
                    </w:rPr>
                  </w:pPr>
                  <w:r>
                    <w:rPr>
                      <w:rFonts w:hint="eastAsia" w:cs="Times New Roman" w:eastAsiaTheme="minorEastAsia"/>
                      <w:color w:val="auto"/>
                      <w:lang w:val="en-US" w:eastAsia="zh-CN"/>
                    </w:rPr>
                    <w:t>0.41</w:t>
                  </w:r>
                </w:p>
              </w:tc>
              <w:tc>
                <w:tcPr>
                  <w:tcW w:w="920" w:type="dxa"/>
                  <w:vAlign w:val="center"/>
                </w:tcPr>
                <w:p>
                  <w:pPr>
                    <w:jc w:val="center"/>
                    <w:rPr>
                      <w:rFonts w:hint="default" w:ascii="Times New Roman" w:hAnsi="Times New Roman" w:eastAsia="宋体" w:cs="Times New Roman"/>
                      <w:color w:val="auto"/>
                      <w:lang w:val="en-US" w:eastAsia="zh-CN"/>
                    </w:rPr>
                  </w:pPr>
                  <w:r>
                    <w:rPr>
                      <w:rFonts w:hint="eastAsia" w:eastAsia="宋体" w:cs="Times New Roman"/>
                      <w:color w:val="auto"/>
                      <w:lang w:val="en-US" w:eastAsia="zh-CN"/>
                    </w:rPr>
                    <w:t>+0.15</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60" w:type="dxa"/>
                  <w:tcBorders>
                    <w:right w:val="nil"/>
                    <w:tl2br w:val="nil"/>
                    <w:tr2bl w:val="nil"/>
                  </w:tcBorders>
                  <w:vAlign w:val="center"/>
                </w:tcPr>
                <w:p>
                  <w:pPr>
                    <w:jc w:val="center"/>
                    <w:rPr>
                      <w:rFonts w:hint="default" w:ascii="Times New Roman" w:hAnsi="Times New Roman" w:eastAsia="Times New Roman" w:cs="Times New Roman"/>
                      <w:iCs/>
                      <w:color w:val="auto"/>
                    </w:rPr>
                  </w:pPr>
                  <w:r>
                    <w:rPr>
                      <w:rFonts w:hint="default" w:ascii="Times New Roman" w:hAnsi="Times New Roman" w:eastAsia="Times New Roman" w:cs="Times New Roman"/>
                      <w:iCs/>
                      <w:color w:val="auto"/>
                    </w:rPr>
                    <w:t>总磷</w:t>
                  </w:r>
                </w:p>
              </w:tc>
              <w:tc>
                <w:tcPr>
                  <w:tcW w:w="435" w:type="dxa"/>
                  <w:vAlign w:val="center"/>
                </w:tcPr>
                <w:p>
                  <w:pPr>
                    <w:jc w:val="center"/>
                    <w:rPr>
                      <w:rFonts w:hint="default" w:ascii="Times New Roman" w:hAnsi="Times New Roman" w:eastAsia="Times New Roman" w:cs="Times New Roman"/>
                      <w:iCs/>
                      <w:color w:val="auto"/>
                    </w:rPr>
                  </w:pPr>
                  <w:r>
                    <w:rPr>
                      <w:rFonts w:hint="default" w:ascii="Times New Roman" w:hAnsi="Times New Roman" w:eastAsia="Times New Roman" w:cs="Times New Roman"/>
                      <w:iCs/>
                      <w:color w:val="auto"/>
                    </w:rPr>
                    <w:t>t/a</w:t>
                  </w:r>
                </w:p>
              </w:tc>
              <w:tc>
                <w:tcPr>
                  <w:tcW w:w="1258" w:type="dxa"/>
                  <w:vAlign w:val="center"/>
                </w:tcPr>
                <w:p>
                  <w:pPr>
                    <w:jc w:val="center"/>
                    <w:rPr>
                      <w:rFonts w:hint="default" w:ascii="Times New Roman" w:hAnsi="Times New Roman" w:eastAsia="宋体" w:cs="Times New Roman"/>
                      <w:iCs/>
                      <w:color w:val="auto"/>
                      <w:lang w:val="en-US" w:eastAsia="zh-CN"/>
                    </w:rPr>
                  </w:pPr>
                  <w:r>
                    <w:rPr>
                      <w:rFonts w:hint="eastAsia" w:eastAsia="宋体" w:cs="Times New Roman"/>
                      <w:iCs/>
                      <w:color w:val="auto"/>
                      <w:lang w:val="en-US" w:eastAsia="zh-CN"/>
                    </w:rPr>
                    <w:t>0.01</w:t>
                  </w:r>
                </w:p>
              </w:tc>
              <w:tc>
                <w:tcPr>
                  <w:tcW w:w="1105" w:type="dxa"/>
                  <w:vAlign w:val="center"/>
                </w:tcPr>
                <w:p>
                  <w:pPr>
                    <w:jc w:val="center"/>
                    <w:rPr>
                      <w:rFonts w:hint="default" w:ascii="Times New Roman" w:hAnsi="Times New Roman" w:cs="Times New Roman" w:eastAsiaTheme="minorEastAsia"/>
                      <w:color w:val="auto"/>
                      <w:lang w:val="en-US" w:eastAsia="zh-CN"/>
                    </w:rPr>
                  </w:pPr>
                  <w:r>
                    <w:rPr>
                      <w:rFonts w:hint="eastAsia" w:cs="Times New Roman" w:eastAsiaTheme="minorEastAsia"/>
                      <w:color w:val="auto"/>
                      <w:lang w:val="en-US" w:eastAsia="zh-CN"/>
                    </w:rPr>
                    <w:t>0.16</w:t>
                  </w:r>
                </w:p>
              </w:tc>
              <w:tc>
                <w:tcPr>
                  <w:tcW w:w="1095" w:type="dxa"/>
                  <w:vAlign w:val="center"/>
                </w:tcPr>
                <w:p>
                  <w:pPr>
                    <w:jc w:val="center"/>
                    <w:rPr>
                      <w:rFonts w:hint="default" w:ascii="Times New Roman" w:hAnsi="Times New Roman" w:eastAsia="Times New Roman" w:cs="Times New Roman"/>
                      <w:color w:val="auto"/>
                    </w:rPr>
                  </w:pPr>
                  <w:r>
                    <w:rPr>
                      <w:rStyle w:val="125"/>
                      <w:rFonts w:hint="eastAsia" w:ascii="Times New Roman" w:hAnsi="Times New Roman" w:cs="Times New Roman"/>
                      <w:color w:val="auto"/>
                      <w:lang w:val="en-US" w:eastAsia="zh-CN"/>
                    </w:rPr>
                    <w:t>0.</w:t>
                  </w:r>
                  <w:r>
                    <w:rPr>
                      <w:rStyle w:val="125"/>
                      <w:rFonts w:hint="eastAsia" w:cs="Times New Roman"/>
                      <w:color w:val="auto"/>
                      <w:lang w:val="en-US" w:eastAsia="zh-CN"/>
                    </w:rPr>
                    <w:t>11</w:t>
                  </w:r>
                </w:p>
              </w:tc>
              <w:tc>
                <w:tcPr>
                  <w:tcW w:w="1160" w:type="dxa"/>
                  <w:vAlign w:val="center"/>
                </w:tcPr>
                <w:p>
                  <w:pPr>
                    <w:jc w:val="center"/>
                    <w:rPr>
                      <w:rFonts w:hint="default" w:ascii="Times New Roman" w:hAnsi="Times New Roman" w:eastAsia="宋体" w:cs="Times New Roman"/>
                      <w:color w:val="auto"/>
                      <w:lang w:val="en-US" w:eastAsia="zh-CN"/>
                    </w:rPr>
                  </w:pPr>
                  <w:r>
                    <w:rPr>
                      <w:rFonts w:hint="eastAsia" w:eastAsia="宋体" w:cs="Times New Roman"/>
                      <w:color w:val="auto"/>
                      <w:lang w:val="en-US" w:eastAsia="zh-CN"/>
                    </w:rPr>
                    <w:t>0.01</w:t>
                  </w:r>
                </w:p>
              </w:tc>
              <w:tc>
                <w:tcPr>
                  <w:tcW w:w="1368" w:type="dxa"/>
                  <w:vAlign w:val="center"/>
                </w:tcPr>
                <w:p>
                  <w:pPr>
                    <w:jc w:val="center"/>
                    <w:rPr>
                      <w:rFonts w:hint="default" w:ascii="Times New Roman" w:hAnsi="Times New Roman" w:cs="Times New Roman" w:eastAsiaTheme="minorEastAsia"/>
                      <w:color w:val="auto"/>
                      <w:lang w:val="en-US" w:eastAsia="zh-CN"/>
                    </w:rPr>
                  </w:pPr>
                  <w:r>
                    <w:rPr>
                      <w:rFonts w:hint="eastAsia" w:cs="Times New Roman" w:eastAsiaTheme="minorEastAsia"/>
                      <w:color w:val="auto"/>
                      <w:lang w:val="en-US" w:eastAsia="zh-CN"/>
                    </w:rPr>
                    <w:t>0.11</w:t>
                  </w:r>
                </w:p>
              </w:tc>
              <w:tc>
                <w:tcPr>
                  <w:tcW w:w="920" w:type="dxa"/>
                  <w:vAlign w:val="center"/>
                </w:tcPr>
                <w:p>
                  <w:pPr>
                    <w:jc w:val="center"/>
                    <w:rPr>
                      <w:rFonts w:hint="default" w:ascii="Times New Roman" w:hAnsi="Times New Roman" w:eastAsia="宋体" w:cs="Times New Roman"/>
                      <w:color w:val="auto"/>
                      <w:lang w:val="en-US" w:eastAsia="zh-CN"/>
                    </w:rPr>
                  </w:pPr>
                  <w:r>
                    <w:rPr>
                      <w:rFonts w:hint="eastAsia" w:eastAsia="宋体" w:cs="Times New Roman"/>
                      <w:color w:val="auto"/>
                      <w:lang w:val="en-US" w:eastAsia="zh-CN"/>
                    </w:rPr>
                    <w:t>+0.1</w:t>
                  </w:r>
                </w:p>
              </w:tc>
            </w:tr>
          </w:tbl>
          <w:p>
            <w:pPr>
              <w:rPr>
                <w:rFonts w:hint="default" w:ascii="Times New Roman" w:hAnsi="Times New Roman" w:cs="Times New Roman"/>
                <w:b/>
                <w:color w:val="auto"/>
                <w:sz w:val="24"/>
              </w:rPr>
            </w:pPr>
          </w:p>
          <w:p>
            <w:pPr>
              <w:rPr>
                <w:rFonts w:hint="default" w:ascii="Times New Roman" w:hAnsi="Times New Roman" w:cs="Times New Roman"/>
                <w:b/>
                <w:color w:val="auto"/>
                <w:sz w:val="24"/>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tc>
      </w:tr>
    </w:tbl>
    <w:p>
      <w:pPr>
        <w:pStyle w:val="3"/>
        <w:keepNext w:val="0"/>
        <w:keepLines w:val="0"/>
        <w:spacing w:after="0" w:line="240" w:lineRule="auto"/>
        <w:jc w:val="left"/>
        <w:rPr>
          <w:rFonts w:hint="default" w:ascii="Times New Roman" w:hAnsi="Times New Roman" w:cs="Times New Roman"/>
          <w:color w:val="auto"/>
        </w:rPr>
        <w:sectPr>
          <w:pgSz w:w="11907" w:h="16839"/>
          <w:pgMar w:top="1800" w:right="1440" w:bottom="1800" w:left="1440" w:header="851" w:footer="992" w:gutter="0"/>
          <w:pgBorders>
            <w:top w:val="none" w:sz="0" w:space="0"/>
            <w:left w:val="none" w:sz="0" w:space="0"/>
            <w:bottom w:val="none" w:sz="0" w:space="0"/>
            <w:right w:val="none" w:sz="0" w:space="0"/>
          </w:pgBorders>
          <w:cols w:space="720" w:num="1"/>
          <w:docGrid w:type="linesAndChars" w:linePitch="312" w:charSpace="0"/>
        </w:sectPr>
      </w:pPr>
    </w:p>
    <w:p>
      <w:pPr>
        <w:pStyle w:val="3"/>
        <w:keepNext w:val="0"/>
        <w:keepLines w:val="0"/>
        <w:spacing w:after="0" w:line="240" w:lineRule="auto"/>
        <w:jc w:val="left"/>
        <w:rPr>
          <w:rFonts w:hint="default" w:ascii="Times New Roman" w:hAnsi="Times New Roman" w:cs="Times New Roman"/>
          <w:color w:val="auto"/>
        </w:rPr>
      </w:pPr>
      <w:bookmarkStart w:id="4" w:name="_Toc25154384"/>
      <w:r>
        <w:rPr>
          <w:rFonts w:hint="default" w:ascii="Times New Roman" w:hAnsi="Times New Roman" w:cs="Times New Roman"/>
          <w:color w:val="auto"/>
        </w:rPr>
        <w:t>建设项目工程分析</w:t>
      </w:r>
      <w:bookmarkEnd w:id="4"/>
      <w:r>
        <w:rPr>
          <w:rFonts w:hint="default" w:ascii="Times New Roman" w:hAnsi="Times New Roman" w:cs="Times New Roman"/>
          <w:color w:val="auto"/>
        </w:rPr>
        <w:t xml:space="preserve"> </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24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4" w:hRule="atLeast"/>
          <w:jc w:val="center"/>
        </w:trPr>
        <w:tc>
          <w:tcPr>
            <w:tcW w:w="5000" w:type="pct"/>
          </w:tcPr>
          <w:p>
            <w:pPr>
              <w:spacing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工艺流程简述（图示）：</w:t>
            </w:r>
          </w:p>
          <w:p>
            <w:pPr>
              <w:pStyle w:val="68"/>
              <w:ind w:firstLine="0" w:firstLineChars="0"/>
              <w:rPr>
                <w:rFonts w:hint="default" w:ascii="Times New Roman" w:hAnsi="Times New Roman" w:cs="Times New Roman"/>
                <w:color w:val="auto"/>
                <w:szCs w:val="24"/>
              </w:rPr>
            </w:pPr>
            <w:r>
              <w:rPr>
                <w:rFonts w:hint="default" w:ascii="Times New Roman" w:hAnsi="Times New Roman" w:cs="Times New Roman"/>
                <w:color w:val="auto"/>
                <w:szCs w:val="24"/>
              </w:rPr>
              <w:t>1施工期</w:t>
            </w:r>
          </w:p>
          <w:p>
            <w:pPr>
              <w:spacing w:line="360" w:lineRule="auto"/>
              <w:ind w:firstLine="420" w:firstLineChars="200"/>
              <w:rPr>
                <w:rFonts w:hint="default" w:ascii="Times New Roman" w:hAnsi="Times New Roman" w:cs="Times New Roman"/>
                <w:color w:val="auto"/>
                <w:sz w:val="24"/>
              </w:rPr>
            </w:pPr>
            <w:r>
              <w:rPr>
                <w:rFonts w:hint="default" w:ascii="Times New Roman" w:hAnsi="Times New Roman" w:cs="Times New Roman"/>
                <w:color w:val="auto"/>
              </w:rPr>
              <w:drawing>
                <wp:anchor distT="0" distB="0" distL="114300" distR="114300" simplePos="0" relativeHeight="251650048" behindDoc="0" locked="0" layoutInCell="1" allowOverlap="1">
                  <wp:simplePos x="0" y="0"/>
                  <wp:positionH relativeFrom="column">
                    <wp:posOffset>479425</wp:posOffset>
                  </wp:positionH>
                  <wp:positionV relativeFrom="paragraph">
                    <wp:posOffset>861060</wp:posOffset>
                  </wp:positionV>
                  <wp:extent cx="4479290" cy="2623820"/>
                  <wp:effectExtent l="0" t="0" r="0" b="0"/>
                  <wp:wrapNone/>
                  <wp:docPr id="9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79290" cy="2623820"/>
                          </a:xfrm>
                          <a:prstGeom prst="rect">
                            <a:avLst/>
                          </a:prstGeom>
                          <a:noFill/>
                          <a:ln>
                            <a:noFill/>
                          </a:ln>
                        </pic:spPr>
                      </pic:pic>
                    </a:graphicData>
                  </a:graphic>
                </wp:anchor>
              </w:drawing>
            </w:r>
            <w:r>
              <w:rPr>
                <w:rFonts w:hint="default" w:ascii="Times New Roman" w:hAnsi="Times New Roman" w:cs="Times New Roman"/>
                <w:color w:val="auto"/>
                <w:sz w:val="24"/>
              </w:rPr>
              <w:t>项目施工期主要流程有以下几个阶段：前期准备阶段、土方工程施工、主体设施建设及其他工程直至交付使用，主要污染物为施工扬尘、施工机械及车辆废气、施工废水、施工噪声以及建筑垃圾等，具体工艺流程及产物节点见图5-1。</w:t>
            </w: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napToGrid w:val="0"/>
              <w:spacing w:line="24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图5-1施工期工艺流程及产污节点图</w:t>
            </w:r>
          </w:p>
          <w:p>
            <w:pPr>
              <w:pStyle w:val="68"/>
              <w:ind w:firstLine="0" w:firstLineChars="0"/>
              <w:rPr>
                <w:rFonts w:hint="default" w:ascii="Times New Roman" w:hAnsi="Times New Roman" w:cs="Times New Roman"/>
                <w:color w:val="auto"/>
                <w:szCs w:val="24"/>
              </w:rPr>
            </w:pPr>
            <w:r>
              <w:rPr>
                <w:rFonts w:hint="default" w:ascii="Times New Roman" w:hAnsi="Times New Roman" w:cs="Times New Roman"/>
                <w:color w:val="auto"/>
                <w:szCs w:val="24"/>
              </w:rPr>
              <w:t>2运营期</w:t>
            </w:r>
          </w:p>
          <w:p>
            <w:pPr>
              <w:snapToGrid w:val="0"/>
              <w:spacing w:line="360" w:lineRule="auto"/>
              <w:ind w:firstLine="480"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污水处理工艺流程简述：</w:t>
            </w:r>
          </w:p>
          <w:p>
            <w:pPr>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根据渗滤液水质特征，针对本项目项目要求特点，为确保本项目的稳定处理，拟采用“渗滤液→调节池→气浮设备→原水灌→两级DTRO系统→达标排放”工艺，具体工艺流程如下图所示：</w:t>
            </w:r>
          </w:p>
          <w:p>
            <w:pPr>
              <w:snapToGrid w:val="0"/>
              <w:spacing w:line="360" w:lineRule="auto"/>
              <w:ind w:firstLine="480" w:firstLineChars="200"/>
              <w:rPr>
                <w:rFonts w:hint="default" w:ascii="Times New Roman" w:hAnsi="Times New Roman" w:cs="Times New Roman"/>
                <w:color w:val="auto"/>
                <w:sz w:val="24"/>
                <w:szCs w:val="24"/>
              </w:rPr>
            </w:pPr>
          </w:p>
          <w:p>
            <w:pPr>
              <w:pStyle w:val="41"/>
              <w:rPr>
                <w:rFonts w:hint="default" w:ascii="Times New Roman" w:hAnsi="Times New Roman" w:cs="Times New Roman"/>
                <w:color w:val="auto"/>
              </w:rPr>
            </w:pPr>
            <w:r>
              <w:rPr>
                <w:rFonts w:hint="default" w:ascii="Times New Roman" w:hAnsi="Times New Roman" w:cs="Times New Roman"/>
                <w:color w:val="auto"/>
              </w:rPr>
              <w:object>
                <v:shape id="_x0000_i1025" o:spt="75" alt="" type="#_x0000_t75" style="height:216pt;width:451pt;" o:ole="t" filled="f" o:preferrelative="t" stroked="f" coordsize="21600,21600">
                  <v:path/>
                  <v:fill on="f" focussize="0,0"/>
                  <v:stroke on="f"/>
                  <v:imagedata r:id="rId22" o:title=""/>
                  <o:lock v:ext="edit" aspectratio="f"/>
                  <w10:wrap type="none"/>
                  <w10:anchorlock/>
                </v:shape>
                <o:OLEObject Type="Embed" ProgID="Visio.Drawing.11" ShapeID="_x0000_i1025" DrawAspect="Content" ObjectID="_1468075725" r:id="rId21">
                  <o:LockedField>false</o:LockedField>
                </o:OLEObject>
              </w:object>
            </w:r>
          </w:p>
          <w:p>
            <w:pPr>
              <w:pStyle w:val="41"/>
              <w:jc w:val="center"/>
              <w:rPr>
                <w:rFonts w:hint="default" w:ascii="Times New Roman" w:hAnsi="Times New Roman" w:cs="Times New Roman"/>
                <w:color w:val="auto"/>
              </w:rPr>
            </w:pPr>
            <w:r>
              <w:rPr>
                <w:rFonts w:hint="default" w:ascii="Times New Roman" w:hAnsi="Times New Roman" w:cs="Times New Roman"/>
                <w:b/>
                <w:bCs/>
                <w:color w:val="auto"/>
                <w:szCs w:val="21"/>
              </w:rPr>
              <w:t>图5-2污水处理工艺流程及产污节点图</w:t>
            </w:r>
          </w:p>
          <w:p>
            <w:pPr>
              <w:pStyle w:val="41"/>
              <w:rPr>
                <w:rFonts w:hint="default" w:ascii="Times New Roman" w:hAnsi="Times New Roman" w:cs="Times New Roman"/>
                <w:color w:val="auto"/>
              </w:rPr>
            </w:pP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 预处理</w:t>
            </w: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渗滤液pH值随着厂龄的增加、环境等各种条件的变化而变化，其组成成份复杂，存在各种钙、镁、硅等难溶盐，这些难溶无机盐进入反渗透系统后被高倍浓缩，当其浓度超过该条件下的溶解度时将会在膜表面产生结垢现象，而调节原水pH值能有效防止碳酸盐类无机盐的结垢，故在进入反渗透前须对原水进行pH值调节。</w:t>
            </w: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调节池出水泵入反渗透系统的原水罐，在原水罐中通过加酸，调节pH，原水罐的出水经原水泵加压后再进入石英砂过滤器，砂滤器数量按具体处理规模确定，其过滤精度为50μm。砂滤器进、出水端都有压力表，当压差超过2.5bar的时候须执行反洗程序。砂滤器反冲洗的频率取决于进水的悬浮物含量，对一般的垃圾填埋场，砂滤器反冲洗周期约100小时左右，若本垃圾填埋场原水SS值比较低，砂滤运行100小时后若压差未超过2.5bar也须进行反冲洗，以避免石英砂的过度压实及板结现象，两者以先到时间为自动激活砂滤反洗时间。砂滤水洗采用原水清洗；气洗使用旋片压缩机产生的压缩空气。</w:t>
            </w: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砂滤出水后进入芯式过滤器，对于渗滤液系统，由于原水中钙、镁、硅等易结垢离子，经DTRO膜组件高倍浓缩后容易在浓缩液侧出现过饱和状态，所以在芯式过滤器前加入一定量的阻垢剂，预防结垢现象的发生，具体添加量由原水水质分析情况确定。芯式过滤器为膜柱提供最后一道保护屏障，芯式过滤器的精度为10μm。</w:t>
            </w: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（2）气浮处理</w:t>
            </w: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1）气浮设备工作原理</w:t>
            </w: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对于比重接近于水的微小悬浮物和油类的去除，气浮分离技术是最有效的方法。气浮法就是通过溶气系统产生的溶气水，经过快速减压释放在水中产生大量微细气泡，若干气泡粘附在水中原水（或者絮凝好的污水）悬浮物或油类表面上，形成整体密度小于1的悬浮物，通过浮力使其上升至水面而使固液分离（同时可以降低 BOD、COD、色度等）的一种净水法。</w:t>
            </w: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组合气浮设备结构紧凑，造型美观，占地小，电耗省，操作方便，处理效果好等优点，已被广泛应用于各类污水处理工程。设备中的关键部位溶气系统溶气效率高，处理效果稳定，真正实现了机电仪一体化控制。</w:t>
            </w: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气浮法工艺的主要设计参数包括停留时问、絮凝时间、表面负荷率、回流比、溶气压力等。气浮池的水力停留时间为 15～30min；表面负荷率为 3～5m3/(m2.h)。根据处理效果要求，可以调整溶气压力和回流比，并能有效降低运行和维护费用。此外气浮法能解决沉淀法所不能解决的问题，并且由于停留时间短，气浮池的基建费用也比沉淀池少，但能获得更好的处理效果。针对上述情况的处理，气浮技术是固液分离（包括油水分离）最有效的措施之一，也是分离技术中的关键项目之一。</w:t>
            </w: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2）气浮设备工作流程</w:t>
            </w: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原水进入气浮池的接触区，与释放器释放后的溶气水充分接触混   合。使得水中悬浮物或者油类充分吸收粘附微小气泡，然后进入气浮分离区。水中悬浮物或者油类在气泡浮力的作用下，浮出水面形成浮渣层，浮渣由刮沫机刮至浮渣槽；下层的清水经集水管集流至清水池，一部分供回流溶气水使用，另一部分剩余清水通过溢流管排放。水面上的浮渣聚集到一定厚度后，由刮沫机刮入气浮池浮渣槽，经浮渣出口阀排出。</w:t>
            </w: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清水池中的部分清水经回流水泵加压，经控制阀进入溶气罐、空气与水在溶气罐中进行溶解分离与循环，充分溶气后产生的溶气水经溶气水出水控制阀至释放器，在气浮池接触区进行释放。由于溶气罐中的空气不断进入水中，空气将不断减少，此时自动控制部分能控制空压机(20)定量供气，保证足够供气量。</w:t>
            </w: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（3）一级DTRO</w:t>
            </w: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膜系统为两级反渗透，第一级反渗透需要从芯式过滤器后进水，第二级反渗透处理第一级透过水。</w:t>
            </w: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原水储罐的出水，由泵给反渗透设备供水，砂滤器增压泵提供压力。砂滤器共有1个。砂滤器进、出水端都配置压力表，当压差超过2.5bar的时候须执行反洗程序。砂滤器反冲洗的频率取决于进水的悬浮物含量，一般为100~150小时。反冲洗时先用气泵进行气洗，再进行冲洗，砂滤器的过滤精度为50μm。经过砂滤器后废水直接进入芯式过滤器，设备配有芯式过滤器1个，其进、出水端都配置压力表，当压差超过2.0bar的时候进行更换滤芯。芯滤过滤的精度为10um，有效防止各种难溶性硫酸盐、硅酸盐在膜组件内由于高倍浓缩产生结垢现象，延长膜使用寿命。并在一级反渗透膜前需加入一定量的阻垢剂。降低结垢风险。</w:t>
            </w: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经过芯式过滤器的渗滤液直接进入一级反渗透高压柱塞泵，DT膜系统每台柱塞泵后边都有一个减震器，用于吸收高压泵产生的压力脉冲，给膜柱提供平稳的压力。经高压泵后的出水进入膜组件，膜组件采碟管式反渗透膜柱，抗污染性强的优点，对渗沥液的适应性很强，膜寿命延长到3年以上。一级反渗透系统设二段，第一段反渗透的浓液进入第二段处理。</w:t>
            </w: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第一级反渗透的减震器出水进入第一个膜组，由于高压泵流量不足以向膜柱直接供水，所以通过在线泵（在线泵位于减震器之后膜柱进口之前）将膜柱出口一部份浓缩液回流至在线泵入口以保证膜表面足够的流量和错流流速，避免膜污染。在线泵流出的高压力及高流量水直接进入膜柱。</w:t>
            </w: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膜柱组出水分为两部分：一级浓缩液和一级透过液。浓缩液端有一个伺服机控制阀，用于控制膜组内的压力，以产生必要的产水回收率。一级透过液进入二级高压泵等待二级DTRO进一步处理。一级浓缩液排入浓缩液储池，等待后续工艺处理。</w:t>
            </w: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（4）二级DTRO</w:t>
            </w: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第二级DTRO用于对第一级DTRO透过液的进一步处理，因此又称为透过液级，经一级DT膜系统处理后的透过液无需添加任何药剂直接送入二级DT</w:t>
            </w:r>
            <w:r>
              <w:rPr>
                <w:rFonts w:hint="eastAsia" w:ascii="Times New Roman" w:hAnsi="Times New Roman" w:cs="Times New Roman"/>
                <w:color w:val="auto"/>
                <w:lang w:val="en-US" w:eastAsia="zh-CN"/>
              </w:rPr>
              <w:t>RO</w:t>
            </w:r>
            <w:r>
              <w:rPr>
                <w:rFonts w:hint="default" w:ascii="Times New Roman" w:hAnsi="Times New Roman" w:cs="Times New Roman"/>
                <w:color w:val="auto"/>
              </w:rPr>
              <w:t>膜系统高压泵，一级与二级之间无须设置缓冲罐，系统运行时流量自动匹配。二级高压泵设置了变频控制，二级高压泵运行频率和输出流量将根据一级透过液流量传感器反馈值自动匹配，同时二级高压泵入口管路设置了浓缩液自补偿，使得二级系统的运行不受一级系统产水量的影响。由于二级DTRO进水污染物浓度已大为降低，膜表面过滤流速要求低，回收率比较高，故第二级反渗透不需要在线增压泵，仅仅使用高压泵就可以满足要求。</w:t>
            </w: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二级DTRO浓缩液端也设有一个伺服电机控制阀，用于控制膜组内的压力和回收率。第二级DTRO浓缩液由于其水质远好于原水，故排向第一级系统的进水端，与一级DTRO的进水合并处理，同时提高系统的回收率，二级DTRO透过液排入脱气塔。</w:t>
            </w: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（五）保安系统</w:t>
            </w: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保安系统主要包括脱气塔、出水pH调节系统及离子交换装置，由于渗滤液中含有一定的溶解性气体，而反渗透膜可以脱除溶解性的离子而不能脱除溶解性的气体，就可能导致反渗透膜产水pH值会稍低于回用要求，经脱气塔脱除透过液中溶解的酸性气体后，pH值能显著上升达到6.0以上，若经脱气塔后的清水pH值仍低于回用要求，此时系统将自动加少量碱回调pH值至回用要求。由于出水经脱气塔脱气处理，只需加微量的碱液即能达回用要求。</w:t>
            </w: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离子交换系统选用对氨氮有很强选择性的强酸性阳离子交换树脂，具有吸附能力强、选择性较好、设备简单及成本较低等优点，正常系统出水氨氮满足排放标准，当进水水质波动，出水氨氮超标时，离子交换系统作为应急处理措施，保障系统出水氨氮达标排放。</w:t>
            </w:r>
          </w:p>
          <w:p>
            <w:pPr>
              <w:pStyle w:val="41"/>
              <w:snapToGrid w:val="0"/>
              <w:spacing w:line="360" w:lineRule="auto"/>
              <w:ind w:firstLine="480" w:firstLineChars="200"/>
              <w:rPr>
                <w:rFonts w:hint="default" w:ascii="Times New Roman" w:hAnsi="Times New Roman" w:cs="Times New Roman"/>
                <w:color w:val="auto"/>
              </w:rPr>
            </w:pPr>
          </w:p>
          <w:p>
            <w:pPr>
              <w:pStyle w:val="41"/>
              <w:snapToGrid w:val="0"/>
              <w:spacing w:line="360" w:lineRule="auto"/>
              <w:ind w:firstLine="480" w:firstLineChars="200"/>
              <w:rPr>
                <w:rFonts w:hint="default" w:ascii="Times New Roman" w:hAnsi="Times New Roman" w:cs="Times New Roman"/>
                <w:color w:val="auto"/>
              </w:rPr>
            </w:pPr>
          </w:p>
          <w:p>
            <w:pPr>
              <w:pStyle w:val="41"/>
              <w:snapToGrid w:val="0"/>
              <w:spacing w:line="360" w:lineRule="auto"/>
              <w:ind w:firstLine="480" w:firstLineChars="200"/>
              <w:rPr>
                <w:rFonts w:hint="default" w:ascii="Times New Roman" w:hAnsi="Times New Roman" w:cs="Times New Roman"/>
                <w:color w:val="auto"/>
              </w:rPr>
            </w:pPr>
          </w:p>
          <w:p>
            <w:pPr>
              <w:pStyle w:val="41"/>
              <w:snapToGrid w:val="0"/>
              <w:spacing w:line="360" w:lineRule="auto"/>
              <w:ind w:firstLine="480" w:firstLineChars="200"/>
              <w:rPr>
                <w:rFonts w:hint="default" w:ascii="Times New Roman" w:hAnsi="Times New Roman" w:cs="Times New Roman"/>
                <w:color w:val="auto"/>
              </w:rPr>
            </w:pPr>
          </w:p>
          <w:p>
            <w:pPr>
              <w:pStyle w:val="41"/>
              <w:snapToGrid w:val="0"/>
              <w:spacing w:line="360" w:lineRule="auto"/>
              <w:ind w:firstLine="480" w:firstLineChars="200"/>
              <w:rPr>
                <w:rFonts w:hint="default" w:ascii="Times New Roman" w:hAnsi="Times New Roman" w:cs="Times New Roman"/>
                <w:color w:val="auto"/>
              </w:rPr>
            </w:pPr>
          </w:p>
          <w:p>
            <w:pPr>
              <w:pStyle w:val="41"/>
              <w:snapToGrid w:val="0"/>
              <w:spacing w:line="360" w:lineRule="auto"/>
              <w:ind w:firstLine="480" w:firstLineChars="200"/>
              <w:rPr>
                <w:rFonts w:hint="default" w:ascii="Times New Roman" w:hAnsi="Times New Roman" w:cs="Times New Roman"/>
                <w:color w:val="auto"/>
              </w:rPr>
            </w:pPr>
          </w:p>
          <w:p>
            <w:pPr>
              <w:pStyle w:val="41"/>
              <w:snapToGrid w:val="0"/>
              <w:spacing w:line="360" w:lineRule="auto"/>
              <w:ind w:firstLine="480" w:firstLineChars="200"/>
              <w:rPr>
                <w:rFonts w:hint="default" w:ascii="Times New Roman" w:hAnsi="Times New Roman" w:cs="Times New Roman"/>
                <w:color w:val="auto"/>
              </w:rPr>
            </w:pPr>
          </w:p>
          <w:p>
            <w:pPr>
              <w:pStyle w:val="41"/>
              <w:snapToGrid w:val="0"/>
              <w:spacing w:line="360" w:lineRule="auto"/>
              <w:ind w:firstLine="480" w:firstLineChars="200"/>
              <w:rPr>
                <w:rFonts w:hint="default" w:ascii="Times New Roman" w:hAnsi="Times New Roman" w:cs="Times New Roman"/>
                <w:color w:val="auto"/>
              </w:rPr>
            </w:pPr>
          </w:p>
          <w:p>
            <w:pPr>
              <w:pStyle w:val="41"/>
              <w:snapToGrid w:val="0"/>
              <w:spacing w:line="360" w:lineRule="auto"/>
              <w:ind w:firstLine="480" w:firstLineChars="200"/>
              <w:rPr>
                <w:rFonts w:hint="default" w:ascii="Times New Roman" w:hAnsi="Times New Roman" w:cs="Times New Roman"/>
                <w:color w:val="auto"/>
              </w:rPr>
            </w:pPr>
          </w:p>
          <w:p>
            <w:pPr>
              <w:pStyle w:val="41"/>
              <w:snapToGrid w:val="0"/>
              <w:spacing w:line="360" w:lineRule="auto"/>
              <w:ind w:firstLine="480" w:firstLineChars="200"/>
              <w:rPr>
                <w:rFonts w:hint="default" w:ascii="Times New Roman" w:hAnsi="Times New Roman" w:cs="Times New Roman"/>
                <w:color w:val="auto"/>
              </w:rPr>
            </w:pPr>
          </w:p>
          <w:p>
            <w:pPr>
              <w:pStyle w:val="41"/>
              <w:snapToGrid w:val="0"/>
              <w:spacing w:line="360" w:lineRule="auto"/>
              <w:ind w:firstLine="480" w:firstLineChars="200"/>
              <w:rPr>
                <w:rFonts w:hint="default" w:ascii="Times New Roman" w:hAnsi="Times New Roman" w:cs="Times New Roman"/>
                <w:color w:val="auto"/>
              </w:rPr>
            </w:pPr>
          </w:p>
          <w:p>
            <w:pPr>
              <w:pStyle w:val="41"/>
              <w:snapToGrid w:val="0"/>
              <w:spacing w:line="360" w:lineRule="auto"/>
              <w:ind w:firstLine="480" w:firstLineChars="200"/>
              <w:rPr>
                <w:rFonts w:hint="default" w:ascii="Times New Roman" w:hAnsi="Times New Roman" w:cs="Times New Roman"/>
                <w:color w:val="auto"/>
              </w:rPr>
            </w:pPr>
          </w:p>
          <w:p>
            <w:pPr>
              <w:pStyle w:val="41"/>
              <w:snapToGrid w:val="0"/>
              <w:spacing w:line="360" w:lineRule="auto"/>
              <w:ind w:firstLine="480" w:firstLineChars="200"/>
              <w:rPr>
                <w:rFonts w:hint="default" w:ascii="Times New Roman" w:hAnsi="Times New Roman" w:cs="Times New Roman"/>
                <w:color w:val="auto"/>
              </w:rPr>
            </w:pPr>
          </w:p>
          <w:p>
            <w:pPr>
              <w:pStyle w:val="41"/>
              <w:snapToGrid w:val="0"/>
              <w:spacing w:line="360" w:lineRule="auto"/>
              <w:ind w:firstLine="480" w:firstLineChars="200"/>
              <w:rPr>
                <w:rFonts w:hint="default" w:ascii="Times New Roman" w:hAnsi="Times New Roman" w:cs="Times New Roman"/>
                <w:color w:val="auto"/>
              </w:rPr>
            </w:pPr>
          </w:p>
          <w:p>
            <w:pPr>
              <w:pStyle w:val="41"/>
              <w:snapToGrid w:val="0"/>
              <w:spacing w:line="360" w:lineRule="auto"/>
              <w:ind w:firstLine="480" w:firstLineChars="200"/>
              <w:rPr>
                <w:rFonts w:hint="default" w:ascii="Times New Roman" w:hAnsi="Times New Roman" w:cs="Times New Roman"/>
                <w:color w:val="auto"/>
              </w:rPr>
            </w:pPr>
          </w:p>
          <w:p>
            <w:pPr>
              <w:pStyle w:val="41"/>
              <w:snapToGrid w:val="0"/>
              <w:spacing w:line="360" w:lineRule="auto"/>
              <w:ind w:firstLine="480" w:firstLineChars="200"/>
              <w:rPr>
                <w:rFonts w:hint="default" w:ascii="Times New Roman" w:hAnsi="Times New Roman" w:cs="Times New Roman"/>
                <w:color w:val="auto"/>
              </w:rPr>
            </w:pPr>
          </w:p>
        </w:tc>
      </w:tr>
    </w:tbl>
    <w:p>
      <w:pPr>
        <w:spacing w:line="360" w:lineRule="auto"/>
        <w:rPr>
          <w:rFonts w:hint="default" w:ascii="Times New Roman" w:hAnsi="Times New Roman" w:cs="Times New Roman"/>
          <w:b/>
          <w:color w:val="auto"/>
          <w:sz w:val="28"/>
          <w:szCs w:val="28"/>
        </w:rPr>
        <w:sectPr>
          <w:pgSz w:w="11907" w:h="16839"/>
          <w:pgMar w:top="1800" w:right="1440" w:bottom="1800" w:left="1440" w:header="851" w:footer="992" w:gutter="0"/>
          <w:pgBorders>
            <w:top w:val="none" w:sz="0" w:space="0"/>
            <w:left w:val="none" w:sz="0" w:space="0"/>
            <w:bottom w:val="none" w:sz="0" w:space="0"/>
            <w:right w:val="none" w:sz="0" w:space="0"/>
          </w:pgBorders>
          <w:cols w:space="720" w:num="1"/>
          <w:docGrid w:type="linesAndChars" w:linePitch="312" w:charSpace="0"/>
        </w:sectPr>
      </w:pPr>
    </w:p>
    <w:p>
      <w:pPr>
        <w:spacing w:line="360" w:lineRule="auto"/>
        <w:rPr>
          <w:rFonts w:hint="default" w:ascii="Times New Roman" w:hAnsi="Times New Roman" w:cs="Times New Roman"/>
          <w:b/>
          <w:color w:val="auto"/>
          <w:sz w:val="28"/>
          <w:szCs w:val="28"/>
        </w:rPr>
        <w:sectPr>
          <w:type w:val="continuous"/>
          <w:pgSz w:w="11907" w:h="16839"/>
          <w:pgMar w:top="1800" w:right="1440" w:bottom="1800" w:left="1440" w:header="851" w:footer="992" w:gutter="0"/>
          <w:pgBorders>
            <w:top w:val="none" w:sz="0" w:space="0"/>
            <w:left w:val="none" w:sz="0" w:space="0"/>
            <w:bottom w:val="none" w:sz="0" w:space="0"/>
            <w:right w:val="none" w:sz="0" w:space="0"/>
          </w:pgBorders>
          <w:cols w:space="720" w:num="1"/>
          <w:docGrid w:type="linesAndChars" w:linePitch="312" w:charSpace="0"/>
        </w:sectPr>
      </w:pP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24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620" w:hRule="atLeast"/>
          <w:jc w:val="center"/>
        </w:trPr>
        <w:tc>
          <w:tcPr>
            <w:tcW w:w="5000" w:type="pct"/>
          </w:tcPr>
          <w:p>
            <w:pPr>
              <w:spacing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主要污染工序</w:t>
            </w:r>
          </w:p>
          <w:p>
            <w:pPr>
              <w:pStyle w:val="68"/>
              <w:ind w:firstLine="0" w:firstLineChars="0"/>
              <w:rPr>
                <w:rFonts w:hint="default" w:ascii="Times New Roman" w:hAnsi="Times New Roman" w:cs="Times New Roman"/>
                <w:color w:val="auto"/>
                <w:szCs w:val="24"/>
              </w:rPr>
            </w:pPr>
            <w:r>
              <w:rPr>
                <w:rFonts w:hint="default" w:ascii="Times New Roman" w:hAnsi="Times New Roman" w:cs="Times New Roman"/>
                <w:color w:val="auto"/>
                <w:szCs w:val="24"/>
              </w:rPr>
              <w:t>1施工期</w:t>
            </w:r>
          </w:p>
          <w:p>
            <w:pPr>
              <w:pStyle w:val="15"/>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建筑施工作业，将产生废水、粉尘、噪声和建筑垃圾，对局部区域会产生影响。施工期产生的施工废水、施工人员产生的生活污水和生活垃圾将影响当地的水质。施工废水中主要污染物为SS、石油类，施工人员的生活污水中BOD5、COD、氨氮；设备安装、建筑施工产生噪声将影响周围环境；施工活动会造成局部区域粉尘浓度增大。</w:t>
            </w:r>
          </w:p>
          <w:p>
            <w:pPr>
              <w:pStyle w:val="15"/>
              <w:spacing w:line="360" w:lineRule="auto"/>
              <w:rPr>
                <w:rFonts w:hint="default" w:ascii="Times New Roman" w:hAnsi="Times New Roman" w:cs="Times New Roman"/>
                <w:color w:val="auto"/>
                <w:szCs w:val="24"/>
              </w:rPr>
            </w:pPr>
            <w:r>
              <w:rPr>
                <w:rFonts w:hint="default" w:ascii="Times New Roman" w:hAnsi="Times New Roman" w:cs="Times New Roman"/>
                <w:color w:val="auto"/>
                <w:szCs w:val="24"/>
              </w:rPr>
              <w:t>1.1废水</w:t>
            </w:r>
          </w:p>
          <w:p>
            <w:pPr>
              <w:pStyle w:val="15"/>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施工期产生的废水主要包括施工废水和生活污水，其中生产废水主要是施工设备的冷却水和清洗水、冲洗地面水和混凝土养护产生的废水，含有一定泥砂，施工废水经沉淀池处理后回用于场地降尘，不外排，对地表水影响污。施工人员驻地为租借的城市建成区民房，废水排放入市政管网。经上述处理措施后，施工废水对地表水影响较小。</w:t>
            </w:r>
          </w:p>
          <w:p>
            <w:pPr>
              <w:pStyle w:val="15"/>
              <w:spacing w:line="360" w:lineRule="auto"/>
              <w:rPr>
                <w:rFonts w:hint="default" w:ascii="Times New Roman" w:hAnsi="Times New Roman" w:cs="Times New Roman"/>
                <w:color w:val="auto"/>
                <w:szCs w:val="24"/>
              </w:rPr>
            </w:pPr>
            <w:r>
              <w:rPr>
                <w:rFonts w:hint="default" w:ascii="Times New Roman" w:hAnsi="Times New Roman" w:cs="Times New Roman"/>
                <w:color w:val="auto"/>
                <w:szCs w:val="24"/>
              </w:rPr>
              <w:t>1.2废气</w:t>
            </w:r>
          </w:p>
          <w:p>
            <w:pPr>
              <w:pStyle w:val="15"/>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施工期大气污染物主要为施工机械尾气和扬尘等污染。作业机械有载重车、柴油动力机械等燃油机械，排放的污染物主要有一氧化碳、二氧化氮、总烃。由于施工机械多为大型机械，单车排放系数较大，而且施工机械数量少且较分散，其污染程度相对较轻。根据类比工程监测，在距离现场50m处，一氧化碳、二氧化氮1小时平均浓度分别为0.2mg/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和0.13mg/m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，24小时平均浓度分别为0.13mg/m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和0.062mg/m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，均能满足《环境空气质量标准》（GB3095-2012）二级标准的要求。</w:t>
            </w:r>
          </w:p>
          <w:p>
            <w:pPr>
              <w:pStyle w:val="15"/>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但施工场地的大气污染具有污染范围小，仅限于施工场地，时间短，仅限于施工期的特点。在施工过程中要开挖地基，平整土地，车辆运输。施工过程中扬尘对环境产生的一些不良影响是不可避免的。施工现场扬尘尤其是在风力较大和干燥气候条件下较为严重。施工扬尘主要产生在以下环节：</w:t>
            </w:r>
          </w:p>
          <w:p>
            <w:pPr>
              <w:pStyle w:val="15"/>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① 施工机械挖土时的扬尘；</w:t>
            </w:r>
          </w:p>
          <w:p>
            <w:pPr>
              <w:pStyle w:val="15"/>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② 施工土方堆放时产生的扬尘；</w:t>
            </w:r>
          </w:p>
          <w:p>
            <w:pPr>
              <w:pStyle w:val="15"/>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③ 场地的扬尘。</w:t>
            </w:r>
          </w:p>
          <w:p>
            <w:pPr>
              <w:pStyle w:val="15"/>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根据相关管道施工过程类比调查，施工场地上风向50m范围内TSP浓度约0.3mg/m3，施工工地内TSP浓度约为0.6～0.8 mg/m3。下风向50m距离TSP浓度约为0.45～0.5mg/m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，100m距离TSP浓度约为0.35～0.38 mg/m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，150m距离TSP浓度约为0.31～0.34 mg/m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。在施工场地内的TSP对施工现场的施工人员存在影响。为此，应采取环保措施以降低扬尘对环境的影响。</w:t>
            </w:r>
          </w:p>
          <w:p>
            <w:pPr>
              <w:pStyle w:val="15"/>
              <w:spacing w:line="360" w:lineRule="auto"/>
              <w:rPr>
                <w:rFonts w:hint="default" w:ascii="Times New Roman" w:hAnsi="Times New Roman" w:cs="Times New Roman"/>
                <w:color w:val="auto"/>
                <w:szCs w:val="24"/>
              </w:rPr>
            </w:pPr>
            <w:r>
              <w:rPr>
                <w:rFonts w:hint="default" w:ascii="Times New Roman" w:hAnsi="Times New Roman" w:cs="Times New Roman"/>
                <w:color w:val="auto"/>
                <w:szCs w:val="24"/>
              </w:rPr>
              <w:t>1.3噪声</w:t>
            </w:r>
          </w:p>
          <w:p>
            <w:pPr>
              <w:pStyle w:val="15"/>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工程施工期的噪声主要来源于施工机械，如推土机、轮式装载车、挖掘机等。这些机械运行时在距离声源5m处的噪声可高达80～98dB(A)。这些突发性非稳态声源将对施工人员和周围居民等敏感目标产生不利影响，主要噪声源强见表5-</w:t>
            </w:r>
            <w:r>
              <w:rPr>
                <w:rFonts w:hint="default" w:ascii="Times New Roman" w:hAnsi="Times New Roman" w:cs="Times New Roman"/>
                <w:color w:val="auto"/>
                <w:szCs w:val="24"/>
                <w:lang w:val="en-US" w:eastAsia="zh-CN"/>
              </w:rPr>
              <w:t>1</w:t>
            </w:r>
            <w:r>
              <w:rPr>
                <w:rFonts w:hint="default" w:ascii="Times New Roman" w:hAnsi="Times New Roman" w:cs="Times New Roman"/>
                <w:color w:val="auto"/>
                <w:szCs w:val="24"/>
              </w:rPr>
              <w:t>。</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表5-</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 xml:space="preserve"> 主要施工机械噪声值</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11"/>
              <w:gridCol w:w="2793"/>
              <w:gridCol w:w="2161"/>
              <w:gridCol w:w="2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71" w:type="pct"/>
                  <w:vAlign w:val="center"/>
                </w:tcPr>
                <w:p>
                  <w:pPr>
                    <w:pStyle w:val="111"/>
                    <w:rPr>
                      <w:rFonts w:hint="default" w:ascii="Times New Roman" w:hAnsi="Times New Roman" w:cs="Times New Roman"/>
                      <w:color w:val="auto"/>
                    </w:rPr>
                  </w:pPr>
                  <w:r>
                    <w:rPr>
                      <w:rFonts w:hint="default" w:ascii="Times New Roman" w:hAnsi="Times New Roman" w:eastAsia="宋体" w:cs="Times New Roman"/>
                      <w:color w:val="auto"/>
                    </w:rPr>
                    <w:t>序号</w:t>
                  </w:r>
                </w:p>
              </w:tc>
              <w:tc>
                <w:tcPr>
                  <w:tcW w:w="1547" w:type="pct"/>
                  <w:vAlign w:val="center"/>
                </w:tcPr>
                <w:p>
                  <w:pPr>
                    <w:pStyle w:val="111"/>
                    <w:rPr>
                      <w:rFonts w:hint="default" w:ascii="Times New Roman" w:hAnsi="Times New Roman" w:cs="Times New Roman"/>
                      <w:color w:val="auto"/>
                    </w:rPr>
                  </w:pPr>
                  <w:r>
                    <w:rPr>
                      <w:rFonts w:hint="default" w:ascii="Times New Roman" w:hAnsi="Times New Roman" w:eastAsia="宋体" w:cs="Times New Roman"/>
                      <w:color w:val="auto"/>
                    </w:rPr>
                    <w:t>机械、车辆类型</w:t>
                  </w:r>
                </w:p>
              </w:tc>
              <w:tc>
                <w:tcPr>
                  <w:tcW w:w="1197" w:type="pct"/>
                  <w:vAlign w:val="center"/>
                </w:tcPr>
                <w:p>
                  <w:pPr>
                    <w:pStyle w:val="111"/>
                    <w:rPr>
                      <w:rFonts w:hint="default" w:ascii="Times New Roman" w:hAnsi="Times New Roman" w:cs="Times New Roman"/>
                      <w:color w:val="auto"/>
                    </w:rPr>
                  </w:pPr>
                  <w:r>
                    <w:rPr>
                      <w:rFonts w:hint="default" w:ascii="Times New Roman" w:hAnsi="Times New Roman" w:eastAsia="宋体" w:cs="Times New Roman"/>
                      <w:color w:val="auto"/>
                    </w:rPr>
                    <w:t>测点位置（</w:t>
                  </w:r>
                  <w:r>
                    <w:rPr>
                      <w:rFonts w:hint="default" w:ascii="Times New Roman" w:hAnsi="Times New Roman" w:cs="Times New Roman"/>
                      <w:color w:val="auto"/>
                    </w:rPr>
                    <w:t>m</w:t>
                  </w:r>
                  <w:r>
                    <w:rPr>
                      <w:rFonts w:hint="default" w:ascii="Times New Roman" w:hAnsi="Times New Roman" w:eastAsia="宋体" w:cs="Times New Roman"/>
                      <w:color w:val="auto"/>
                    </w:rPr>
                    <w:t>）</w:t>
                  </w:r>
                </w:p>
              </w:tc>
              <w:tc>
                <w:tcPr>
                  <w:tcW w:w="1585" w:type="pct"/>
                  <w:vAlign w:val="center"/>
                </w:tcPr>
                <w:p>
                  <w:pPr>
                    <w:pStyle w:val="111"/>
                    <w:rPr>
                      <w:rFonts w:hint="default" w:ascii="Times New Roman" w:hAnsi="Times New Roman" w:cs="Times New Roman"/>
                      <w:color w:val="auto"/>
                    </w:rPr>
                  </w:pPr>
                  <w:r>
                    <w:rPr>
                      <w:rFonts w:hint="default" w:ascii="Times New Roman" w:hAnsi="Times New Roman" w:eastAsia="宋体" w:cs="Times New Roman"/>
                      <w:color w:val="auto"/>
                    </w:rPr>
                    <w:t>噪声值（</w:t>
                  </w:r>
                  <w:r>
                    <w:rPr>
                      <w:rFonts w:hint="default" w:ascii="Times New Roman" w:hAnsi="Times New Roman" w:cs="Times New Roman"/>
                      <w:color w:val="auto"/>
                    </w:rPr>
                    <w:t>dB(A)</w:t>
                  </w:r>
                  <w:r>
                    <w:rPr>
                      <w:rFonts w:hint="default" w:ascii="Times New Roman" w:hAnsi="Times New Roman" w:eastAsia="宋体" w:cs="Times New Roman"/>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71" w:type="pct"/>
                  <w:vAlign w:val="center"/>
                </w:tcPr>
                <w:p>
                  <w:pPr>
                    <w:pStyle w:val="111"/>
                    <w:rPr>
                      <w:rFonts w:hint="default" w:ascii="Times New Roman" w:hAnsi="Times New Roman" w:cs="Times New Roman"/>
                      <w:color w:val="auto"/>
                    </w:rPr>
                  </w:pPr>
                  <w:r>
                    <w:rPr>
                      <w:rFonts w:hint="default" w:ascii="Times New Roman" w:hAnsi="Times New Roman" w:cs="Times New Roman"/>
                      <w:color w:val="auto"/>
                    </w:rPr>
                    <w:t>1</w:t>
                  </w:r>
                </w:p>
              </w:tc>
              <w:tc>
                <w:tcPr>
                  <w:tcW w:w="1547" w:type="pct"/>
                  <w:vAlign w:val="center"/>
                </w:tcPr>
                <w:p>
                  <w:pPr>
                    <w:pStyle w:val="111"/>
                    <w:rPr>
                      <w:rFonts w:hint="default" w:ascii="Times New Roman" w:hAnsi="Times New Roman" w:cs="Times New Roman"/>
                      <w:color w:val="auto"/>
                    </w:rPr>
                  </w:pPr>
                  <w:r>
                    <w:rPr>
                      <w:rFonts w:hint="default" w:ascii="Times New Roman" w:hAnsi="Times New Roman" w:eastAsia="宋体" w:cs="Times New Roman"/>
                      <w:color w:val="auto"/>
                    </w:rPr>
                    <w:t>挖掘机</w:t>
                  </w:r>
                </w:p>
              </w:tc>
              <w:tc>
                <w:tcPr>
                  <w:tcW w:w="1197" w:type="pct"/>
                  <w:vAlign w:val="center"/>
                </w:tcPr>
                <w:p>
                  <w:pPr>
                    <w:pStyle w:val="111"/>
                    <w:rPr>
                      <w:rFonts w:hint="default" w:ascii="Times New Roman" w:hAnsi="Times New Roman" w:cs="Times New Roman"/>
                      <w:color w:val="auto"/>
                    </w:rPr>
                  </w:pPr>
                  <w:r>
                    <w:rPr>
                      <w:rFonts w:hint="default" w:ascii="Times New Roman" w:hAnsi="Times New Roman" w:cs="Times New Roman"/>
                      <w:color w:val="auto"/>
                    </w:rPr>
                    <w:t>5</w:t>
                  </w:r>
                </w:p>
              </w:tc>
              <w:tc>
                <w:tcPr>
                  <w:tcW w:w="1585" w:type="pct"/>
                  <w:vAlign w:val="center"/>
                </w:tcPr>
                <w:p>
                  <w:pPr>
                    <w:pStyle w:val="111"/>
                    <w:rPr>
                      <w:rFonts w:hint="default" w:ascii="Times New Roman" w:hAnsi="Times New Roman" w:cs="Times New Roman"/>
                      <w:color w:val="auto"/>
                    </w:rPr>
                  </w:pPr>
                  <w:r>
                    <w:rPr>
                      <w:rFonts w:hint="default" w:ascii="Times New Roman" w:hAnsi="Times New Roman" w:cs="Times New Roman"/>
                      <w:color w:val="auto"/>
                    </w:rPr>
                    <w:t>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71" w:type="pct"/>
                  <w:vAlign w:val="center"/>
                </w:tcPr>
                <w:p>
                  <w:pPr>
                    <w:pStyle w:val="111"/>
                    <w:rPr>
                      <w:rFonts w:hint="default" w:ascii="Times New Roman" w:hAnsi="Times New Roman" w:cs="Times New Roman"/>
                      <w:color w:val="auto"/>
                    </w:rPr>
                  </w:pPr>
                  <w:r>
                    <w:rPr>
                      <w:rFonts w:hint="default" w:ascii="Times New Roman" w:hAnsi="Times New Roman" w:cs="Times New Roman"/>
                      <w:color w:val="auto"/>
                    </w:rPr>
                    <w:t>2</w:t>
                  </w:r>
                </w:p>
              </w:tc>
              <w:tc>
                <w:tcPr>
                  <w:tcW w:w="1547" w:type="pct"/>
                  <w:vAlign w:val="center"/>
                </w:tcPr>
                <w:p>
                  <w:pPr>
                    <w:pStyle w:val="111"/>
                    <w:rPr>
                      <w:rFonts w:hint="default" w:ascii="Times New Roman" w:hAnsi="Times New Roman" w:cs="Times New Roman"/>
                      <w:color w:val="auto"/>
                    </w:rPr>
                  </w:pPr>
                  <w:r>
                    <w:rPr>
                      <w:rFonts w:hint="default" w:ascii="Times New Roman" w:hAnsi="Times New Roman" w:eastAsia="宋体" w:cs="Times New Roman"/>
                      <w:color w:val="auto"/>
                    </w:rPr>
                    <w:t>推土机</w:t>
                  </w:r>
                </w:p>
              </w:tc>
              <w:tc>
                <w:tcPr>
                  <w:tcW w:w="1197" w:type="pct"/>
                  <w:vAlign w:val="center"/>
                </w:tcPr>
                <w:p>
                  <w:pPr>
                    <w:pStyle w:val="111"/>
                    <w:rPr>
                      <w:rFonts w:hint="default" w:ascii="Times New Roman" w:hAnsi="Times New Roman" w:cs="Times New Roman"/>
                      <w:color w:val="auto"/>
                    </w:rPr>
                  </w:pPr>
                  <w:r>
                    <w:rPr>
                      <w:rFonts w:hint="default" w:ascii="Times New Roman" w:hAnsi="Times New Roman" w:cs="Times New Roman"/>
                      <w:color w:val="auto"/>
                    </w:rPr>
                    <w:t>5</w:t>
                  </w:r>
                </w:p>
              </w:tc>
              <w:tc>
                <w:tcPr>
                  <w:tcW w:w="1585" w:type="pct"/>
                  <w:vAlign w:val="center"/>
                </w:tcPr>
                <w:p>
                  <w:pPr>
                    <w:pStyle w:val="111"/>
                    <w:rPr>
                      <w:rFonts w:hint="default" w:ascii="Times New Roman" w:hAnsi="Times New Roman" w:cs="Times New Roman"/>
                      <w:color w:val="auto"/>
                    </w:rPr>
                  </w:pPr>
                  <w:r>
                    <w:rPr>
                      <w:rFonts w:hint="default" w:ascii="Times New Roman" w:hAnsi="Times New Roman" w:cs="Times New Roman"/>
                      <w:color w:val="auto"/>
                    </w:rPr>
                    <w:t>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71" w:type="pct"/>
                  <w:vAlign w:val="center"/>
                </w:tcPr>
                <w:p>
                  <w:pPr>
                    <w:pStyle w:val="111"/>
                    <w:rPr>
                      <w:rFonts w:hint="default" w:ascii="Times New Roman" w:hAnsi="Times New Roman" w:cs="Times New Roman"/>
                      <w:color w:val="auto"/>
                    </w:rPr>
                  </w:pPr>
                  <w:r>
                    <w:rPr>
                      <w:rFonts w:hint="default" w:ascii="Times New Roman" w:hAnsi="Times New Roman" w:cs="Times New Roman"/>
                      <w:color w:val="auto"/>
                    </w:rPr>
                    <w:t>3</w:t>
                  </w:r>
                </w:p>
              </w:tc>
              <w:tc>
                <w:tcPr>
                  <w:tcW w:w="1547" w:type="pct"/>
                  <w:vAlign w:val="center"/>
                </w:tcPr>
                <w:p>
                  <w:pPr>
                    <w:pStyle w:val="111"/>
                    <w:rPr>
                      <w:rFonts w:hint="default" w:ascii="Times New Roman" w:hAnsi="Times New Roman" w:cs="Times New Roman"/>
                      <w:color w:val="auto"/>
                    </w:rPr>
                  </w:pPr>
                  <w:r>
                    <w:rPr>
                      <w:rFonts w:hint="default" w:ascii="Times New Roman" w:hAnsi="Times New Roman" w:eastAsia="宋体" w:cs="Times New Roman"/>
                      <w:color w:val="auto"/>
                    </w:rPr>
                    <w:t>轮式装载车</w:t>
                  </w:r>
                </w:p>
              </w:tc>
              <w:tc>
                <w:tcPr>
                  <w:tcW w:w="1197" w:type="pct"/>
                  <w:vAlign w:val="center"/>
                </w:tcPr>
                <w:p>
                  <w:pPr>
                    <w:pStyle w:val="111"/>
                    <w:rPr>
                      <w:rFonts w:hint="default" w:ascii="Times New Roman" w:hAnsi="Times New Roman" w:cs="Times New Roman"/>
                      <w:color w:val="auto"/>
                    </w:rPr>
                  </w:pPr>
                  <w:r>
                    <w:rPr>
                      <w:rFonts w:hint="default" w:ascii="Times New Roman" w:hAnsi="Times New Roman" w:cs="Times New Roman"/>
                      <w:color w:val="auto"/>
                    </w:rPr>
                    <w:t>5</w:t>
                  </w:r>
                </w:p>
              </w:tc>
              <w:tc>
                <w:tcPr>
                  <w:tcW w:w="1585" w:type="pct"/>
                  <w:vAlign w:val="center"/>
                </w:tcPr>
                <w:p>
                  <w:pPr>
                    <w:pStyle w:val="111"/>
                    <w:rPr>
                      <w:rFonts w:hint="default" w:ascii="Times New Roman" w:hAnsi="Times New Roman" w:cs="Times New Roman"/>
                      <w:color w:val="auto"/>
                    </w:rPr>
                  </w:pPr>
                  <w:r>
                    <w:rPr>
                      <w:rFonts w:hint="default" w:ascii="Times New Roman" w:hAnsi="Times New Roman" w:cs="Times New Roman"/>
                      <w:color w:val="auto"/>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71" w:type="pct"/>
                  <w:vAlign w:val="center"/>
                </w:tcPr>
                <w:p>
                  <w:pPr>
                    <w:pStyle w:val="111"/>
                    <w:rPr>
                      <w:rFonts w:hint="default" w:ascii="Times New Roman" w:hAnsi="Times New Roman" w:cs="Times New Roman"/>
                      <w:color w:val="auto"/>
                    </w:rPr>
                  </w:pPr>
                  <w:r>
                    <w:rPr>
                      <w:rFonts w:hint="default" w:ascii="Times New Roman" w:hAnsi="Times New Roman" w:cs="Times New Roman"/>
                      <w:color w:val="auto"/>
                    </w:rPr>
                    <w:t>4</w:t>
                  </w:r>
                </w:p>
              </w:tc>
              <w:tc>
                <w:tcPr>
                  <w:tcW w:w="1547" w:type="pct"/>
                  <w:vAlign w:val="center"/>
                </w:tcPr>
                <w:p>
                  <w:pPr>
                    <w:pStyle w:val="111"/>
                    <w:rPr>
                      <w:rFonts w:hint="default" w:ascii="Times New Roman" w:hAnsi="Times New Roman" w:cs="Times New Roman"/>
                      <w:color w:val="auto"/>
                    </w:rPr>
                  </w:pPr>
                  <w:r>
                    <w:rPr>
                      <w:rFonts w:hint="default" w:ascii="Times New Roman" w:hAnsi="Times New Roman" w:eastAsia="宋体" w:cs="Times New Roman"/>
                      <w:color w:val="auto"/>
                    </w:rPr>
                    <w:t>起重机</w:t>
                  </w:r>
                </w:p>
              </w:tc>
              <w:tc>
                <w:tcPr>
                  <w:tcW w:w="1197" w:type="pct"/>
                  <w:vAlign w:val="center"/>
                </w:tcPr>
                <w:p>
                  <w:pPr>
                    <w:pStyle w:val="111"/>
                    <w:rPr>
                      <w:rFonts w:hint="default" w:ascii="Times New Roman" w:hAnsi="Times New Roman" w:cs="Times New Roman"/>
                      <w:color w:val="auto"/>
                    </w:rPr>
                  </w:pPr>
                  <w:r>
                    <w:rPr>
                      <w:rFonts w:hint="default" w:ascii="Times New Roman" w:hAnsi="Times New Roman" w:cs="Times New Roman"/>
                      <w:color w:val="auto"/>
                    </w:rPr>
                    <w:t>5</w:t>
                  </w:r>
                </w:p>
              </w:tc>
              <w:tc>
                <w:tcPr>
                  <w:tcW w:w="1585" w:type="pct"/>
                  <w:vAlign w:val="center"/>
                </w:tcPr>
                <w:p>
                  <w:pPr>
                    <w:pStyle w:val="111"/>
                    <w:rPr>
                      <w:rFonts w:hint="default" w:ascii="Times New Roman" w:hAnsi="Times New Roman" w:cs="Times New Roman"/>
                      <w:color w:val="auto"/>
                    </w:rPr>
                  </w:pPr>
                  <w:r>
                    <w:rPr>
                      <w:rFonts w:hint="default" w:ascii="Times New Roman" w:hAnsi="Times New Roman" w:cs="Times New Roman"/>
                      <w:color w:val="auto"/>
                    </w:rPr>
                    <w:t>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71" w:type="pct"/>
                  <w:vAlign w:val="center"/>
                </w:tcPr>
                <w:p>
                  <w:pPr>
                    <w:pStyle w:val="111"/>
                    <w:rPr>
                      <w:rFonts w:hint="default" w:ascii="Times New Roman" w:hAnsi="Times New Roman" w:cs="Times New Roman"/>
                      <w:color w:val="auto"/>
                    </w:rPr>
                  </w:pPr>
                  <w:r>
                    <w:rPr>
                      <w:rFonts w:hint="default" w:ascii="Times New Roman" w:hAnsi="Times New Roman" w:cs="Times New Roman"/>
                      <w:color w:val="auto"/>
                    </w:rPr>
                    <w:t>5</w:t>
                  </w:r>
                </w:p>
              </w:tc>
              <w:tc>
                <w:tcPr>
                  <w:tcW w:w="1547" w:type="pct"/>
                  <w:vAlign w:val="center"/>
                </w:tcPr>
                <w:p>
                  <w:pPr>
                    <w:pStyle w:val="111"/>
                    <w:rPr>
                      <w:rFonts w:hint="default" w:ascii="Times New Roman" w:hAnsi="Times New Roman" w:cs="Times New Roman"/>
                      <w:color w:val="auto"/>
                    </w:rPr>
                  </w:pPr>
                  <w:r>
                    <w:rPr>
                      <w:rFonts w:hint="default" w:ascii="Times New Roman" w:hAnsi="Times New Roman" w:eastAsia="宋体" w:cs="Times New Roman"/>
                      <w:color w:val="auto"/>
                    </w:rPr>
                    <w:t>冲击式钻机</w:t>
                  </w:r>
                </w:p>
              </w:tc>
              <w:tc>
                <w:tcPr>
                  <w:tcW w:w="1197" w:type="pct"/>
                  <w:vAlign w:val="center"/>
                </w:tcPr>
                <w:p>
                  <w:pPr>
                    <w:pStyle w:val="111"/>
                    <w:rPr>
                      <w:rFonts w:hint="default" w:ascii="Times New Roman" w:hAnsi="Times New Roman" w:cs="Times New Roman"/>
                      <w:color w:val="auto"/>
                    </w:rPr>
                  </w:pPr>
                  <w:r>
                    <w:rPr>
                      <w:rFonts w:hint="default" w:ascii="Times New Roman" w:hAnsi="Times New Roman" w:cs="Times New Roman"/>
                      <w:color w:val="auto"/>
                    </w:rPr>
                    <w:t>1</w:t>
                  </w:r>
                </w:p>
              </w:tc>
              <w:tc>
                <w:tcPr>
                  <w:tcW w:w="1585" w:type="pct"/>
                  <w:vAlign w:val="center"/>
                </w:tcPr>
                <w:p>
                  <w:pPr>
                    <w:pStyle w:val="111"/>
                    <w:rPr>
                      <w:rFonts w:hint="default" w:ascii="Times New Roman" w:hAnsi="Times New Roman" w:cs="Times New Roman"/>
                      <w:color w:val="auto"/>
                    </w:rPr>
                  </w:pPr>
                  <w:r>
                    <w:rPr>
                      <w:rFonts w:hint="default" w:ascii="Times New Roman" w:hAnsi="Times New Roman" w:cs="Times New Roman"/>
                      <w:color w:val="auto"/>
                    </w:rPr>
                    <w:t>87</w:t>
                  </w:r>
                </w:p>
              </w:tc>
            </w:tr>
          </w:tbl>
          <w:p>
            <w:pPr>
              <w:pStyle w:val="15"/>
              <w:spacing w:line="360" w:lineRule="auto"/>
              <w:rPr>
                <w:rFonts w:hint="default" w:ascii="Times New Roman" w:hAnsi="Times New Roman" w:cs="Times New Roman"/>
                <w:b/>
                <w:bCs/>
                <w:color w:val="auto"/>
                <w:szCs w:val="24"/>
              </w:rPr>
            </w:pPr>
            <w:r>
              <w:rPr>
                <w:rFonts w:hint="default" w:ascii="Times New Roman" w:hAnsi="Times New Roman" w:cs="Times New Roman"/>
                <w:b/>
                <w:bCs/>
                <w:color w:val="auto"/>
                <w:szCs w:val="24"/>
              </w:rPr>
              <w:t>1.4固体废物</w:t>
            </w:r>
          </w:p>
          <w:p>
            <w:pPr>
              <w:pStyle w:val="15"/>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项目施工过程中产生的固体废物主要包括生活垃圾和建筑垃圾，项目建设开挖土方量2000m3，本项目建筑垃圾主要为管道敷设挖方产生的砂土砖头等，产生量约452m3。施工垃圾来自施工人员生活垃圾，按施工高峰期30人计，每人每天0.5kg生活垃圾，施工人员生活垃圾产生量为15kg/d。</w:t>
            </w:r>
          </w:p>
          <w:p>
            <w:pPr>
              <w:pStyle w:val="15"/>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施工人员产生的生活垃圾量较少，但生活垃圾中一般含有较多的有机物，极易引起细菌、蚊蝇的大量繁殖，故施工生活区的生活垃圾若不能集中收集处理，随意堆弃或排放，不但造成施工生活区内传染病率的上升和易于传播，也会给附近居民的健康产生一定的不利影响，同时生活垃圾露天自然降解所带来的恶臭还会给周围人群带来不良影响。</w:t>
            </w:r>
          </w:p>
          <w:p>
            <w:pPr>
              <w:pStyle w:val="15"/>
              <w:spacing w:line="360" w:lineRule="auto"/>
              <w:rPr>
                <w:rFonts w:hint="default" w:ascii="Times New Roman" w:hAnsi="Times New Roman" w:cs="Times New Roman"/>
                <w:b/>
                <w:bCs/>
                <w:color w:val="auto"/>
                <w:szCs w:val="24"/>
              </w:rPr>
            </w:pPr>
            <w:r>
              <w:rPr>
                <w:rFonts w:hint="default" w:ascii="Times New Roman" w:hAnsi="Times New Roman" w:cs="Times New Roman"/>
                <w:b/>
                <w:bCs/>
                <w:color w:val="auto"/>
                <w:szCs w:val="24"/>
              </w:rPr>
              <w:t>1.5生态环境影响</w:t>
            </w:r>
          </w:p>
          <w:p>
            <w:pPr>
              <w:pStyle w:val="15"/>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本项目管线仅进行厂区内管线连接铺设工作，施工过程对环境的影响主要来自施工作业带清理、开挖管沟、建设施工便道等施工活动中施工机械、车辆、人员践踏等对土壤的扰动和植被的破坏，造成的土地裸露加剧水土流失。本工程施工在现有厂区范围内，开挖管沟为现有硬化道路，不涉及对植被的破坏，随着本项目施工的结束，影响随之消失。</w:t>
            </w:r>
          </w:p>
          <w:p>
            <w:pPr>
              <w:pStyle w:val="68"/>
              <w:ind w:firstLine="0" w:firstLineChars="0"/>
              <w:rPr>
                <w:rFonts w:hint="default" w:ascii="Times New Roman" w:hAnsi="Times New Roman" w:cs="Times New Roman"/>
                <w:color w:val="auto"/>
                <w:szCs w:val="24"/>
              </w:rPr>
            </w:pPr>
            <w:r>
              <w:rPr>
                <w:rFonts w:hint="default" w:ascii="Times New Roman" w:hAnsi="Times New Roman" w:cs="Times New Roman"/>
                <w:color w:val="auto"/>
                <w:szCs w:val="24"/>
              </w:rPr>
              <w:t>2运营期</w:t>
            </w:r>
          </w:p>
          <w:p>
            <w:pPr>
              <w:snapToGrid w:val="0"/>
              <w:spacing w:line="360" w:lineRule="auto"/>
              <w:ind w:firstLine="480" w:firstLineChars="200"/>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本项目为改扩建工程，为原有渗滤液处理工程改造项目，厂区原有垃圾填埋场已运营多年，且取得环评及验收等环保手续，因此本次只针对本次新增渗滤液处理车间进行污染分析。运营期污染物产污节点及主要污染因子见表5-</w:t>
            </w:r>
            <w:r>
              <w:rPr>
                <w:rFonts w:hint="default" w:ascii="Times New Roman" w:hAnsi="Times New Roman" w:cs="Times New Roman"/>
                <w:color w:val="auto"/>
                <w:kern w:val="2"/>
                <w:sz w:val="24"/>
                <w:szCs w:val="24"/>
                <w:lang w:val="en-US" w:eastAsia="zh-CN"/>
              </w:rPr>
              <w:t>2</w:t>
            </w:r>
            <w:r>
              <w:rPr>
                <w:rFonts w:hint="default" w:ascii="Times New Roman" w:hAnsi="Times New Roman" w:cs="Times New Roman"/>
                <w:color w:val="auto"/>
                <w:kern w:val="2"/>
                <w:sz w:val="24"/>
                <w:szCs w:val="24"/>
              </w:rPr>
              <w:t>。</w:t>
            </w:r>
          </w:p>
          <w:p>
            <w:pPr>
              <w:adjustRightInd/>
              <w:snapToGrid w:val="0"/>
              <w:spacing w:line="240" w:lineRule="auto"/>
              <w:jc w:val="center"/>
              <w:textAlignment w:val="auto"/>
              <w:rPr>
                <w:rFonts w:hint="default" w:ascii="Times New Roman" w:hAnsi="Times New Roman" w:cs="Times New Roman"/>
                <w:b/>
                <w:bCs/>
                <w:color w:val="auto"/>
                <w:kern w:val="2"/>
                <w:sz w:val="24"/>
                <w:szCs w:val="24"/>
              </w:rPr>
            </w:pPr>
            <w:r>
              <w:rPr>
                <w:rFonts w:hint="default" w:ascii="Times New Roman" w:hAnsi="Times New Roman" w:cs="Times New Roman"/>
                <w:b/>
                <w:bCs/>
                <w:color w:val="auto"/>
                <w:kern w:val="2"/>
                <w:sz w:val="24"/>
                <w:szCs w:val="24"/>
              </w:rPr>
              <w:t>表5-</w:t>
            </w:r>
            <w:r>
              <w:rPr>
                <w:rFonts w:hint="default" w:ascii="Times New Roman" w:hAnsi="Times New Roman" w:cs="Times New Roman"/>
                <w:b/>
                <w:bCs/>
                <w:color w:val="auto"/>
                <w:kern w:val="2"/>
                <w:sz w:val="24"/>
                <w:szCs w:val="24"/>
                <w:lang w:val="en-US" w:eastAsia="zh-CN"/>
              </w:rPr>
              <w:t>2</w:t>
            </w:r>
            <w:r>
              <w:rPr>
                <w:rFonts w:hint="default" w:ascii="Times New Roman" w:hAnsi="Times New Roman" w:cs="Times New Roman"/>
                <w:b/>
                <w:bCs/>
                <w:color w:val="auto"/>
                <w:kern w:val="2"/>
                <w:sz w:val="24"/>
                <w:szCs w:val="24"/>
              </w:rPr>
              <w:t>主要污染工序及污染因子一览表</w:t>
            </w:r>
          </w:p>
          <w:tbl>
            <w:tblPr>
              <w:tblStyle w:val="33"/>
              <w:tblW w:w="90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 w:type="dxa"/>
                <w:bottom w:w="0" w:type="dxa"/>
                <w:right w:w="10" w:type="dxa"/>
              </w:tblCellMar>
            </w:tblPr>
            <w:tblGrid>
              <w:gridCol w:w="1627"/>
              <w:gridCol w:w="2447"/>
              <w:gridCol w:w="2241"/>
              <w:gridCol w:w="27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jc w:val="center"/>
              </w:trPr>
              <w:tc>
                <w:tcPr>
                  <w:tcW w:w="4074" w:type="dxa"/>
                  <w:gridSpan w:val="2"/>
                  <w:shd w:val="clear" w:color="auto" w:fill="FFFFFF"/>
                  <w:vAlign w:val="center"/>
                </w:tcPr>
                <w:p>
                  <w:pPr>
                    <w:pStyle w:val="75"/>
                    <w:shd w:val="clear" w:color="auto" w:fill="auto"/>
                    <w:adjustRightInd w:val="0"/>
                    <w:snapToGrid w:val="0"/>
                    <w:spacing w:after="0"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污染工序</w:t>
                  </w:r>
                </w:p>
              </w:tc>
              <w:tc>
                <w:tcPr>
                  <w:tcW w:w="2241" w:type="dxa"/>
                  <w:shd w:val="clear" w:color="auto" w:fill="FFFFFF"/>
                  <w:vAlign w:val="center"/>
                </w:tcPr>
                <w:p>
                  <w:pPr>
                    <w:pStyle w:val="75"/>
                    <w:shd w:val="clear" w:color="auto" w:fill="auto"/>
                    <w:adjustRightInd w:val="0"/>
                    <w:snapToGrid w:val="0"/>
                    <w:spacing w:after="0"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2734" w:type="dxa"/>
                  <w:shd w:val="clear" w:color="auto" w:fill="FFFFFF"/>
                  <w:vAlign w:val="center"/>
                </w:tcPr>
                <w:p>
                  <w:pPr>
                    <w:pStyle w:val="75"/>
                    <w:shd w:val="clear" w:color="auto" w:fill="auto"/>
                    <w:adjustRightInd w:val="0"/>
                    <w:snapToGrid w:val="0"/>
                    <w:spacing w:after="0"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jc w:val="center"/>
              </w:trPr>
              <w:tc>
                <w:tcPr>
                  <w:tcW w:w="1627" w:type="dxa"/>
                  <w:vMerge w:val="restart"/>
                  <w:shd w:val="clear" w:color="auto" w:fill="FFFFFF"/>
                  <w:vAlign w:val="center"/>
                </w:tcPr>
                <w:p>
                  <w:pPr>
                    <w:pStyle w:val="75"/>
                    <w:shd w:val="clear" w:color="auto" w:fill="auto"/>
                    <w:adjustRightInd w:val="0"/>
                    <w:snapToGrid w:val="0"/>
                    <w:spacing w:after="0"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渗滤液处理车间</w:t>
                  </w:r>
                </w:p>
              </w:tc>
              <w:tc>
                <w:tcPr>
                  <w:tcW w:w="2447" w:type="dxa"/>
                  <w:vMerge w:val="restart"/>
                  <w:shd w:val="clear" w:color="auto" w:fill="FFFFFF"/>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气浮</w:t>
                  </w:r>
                </w:p>
              </w:tc>
              <w:tc>
                <w:tcPr>
                  <w:tcW w:w="2241" w:type="dxa"/>
                  <w:shd w:val="clear" w:color="auto" w:fill="FFFFFF"/>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恶臭气体</w:t>
                  </w:r>
                </w:p>
              </w:tc>
              <w:tc>
                <w:tcPr>
                  <w:tcW w:w="2734" w:type="dxa"/>
                  <w:shd w:val="clear" w:color="auto" w:fill="FFFFFF"/>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S、NH</w:t>
                  </w:r>
                  <w:r>
                    <w:rPr>
                      <w:rFonts w:hint="default" w:ascii="Times New Roman" w:hAnsi="Times New Roman" w:cs="Times New Roman"/>
                      <w:color w:val="auto"/>
                      <w:szCs w:val="21"/>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jc w:val="center"/>
              </w:trPr>
              <w:tc>
                <w:tcPr>
                  <w:tcW w:w="1627" w:type="dxa"/>
                  <w:vMerge w:val="continue"/>
                  <w:shd w:val="clear" w:color="auto" w:fill="FFFFFF"/>
                  <w:vAlign w:val="center"/>
                </w:tcPr>
                <w:p>
                  <w:pPr>
                    <w:pStyle w:val="75"/>
                    <w:shd w:val="clear" w:color="auto" w:fill="auto"/>
                    <w:adjustRightInd w:val="0"/>
                    <w:snapToGrid w:val="0"/>
                    <w:spacing w:after="0" w:line="240" w:lineRule="auto"/>
                    <w:ind w:firstLine="0"/>
                    <w:jc w:val="center"/>
                    <w:rPr>
                      <w:rFonts w:hint="default" w:ascii="Times New Roman" w:hAnsi="Times New Roman" w:eastAsia="宋体" w:cs="Times New Roman"/>
                      <w:color w:val="auto"/>
                      <w:sz w:val="21"/>
                      <w:szCs w:val="21"/>
                    </w:rPr>
                  </w:pPr>
                </w:p>
              </w:tc>
              <w:tc>
                <w:tcPr>
                  <w:tcW w:w="2447" w:type="dxa"/>
                  <w:vMerge w:val="continue"/>
                  <w:shd w:val="clear" w:color="auto" w:fill="FFFFFF"/>
                  <w:vAlign w:val="center"/>
                </w:tcPr>
                <w:p>
                  <w:pPr>
                    <w:snapToGrid w:val="0"/>
                    <w:spacing w:line="240" w:lineRule="auto"/>
                    <w:jc w:val="center"/>
                    <w:rPr>
                      <w:rFonts w:hint="default" w:ascii="Times New Roman" w:hAnsi="Times New Roman" w:cs="Times New Roman"/>
                      <w:color w:val="auto"/>
                      <w:szCs w:val="21"/>
                    </w:rPr>
                  </w:pPr>
                </w:p>
              </w:tc>
              <w:tc>
                <w:tcPr>
                  <w:tcW w:w="2241" w:type="dxa"/>
                  <w:shd w:val="clear" w:color="auto" w:fill="FFFFFF"/>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污泥</w:t>
                  </w:r>
                </w:p>
              </w:tc>
              <w:tc>
                <w:tcPr>
                  <w:tcW w:w="2734" w:type="dxa"/>
                  <w:shd w:val="clear" w:color="auto" w:fill="FFFFFF"/>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浮渣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jc w:val="center"/>
              </w:trPr>
              <w:tc>
                <w:tcPr>
                  <w:tcW w:w="1627" w:type="dxa"/>
                  <w:vMerge w:val="continue"/>
                  <w:shd w:val="clear" w:color="auto" w:fill="FFFFFF"/>
                  <w:vAlign w:val="center"/>
                </w:tcPr>
                <w:p>
                  <w:pPr>
                    <w:pStyle w:val="75"/>
                    <w:shd w:val="clear" w:color="auto" w:fill="auto"/>
                    <w:adjustRightInd w:val="0"/>
                    <w:snapToGrid w:val="0"/>
                    <w:spacing w:after="0" w:line="240" w:lineRule="auto"/>
                    <w:ind w:firstLine="0"/>
                    <w:jc w:val="center"/>
                    <w:rPr>
                      <w:rFonts w:hint="default" w:ascii="Times New Roman" w:hAnsi="Times New Roman" w:eastAsia="宋体" w:cs="Times New Roman"/>
                      <w:color w:val="auto"/>
                      <w:sz w:val="21"/>
                      <w:szCs w:val="21"/>
                    </w:rPr>
                  </w:pPr>
                </w:p>
              </w:tc>
              <w:tc>
                <w:tcPr>
                  <w:tcW w:w="2447" w:type="dxa"/>
                  <w:shd w:val="clear" w:color="auto" w:fill="FFFFFF"/>
                  <w:vAlign w:val="center"/>
                </w:tcPr>
                <w:p>
                  <w:pPr>
                    <w:pStyle w:val="75"/>
                    <w:shd w:val="clear" w:color="auto" w:fill="auto"/>
                    <w:adjustRightInd w:val="0"/>
                    <w:snapToGrid w:val="0"/>
                    <w:spacing w:after="0"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一级DTRO</w:t>
                  </w:r>
                </w:p>
              </w:tc>
              <w:tc>
                <w:tcPr>
                  <w:tcW w:w="2241" w:type="dxa"/>
                  <w:shd w:val="clear" w:color="auto" w:fill="FFFFFF"/>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恶臭气体</w:t>
                  </w:r>
                </w:p>
              </w:tc>
              <w:tc>
                <w:tcPr>
                  <w:tcW w:w="2734" w:type="dxa"/>
                  <w:shd w:val="clear" w:color="auto" w:fill="FFFFFF"/>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S、NH</w:t>
                  </w:r>
                  <w:r>
                    <w:rPr>
                      <w:rFonts w:hint="default" w:ascii="Times New Roman" w:hAnsi="Times New Roman" w:cs="Times New Roman"/>
                      <w:color w:val="auto"/>
                      <w:szCs w:val="21"/>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jc w:val="center"/>
              </w:trPr>
              <w:tc>
                <w:tcPr>
                  <w:tcW w:w="1627" w:type="dxa"/>
                  <w:vMerge w:val="continue"/>
                  <w:shd w:val="clear" w:color="auto" w:fill="FFFFFF"/>
                  <w:vAlign w:val="center"/>
                </w:tcPr>
                <w:p>
                  <w:pPr>
                    <w:pStyle w:val="75"/>
                    <w:shd w:val="clear" w:color="auto" w:fill="auto"/>
                    <w:adjustRightInd w:val="0"/>
                    <w:snapToGrid w:val="0"/>
                    <w:spacing w:after="0" w:line="240" w:lineRule="auto"/>
                    <w:ind w:firstLine="0"/>
                    <w:jc w:val="center"/>
                    <w:rPr>
                      <w:rFonts w:hint="default" w:ascii="Times New Roman" w:hAnsi="Times New Roman" w:eastAsia="宋体" w:cs="Times New Roman"/>
                      <w:color w:val="auto"/>
                      <w:sz w:val="21"/>
                      <w:szCs w:val="21"/>
                    </w:rPr>
                  </w:pPr>
                </w:p>
              </w:tc>
              <w:tc>
                <w:tcPr>
                  <w:tcW w:w="2447" w:type="dxa"/>
                  <w:shd w:val="clear" w:color="auto" w:fill="FFFFFF"/>
                  <w:vAlign w:val="center"/>
                </w:tcPr>
                <w:p>
                  <w:pPr>
                    <w:pStyle w:val="75"/>
                    <w:shd w:val="clear" w:color="auto" w:fill="auto"/>
                    <w:adjustRightInd w:val="0"/>
                    <w:snapToGrid w:val="0"/>
                    <w:spacing w:after="0"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二级DTRO</w:t>
                  </w:r>
                </w:p>
              </w:tc>
              <w:tc>
                <w:tcPr>
                  <w:tcW w:w="2241" w:type="dxa"/>
                  <w:shd w:val="clear" w:color="auto" w:fill="FFFFFF"/>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恶臭气体</w:t>
                  </w:r>
                </w:p>
              </w:tc>
              <w:tc>
                <w:tcPr>
                  <w:tcW w:w="2734" w:type="dxa"/>
                  <w:shd w:val="clear" w:color="auto" w:fill="FFFFFF"/>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S、NH</w:t>
                  </w:r>
                  <w:r>
                    <w:rPr>
                      <w:rFonts w:hint="default" w:ascii="Times New Roman" w:hAnsi="Times New Roman" w:cs="Times New Roman"/>
                      <w:color w:val="auto"/>
                      <w:szCs w:val="21"/>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jc w:val="center"/>
              </w:trPr>
              <w:tc>
                <w:tcPr>
                  <w:tcW w:w="1627" w:type="dxa"/>
                  <w:vMerge w:val="continue"/>
                  <w:shd w:val="clear" w:color="auto" w:fill="FFFFFF"/>
                  <w:vAlign w:val="center"/>
                </w:tcPr>
                <w:p>
                  <w:pPr>
                    <w:pStyle w:val="75"/>
                    <w:shd w:val="clear" w:color="auto" w:fill="auto"/>
                    <w:adjustRightInd w:val="0"/>
                    <w:snapToGrid w:val="0"/>
                    <w:spacing w:after="0" w:line="240" w:lineRule="auto"/>
                    <w:ind w:firstLine="0"/>
                    <w:jc w:val="center"/>
                    <w:rPr>
                      <w:rFonts w:hint="default" w:ascii="Times New Roman" w:hAnsi="Times New Roman" w:eastAsia="宋体" w:cs="Times New Roman"/>
                      <w:color w:val="auto"/>
                      <w:sz w:val="21"/>
                      <w:szCs w:val="21"/>
                    </w:rPr>
                  </w:pPr>
                </w:p>
              </w:tc>
              <w:tc>
                <w:tcPr>
                  <w:tcW w:w="2447" w:type="dxa"/>
                  <w:shd w:val="clear" w:color="auto" w:fill="FFFFFF"/>
                  <w:vAlign w:val="center"/>
                </w:tcPr>
                <w:p>
                  <w:pPr>
                    <w:pStyle w:val="75"/>
                    <w:shd w:val="clear" w:color="auto" w:fill="auto"/>
                    <w:adjustRightInd w:val="0"/>
                    <w:snapToGrid w:val="0"/>
                    <w:spacing w:after="0"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除臭系统</w:t>
                  </w:r>
                </w:p>
              </w:tc>
              <w:tc>
                <w:tcPr>
                  <w:tcW w:w="2241" w:type="dxa"/>
                  <w:shd w:val="clear" w:color="auto" w:fill="FFFFFF"/>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恶臭气体</w:t>
                  </w:r>
                </w:p>
              </w:tc>
              <w:tc>
                <w:tcPr>
                  <w:tcW w:w="2734" w:type="dxa"/>
                  <w:shd w:val="clear" w:color="auto" w:fill="FFFFFF"/>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S、NH</w:t>
                  </w:r>
                  <w:r>
                    <w:rPr>
                      <w:rFonts w:hint="default" w:ascii="Times New Roman" w:hAnsi="Times New Roman" w:cs="Times New Roman"/>
                      <w:color w:val="auto"/>
                      <w:szCs w:val="21"/>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jc w:val="center"/>
              </w:trPr>
              <w:tc>
                <w:tcPr>
                  <w:tcW w:w="1627" w:type="dxa"/>
                  <w:vMerge w:val="restart"/>
                  <w:shd w:val="clear" w:color="auto" w:fill="FFFFFF"/>
                  <w:vAlign w:val="center"/>
                </w:tcPr>
                <w:p>
                  <w:pPr>
                    <w:pStyle w:val="75"/>
                    <w:shd w:val="clear" w:color="auto" w:fill="auto"/>
                    <w:adjustRightInd w:val="0"/>
                    <w:snapToGrid w:val="0"/>
                    <w:spacing w:after="0" w:line="240" w:lineRule="auto"/>
                    <w:ind w:firstLine="0"/>
                    <w:jc w:val="center"/>
                    <w:rPr>
                      <w:rStyle w:val="54"/>
                      <w:rFonts w:hint="default" w:ascii="Times New Roman" w:hAnsi="Times New Roman" w:eastAsia="宋体" w:cs="Times New Roman"/>
                      <w:color w:val="auto"/>
                      <w:sz w:val="21"/>
                      <w:szCs w:val="21"/>
                      <w:lang w:eastAsia="zh-CN"/>
                    </w:rPr>
                  </w:pPr>
                  <w:r>
                    <w:rPr>
                      <w:rStyle w:val="54"/>
                      <w:rFonts w:hint="default" w:ascii="Times New Roman" w:hAnsi="Times New Roman" w:eastAsia="宋体" w:cs="Times New Roman"/>
                      <w:color w:val="auto"/>
                      <w:sz w:val="21"/>
                      <w:szCs w:val="21"/>
                      <w:lang w:eastAsia="zh-CN"/>
                    </w:rPr>
                    <w:t>配套工艺单元</w:t>
                  </w:r>
                </w:p>
              </w:tc>
              <w:tc>
                <w:tcPr>
                  <w:tcW w:w="2447" w:type="dxa"/>
                  <w:shd w:val="clear" w:color="auto" w:fill="FFFFFF"/>
                  <w:vAlign w:val="center"/>
                </w:tcPr>
                <w:p>
                  <w:pPr>
                    <w:pStyle w:val="75"/>
                    <w:shd w:val="clear" w:color="auto" w:fill="auto"/>
                    <w:adjustRightInd w:val="0"/>
                    <w:snapToGrid w:val="0"/>
                    <w:spacing w:after="0"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风机房</w:t>
                  </w:r>
                </w:p>
              </w:tc>
              <w:tc>
                <w:tcPr>
                  <w:tcW w:w="2241" w:type="dxa"/>
                  <w:shd w:val="clear" w:color="auto" w:fill="FFFFFF"/>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2734" w:type="dxa"/>
                  <w:shd w:val="clear" w:color="auto" w:fill="FFFFFF"/>
                  <w:vAlign w:val="center"/>
                </w:tcPr>
                <w:p>
                  <w:pPr>
                    <w:pStyle w:val="75"/>
                    <w:shd w:val="clear" w:color="auto" w:fill="auto"/>
                    <w:adjustRightInd w:val="0"/>
                    <w:snapToGrid w:val="0"/>
                    <w:spacing w:after="0"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Leq(A)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jc w:val="center"/>
              </w:trPr>
              <w:tc>
                <w:tcPr>
                  <w:tcW w:w="1627" w:type="dxa"/>
                  <w:vMerge w:val="continue"/>
                  <w:shd w:val="clear" w:color="auto" w:fill="FFFFFF"/>
                  <w:vAlign w:val="center"/>
                </w:tcPr>
                <w:p>
                  <w:pPr>
                    <w:pStyle w:val="75"/>
                    <w:shd w:val="clear" w:color="auto" w:fill="auto"/>
                    <w:adjustRightInd w:val="0"/>
                    <w:snapToGrid w:val="0"/>
                    <w:spacing w:after="0" w:line="240" w:lineRule="auto"/>
                    <w:ind w:firstLine="0"/>
                    <w:jc w:val="center"/>
                    <w:rPr>
                      <w:rStyle w:val="54"/>
                      <w:rFonts w:hint="default" w:ascii="Times New Roman" w:hAnsi="Times New Roman" w:eastAsia="宋体" w:cs="Times New Roman"/>
                      <w:color w:val="auto"/>
                      <w:sz w:val="21"/>
                      <w:szCs w:val="21"/>
                    </w:rPr>
                  </w:pPr>
                </w:p>
              </w:tc>
              <w:tc>
                <w:tcPr>
                  <w:tcW w:w="2447" w:type="dxa"/>
                  <w:shd w:val="clear" w:color="auto" w:fill="FFFFFF"/>
                  <w:vAlign w:val="center"/>
                </w:tcPr>
                <w:p>
                  <w:pPr>
                    <w:pStyle w:val="75"/>
                    <w:shd w:val="clear" w:color="auto" w:fill="auto"/>
                    <w:adjustRightInd w:val="0"/>
                    <w:snapToGrid w:val="0"/>
                    <w:spacing w:after="0"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提升泵</w:t>
                  </w:r>
                </w:p>
              </w:tc>
              <w:tc>
                <w:tcPr>
                  <w:tcW w:w="2241" w:type="dxa"/>
                  <w:shd w:val="clear" w:color="auto" w:fill="FFFFFF"/>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2734" w:type="dxa"/>
                  <w:shd w:val="clear" w:color="auto" w:fill="FFFFFF"/>
                  <w:vAlign w:val="center"/>
                </w:tcPr>
                <w:p>
                  <w:pPr>
                    <w:pStyle w:val="75"/>
                    <w:shd w:val="clear" w:color="auto" w:fill="auto"/>
                    <w:adjustRightInd w:val="0"/>
                    <w:snapToGrid w:val="0"/>
                    <w:spacing w:after="0"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Leq(A)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jc w:val="center"/>
              </w:trPr>
              <w:tc>
                <w:tcPr>
                  <w:tcW w:w="1627" w:type="dxa"/>
                  <w:vMerge w:val="restart"/>
                  <w:shd w:val="clear" w:color="auto" w:fill="FFFFFF"/>
                  <w:vAlign w:val="center"/>
                </w:tcPr>
                <w:p>
                  <w:pPr>
                    <w:pStyle w:val="75"/>
                    <w:shd w:val="clear" w:color="auto" w:fill="auto"/>
                    <w:adjustRightInd w:val="0"/>
                    <w:snapToGrid w:val="0"/>
                    <w:spacing w:after="0" w:line="240" w:lineRule="auto"/>
                    <w:ind w:firstLine="0"/>
                    <w:jc w:val="center"/>
                    <w:rPr>
                      <w:rStyle w:val="54"/>
                      <w:rFonts w:hint="default" w:ascii="Times New Roman" w:hAnsi="Times New Roman" w:eastAsia="宋体" w:cs="Times New Roman"/>
                      <w:color w:val="auto"/>
                      <w:sz w:val="21"/>
                      <w:szCs w:val="21"/>
                      <w:lang w:eastAsia="zh-CN"/>
                    </w:rPr>
                  </w:pPr>
                  <w:r>
                    <w:rPr>
                      <w:rStyle w:val="54"/>
                      <w:rFonts w:hint="default" w:ascii="Times New Roman" w:hAnsi="Times New Roman" w:eastAsia="宋体" w:cs="Times New Roman"/>
                      <w:color w:val="auto"/>
                      <w:sz w:val="21"/>
                      <w:szCs w:val="21"/>
                      <w:lang w:eastAsia="zh-CN"/>
                    </w:rPr>
                    <w:t>日常生活</w:t>
                  </w:r>
                </w:p>
              </w:tc>
              <w:tc>
                <w:tcPr>
                  <w:tcW w:w="2447" w:type="dxa"/>
                  <w:shd w:val="clear" w:color="auto" w:fill="FFFFFF"/>
                  <w:vAlign w:val="center"/>
                </w:tcPr>
                <w:p>
                  <w:pPr>
                    <w:pStyle w:val="75"/>
                    <w:shd w:val="clear" w:color="auto" w:fill="auto"/>
                    <w:adjustRightInd w:val="0"/>
                    <w:snapToGrid w:val="0"/>
                    <w:spacing w:after="0"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2241" w:type="dxa"/>
                  <w:shd w:val="clear" w:color="auto" w:fill="FFFFFF"/>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生活污水</w:t>
                  </w:r>
                </w:p>
              </w:tc>
              <w:tc>
                <w:tcPr>
                  <w:tcW w:w="2734" w:type="dxa"/>
                  <w:shd w:val="clear" w:color="auto" w:fill="FFFFFF"/>
                  <w:vAlign w:val="center"/>
                </w:tcPr>
                <w:p>
                  <w:pPr>
                    <w:pStyle w:val="75"/>
                    <w:shd w:val="clear" w:color="auto" w:fill="auto"/>
                    <w:adjustRightInd w:val="0"/>
                    <w:snapToGrid w:val="0"/>
                    <w:spacing w:after="0"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rPr>
                    <w:t>Cr</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jc w:val="center"/>
              </w:trPr>
              <w:tc>
                <w:tcPr>
                  <w:tcW w:w="1627" w:type="dxa"/>
                  <w:vMerge w:val="continue"/>
                  <w:shd w:val="clear" w:color="auto" w:fill="FFFFFF"/>
                  <w:vAlign w:val="center"/>
                </w:tcPr>
                <w:p>
                  <w:pPr>
                    <w:pStyle w:val="75"/>
                    <w:shd w:val="clear" w:color="auto" w:fill="auto"/>
                    <w:adjustRightInd w:val="0"/>
                    <w:snapToGrid w:val="0"/>
                    <w:spacing w:after="0" w:line="240" w:lineRule="auto"/>
                    <w:ind w:firstLine="0"/>
                    <w:jc w:val="center"/>
                    <w:rPr>
                      <w:rStyle w:val="54"/>
                      <w:rFonts w:hint="default" w:ascii="Times New Roman" w:hAnsi="Times New Roman" w:eastAsia="宋体" w:cs="Times New Roman"/>
                      <w:color w:val="auto"/>
                      <w:sz w:val="21"/>
                      <w:szCs w:val="21"/>
                      <w:lang w:eastAsia="zh-CN"/>
                    </w:rPr>
                  </w:pPr>
                </w:p>
              </w:tc>
              <w:tc>
                <w:tcPr>
                  <w:tcW w:w="2447" w:type="dxa"/>
                  <w:shd w:val="clear" w:color="auto" w:fill="FFFFFF"/>
                  <w:vAlign w:val="center"/>
                </w:tcPr>
                <w:p>
                  <w:pPr>
                    <w:pStyle w:val="75"/>
                    <w:shd w:val="clear" w:color="auto" w:fill="auto"/>
                    <w:adjustRightInd w:val="0"/>
                    <w:snapToGrid w:val="0"/>
                    <w:spacing w:after="0"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2241" w:type="dxa"/>
                  <w:shd w:val="clear" w:color="auto" w:fill="FFFFFF"/>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2734" w:type="dxa"/>
                  <w:shd w:val="clear" w:color="auto" w:fill="FFFFFF"/>
                  <w:vAlign w:val="center"/>
                </w:tcPr>
                <w:p>
                  <w:pPr>
                    <w:pStyle w:val="75"/>
                    <w:shd w:val="clear" w:color="auto" w:fill="auto"/>
                    <w:adjustRightInd w:val="0"/>
                    <w:snapToGrid w:val="0"/>
                    <w:spacing w:after="0"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r>
          </w:tbl>
          <w:p>
            <w:pPr>
              <w:pStyle w:val="68"/>
              <w:ind w:firstLine="0" w:firstLineChars="0"/>
              <w:rPr>
                <w:rFonts w:hint="default" w:ascii="Times New Roman" w:hAnsi="Times New Roman" w:cs="Times New Roman"/>
                <w:color w:val="auto"/>
                <w:szCs w:val="24"/>
              </w:rPr>
            </w:pPr>
            <w:r>
              <w:rPr>
                <w:rFonts w:hint="default" w:ascii="Times New Roman" w:hAnsi="Times New Roman" w:cs="Times New Roman"/>
                <w:color w:val="auto"/>
                <w:szCs w:val="24"/>
              </w:rPr>
              <w:t>2.1废气</w:t>
            </w:r>
          </w:p>
          <w:p>
            <w:pPr>
              <w:widowControl/>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本项目运营期环境空气污染主要来源于渗滤液处理车间产生的恶臭气体。渗滤液处理车间恶臭污染源主要是气浮、一级DTRO、二级DTRO、除臭系统等设备。</w:t>
            </w:r>
          </w:p>
          <w:p>
            <w:pPr>
              <w:widowControl/>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臭味气体从组成看可分为4类：第一类是含氮化合物，如氨氮、胺类、酰胺类以及吲哚类等；第二类是含硫化合物，如硫化氢、硫醇类、噻吩类等；第三类是含氧有机物，如醇、醛、酮、酚以及有机酸等；第四类是烃类化合物，如烯烃、烷烃、炔烃以及芳香烃等。</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渗滤液车间臭味气体主要成分是硫化氢、氨，其性质见表5-</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p>
          <w:p>
            <w:pPr>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表5-</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rPr>
              <w:t xml:space="preserve"> 恶臭污染物的主要性质表</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36"/>
              <w:gridCol w:w="4276"/>
              <w:gridCol w:w="2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atLeast"/>
                <w:jc w:val="center"/>
              </w:trPr>
              <w:tc>
                <w:tcPr>
                  <w:tcW w:w="1129" w:type="pct"/>
                  <w:tcBorders>
                    <w:top w:val="single" w:color="000000" w:sz="12" w:space="0"/>
                    <w:left w:val="nil"/>
                    <w:bottom w:val="single" w:color="000000" w:sz="4" w:space="0"/>
                    <w:right w:val="single" w:color="000000" w:sz="4" w:space="0"/>
                  </w:tcBorders>
                  <w:vAlign w:val="center"/>
                </w:tcPr>
                <w:p>
                  <w:pPr>
                    <w:pStyle w:val="120"/>
                    <w:rPr>
                      <w:rFonts w:hint="default" w:ascii="Times New Roman" w:hAnsi="Times New Roman" w:cs="Times New Roman"/>
                      <w:color w:val="auto"/>
                      <w:kern w:val="0"/>
                    </w:rPr>
                  </w:pPr>
                  <w:r>
                    <w:rPr>
                      <w:rFonts w:hint="default" w:ascii="Times New Roman" w:hAnsi="Times New Roman" w:eastAsia="宋体" w:cs="Times New Roman"/>
                      <w:color w:val="auto"/>
                      <w:kern w:val="0"/>
                    </w:rPr>
                    <w:t>种类</w:t>
                  </w:r>
                </w:p>
                <w:p>
                  <w:pPr>
                    <w:pStyle w:val="120"/>
                    <w:rPr>
                      <w:rFonts w:hint="default" w:ascii="Times New Roman" w:hAnsi="Times New Roman" w:cs="Times New Roman"/>
                      <w:color w:val="auto"/>
                      <w:kern w:val="0"/>
                    </w:rPr>
                  </w:pPr>
                  <w:r>
                    <w:rPr>
                      <w:rFonts w:hint="default" w:ascii="Times New Roman" w:hAnsi="Times New Roman" w:eastAsia="宋体" w:cs="Times New Roman"/>
                      <w:color w:val="auto"/>
                      <w:kern w:val="0"/>
                    </w:rPr>
                    <w:t>性质</w:t>
                  </w:r>
                </w:p>
              </w:tc>
              <w:tc>
                <w:tcPr>
                  <w:tcW w:w="2371" w:type="pct"/>
                  <w:tcBorders>
                    <w:top w:val="single" w:color="000000" w:sz="12" w:space="0"/>
                    <w:left w:val="nil"/>
                    <w:bottom w:val="single" w:color="000000" w:sz="4" w:space="0"/>
                    <w:right w:val="single" w:color="000000" w:sz="4" w:space="0"/>
                  </w:tcBorders>
                  <w:vAlign w:val="center"/>
                </w:tcPr>
                <w:p>
                  <w:pPr>
                    <w:pStyle w:val="120"/>
                    <w:rPr>
                      <w:rFonts w:hint="default" w:ascii="Times New Roman" w:hAnsi="Times New Roman" w:cs="Times New Roman"/>
                      <w:color w:val="auto"/>
                      <w:kern w:val="0"/>
                    </w:rPr>
                  </w:pPr>
                  <w:r>
                    <w:rPr>
                      <w:rFonts w:hint="default" w:ascii="Times New Roman" w:hAnsi="Times New Roman" w:eastAsia="宋体" w:cs="Times New Roman"/>
                      <w:color w:val="auto"/>
                      <w:kern w:val="0"/>
                    </w:rPr>
                    <w:t>氨</w:t>
                  </w:r>
                </w:p>
              </w:tc>
              <w:tc>
                <w:tcPr>
                  <w:tcW w:w="1500" w:type="pct"/>
                  <w:tcBorders>
                    <w:top w:val="single" w:color="000000" w:sz="12" w:space="0"/>
                    <w:left w:val="nil"/>
                    <w:bottom w:val="single" w:color="000000" w:sz="4" w:space="0"/>
                    <w:right w:val="nil"/>
                  </w:tcBorders>
                  <w:vAlign w:val="center"/>
                </w:tcPr>
                <w:p>
                  <w:pPr>
                    <w:pStyle w:val="120"/>
                    <w:rPr>
                      <w:rFonts w:hint="default" w:ascii="Times New Roman" w:hAnsi="Times New Roman" w:cs="Times New Roman"/>
                      <w:color w:val="auto"/>
                      <w:kern w:val="0"/>
                    </w:rPr>
                  </w:pPr>
                  <w:r>
                    <w:rPr>
                      <w:rFonts w:hint="default" w:ascii="Times New Roman" w:hAnsi="Times New Roman" w:eastAsia="宋体" w:cs="Times New Roman"/>
                      <w:color w:val="auto"/>
                      <w:kern w:val="0"/>
                    </w:rPr>
                    <w:t>硫化氢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pct"/>
                  <w:tcBorders>
                    <w:top w:val="single" w:color="000000" w:sz="4" w:space="0"/>
                    <w:left w:val="nil"/>
                    <w:bottom w:val="single" w:color="000000" w:sz="4" w:space="0"/>
                    <w:right w:val="single" w:color="000000" w:sz="4" w:space="0"/>
                  </w:tcBorders>
                  <w:vAlign w:val="center"/>
                </w:tcPr>
                <w:p>
                  <w:pPr>
                    <w:pStyle w:val="120"/>
                    <w:rPr>
                      <w:rFonts w:hint="default" w:ascii="Times New Roman" w:hAnsi="Times New Roman" w:cs="Times New Roman"/>
                      <w:color w:val="auto"/>
                      <w:kern w:val="0"/>
                    </w:rPr>
                  </w:pPr>
                  <w:r>
                    <w:rPr>
                      <w:rFonts w:hint="default" w:ascii="Times New Roman" w:hAnsi="Times New Roman" w:eastAsia="宋体" w:cs="Times New Roman"/>
                      <w:color w:val="auto"/>
                      <w:kern w:val="0"/>
                    </w:rPr>
                    <w:t>化学式</w:t>
                  </w:r>
                </w:p>
              </w:tc>
              <w:tc>
                <w:tcPr>
                  <w:tcW w:w="2371" w:type="pct"/>
                  <w:tcBorders>
                    <w:top w:val="single" w:color="000000" w:sz="4" w:space="0"/>
                    <w:left w:val="nil"/>
                    <w:bottom w:val="single" w:color="000000" w:sz="4" w:space="0"/>
                    <w:right w:val="single" w:color="000000" w:sz="4" w:space="0"/>
                  </w:tcBorders>
                  <w:vAlign w:val="center"/>
                </w:tcPr>
                <w:p>
                  <w:pPr>
                    <w:pStyle w:val="120"/>
                    <w:rPr>
                      <w:rFonts w:hint="default" w:ascii="Times New Roman" w:hAnsi="Times New Roman" w:cs="Times New Roman"/>
                      <w:color w:val="auto"/>
                      <w:kern w:val="0"/>
                    </w:rPr>
                  </w:pPr>
                  <w:r>
                    <w:rPr>
                      <w:rFonts w:hint="default" w:ascii="Times New Roman" w:hAnsi="Times New Roman" w:cs="Times New Roman"/>
                      <w:color w:val="auto"/>
                      <w:kern w:val="0"/>
                    </w:rPr>
                    <w:t>NH</w:t>
                  </w:r>
                  <w:r>
                    <w:rPr>
                      <w:rFonts w:hint="default" w:ascii="Times New Roman" w:hAnsi="Times New Roman" w:cs="Times New Roman"/>
                      <w:color w:val="auto"/>
                      <w:kern w:val="0"/>
                      <w:vertAlign w:val="subscript"/>
                    </w:rPr>
                    <w:t>3</w:t>
                  </w:r>
                </w:p>
              </w:tc>
              <w:tc>
                <w:tcPr>
                  <w:tcW w:w="1500" w:type="pct"/>
                  <w:tcBorders>
                    <w:top w:val="single" w:color="000000" w:sz="4" w:space="0"/>
                    <w:left w:val="nil"/>
                    <w:bottom w:val="single" w:color="000000" w:sz="4" w:space="0"/>
                    <w:right w:val="nil"/>
                  </w:tcBorders>
                  <w:vAlign w:val="center"/>
                </w:tcPr>
                <w:p>
                  <w:pPr>
                    <w:pStyle w:val="120"/>
                    <w:rPr>
                      <w:rFonts w:hint="default" w:ascii="Times New Roman" w:hAnsi="Times New Roman" w:cs="Times New Roman"/>
                      <w:color w:val="auto"/>
                      <w:kern w:val="0"/>
                    </w:rPr>
                  </w:pPr>
                  <w:r>
                    <w:rPr>
                      <w:rFonts w:hint="default" w:ascii="Times New Roman" w:hAnsi="Times New Roman" w:cs="Times New Roman"/>
                      <w:color w:val="auto"/>
                      <w:kern w:val="0"/>
                    </w:rPr>
                    <w:t>H</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pct"/>
                  <w:tcBorders>
                    <w:top w:val="single" w:color="000000" w:sz="4" w:space="0"/>
                    <w:left w:val="nil"/>
                    <w:bottom w:val="single" w:color="000000" w:sz="4" w:space="0"/>
                    <w:right w:val="single" w:color="000000" w:sz="4" w:space="0"/>
                  </w:tcBorders>
                  <w:vAlign w:val="center"/>
                </w:tcPr>
                <w:p>
                  <w:pPr>
                    <w:pStyle w:val="120"/>
                    <w:rPr>
                      <w:rFonts w:hint="default" w:ascii="Times New Roman" w:hAnsi="Times New Roman" w:cs="Times New Roman"/>
                      <w:color w:val="auto"/>
                      <w:kern w:val="0"/>
                    </w:rPr>
                  </w:pPr>
                  <w:r>
                    <w:rPr>
                      <w:rFonts w:hint="default" w:ascii="Times New Roman" w:hAnsi="Times New Roman" w:eastAsia="宋体" w:cs="Times New Roman"/>
                      <w:color w:val="auto"/>
                      <w:kern w:val="0"/>
                    </w:rPr>
                    <w:t>颜</w:t>
                  </w:r>
                </w:p>
              </w:tc>
              <w:tc>
                <w:tcPr>
                  <w:tcW w:w="2371" w:type="pct"/>
                  <w:tcBorders>
                    <w:top w:val="single" w:color="000000" w:sz="4" w:space="0"/>
                    <w:left w:val="nil"/>
                    <w:bottom w:val="single" w:color="000000" w:sz="4" w:space="0"/>
                    <w:right w:val="single" w:color="000000" w:sz="4" w:space="0"/>
                  </w:tcBorders>
                  <w:vAlign w:val="center"/>
                </w:tcPr>
                <w:p>
                  <w:pPr>
                    <w:pStyle w:val="120"/>
                    <w:rPr>
                      <w:rFonts w:hint="default" w:ascii="Times New Roman" w:hAnsi="Times New Roman" w:cs="Times New Roman"/>
                      <w:color w:val="auto"/>
                      <w:kern w:val="0"/>
                    </w:rPr>
                  </w:pPr>
                  <w:r>
                    <w:rPr>
                      <w:rFonts w:hint="default" w:ascii="Times New Roman" w:hAnsi="Times New Roman" w:eastAsia="宋体" w:cs="Times New Roman"/>
                      <w:color w:val="auto"/>
                      <w:kern w:val="0"/>
                    </w:rPr>
                    <w:t>无</w:t>
                  </w:r>
                </w:p>
              </w:tc>
              <w:tc>
                <w:tcPr>
                  <w:tcW w:w="1500" w:type="pct"/>
                  <w:tcBorders>
                    <w:top w:val="single" w:color="000000" w:sz="4" w:space="0"/>
                    <w:left w:val="nil"/>
                    <w:bottom w:val="single" w:color="000000" w:sz="4" w:space="0"/>
                    <w:right w:val="nil"/>
                  </w:tcBorders>
                  <w:vAlign w:val="center"/>
                </w:tcPr>
                <w:p>
                  <w:pPr>
                    <w:pStyle w:val="120"/>
                    <w:rPr>
                      <w:rFonts w:hint="default" w:ascii="Times New Roman" w:hAnsi="Times New Roman" w:cs="Times New Roman"/>
                      <w:color w:val="auto"/>
                      <w:kern w:val="0"/>
                    </w:rPr>
                  </w:pPr>
                  <w:r>
                    <w:rPr>
                      <w:rFonts w:hint="default" w:ascii="Times New Roman" w:hAnsi="Times New Roman" w:eastAsia="宋体" w:cs="Times New Roman"/>
                      <w:color w:val="auto"/>
                      <w:kern w:val="0"/>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pct"/>
                  <w:tcBorders>
                    <w:top w:val="single" w:color="000000" w:sz="4" w:space="0"/>
                    <w:left w:val="nil"/>
                    <w:bottom w:val="single" w:color="000000" w:sz="4" w:space="0"/>
                    <w:right w:val="single" w:color="000000" w:sz="4" w:space="0"/>
                  </w:tcBorders>
                  <w:vAlign w:val="center"/>
                </w:tcPr>
                <w:p>
                  <w:pPr>
                    <w:pStyle w:val="120"/>
                    <w:rPr>
                      <w:rFonts w:hint="default" w:ascii="Times New Roman" w:hAnsi="Times New Roman" w:cs="Times New Roman"/>
                      <w:color w:val="auto"/>
                      <w:kern w:val="0"/>
                    </w:rPr>
                  </w:pPr>
                  <w:r>
                    <w:rPr>
                      <w:rFonts w:hint="default" w:ascii="Times New Roman" w:hAnsi="Times New Roman" w:eastAsia="宋体" w:cs="Times New Roman"/>
                      <w:color w:val="auto"/>
                      <w:kern w:val="0"/>
                    </w:rPr>
                    <w:t>常温下状态</w:t>
                  </w:r>
                </w:p>
              </w:tc>
              <w:tc>
                <w:tcPr>
                  <w:tcW w:w="2371" w:type="pct"/>
                  <w:tcBorders>
                    <w:top w:val="single" w:color="000000" w:sz="4" w:space="0"/>
                    <w:left w:val="nil"/>
                    <w:bottom w:val="single" w:color="000000" w:sz="4" w:space="0"/>
                    <w:right w:val="single" w:color="000000" w:sz="4" w:space="0"/>
                  </w:tcBorders>
                  <w:vAlign w:val="center"/>
                </w:tcPr>
                <w:p>
                  <w:pPr>
                    <w:pStyle w:val="120"/>
                    <w:rPr>
                      <w:rFonts w:hint="default" w:ascii="Times New Roman" w:hAnsi="Times New Roman" w:cs="Times New Roman"/>
                      <w:color w:val="auto"/>
                      <w:kern w:val="0"/>
                    </w:rPr>
                  </w:pPr>
                  <w:r>
                    <w:rPr>
                      <w:rFonts w:hint="default" w:ascii="Times New Roman" w:hAnsi="Times New Roman" w:eastAsia="宋体" w:cs="Times New Roman"/>
                      <w:color w:val="auto"/>
                      <w:kern w:val="0"/>
                    </w:rPr>
                    <w:t>气体</w:t>
                  </w:r>
                </w:p>
              </w:tc>
              <w:tc>
                <w:tcPr>
                  <w:tcW w:w="1500" w:type="pct"/>
                  <w:tcBorders>
                    <w:top w:val="single" w:color="000000" w:sz="4" w:space="0"/>
                    <w:left w:val="nil"/>
                    <w:bottom w:val="single" w:color="000000" w:sz="4" w:space="0"/>
                    <w:right w:val="nil"/>
                  </w:tcBorders>
                  <w:vAlign w:val="center"/>
                </w:tcPr>
                <w:p>
                  <w:pPr>
                    <w:pStyle w:val="120"/>
                    <w:rPr>
                      <w:rFonts w:hint="default" w:ascii="Times New Roman" w:hAnsi="Times New Roman" w:cs="Times New Roman"/>
                      <w:color w:val="auto"/>
                      <w:kern w:val="0"/>
                    </w:rPr>
                  </w:pPr>
                  <w:r>
                    <w:rPr>
                      <w:rFonts w:hint="default" w:ascii="Times New Roman" w:hAnsi="Times New Roman" w:eastAsia="宋体" w:cs="Times New Roman"/>
                      <w:color w:val="auto"/>
                      <w:kern w:val="0"/>
                    </w:rPr>
                    <w:t>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pct"/>
                  <w:tcBorders>
                    <w:top w:val="single" w:color="000000" w:sz="4" w:space="0"/>
                    <w:left w:val="nil"/>
                    <w:bottom w:val="single" w:color="000000" w:sz="4" w:space="0"/>
                    <w:right w:val="single" w:color="000000" w:sz="4" w:space="0"/>
                  </w:tcBorders>
                  <w:vAlign w:val="center"/>
                </w:tcPr>
                <w:p>
                  <w:pPr>
                    <w:pStyle w:val="120"/>
                    <w:rPr>
                      <w:rFonts w:hint="default" w:ascii="Times New Roman" w:hAnsi="Times New Roman" w:cs="Times New Roman"/>
                      <w:color w:val="auto"/>
                      <w:kern w:val="0"/>
                    </w:rPr>
                  </w:pPr>
                  <w:r>
                    <w:rPr>
                      <w:rFonts w:hint="default" w:ascii="Times New Roman" w:hAnsi="Times New Roman" w:eastAsia="宋体" w:cs="Times New Roman"/>
                      <w:color w:val="auto"/>
                      <w:kern w:val="0"/>
                    </w:rPr>
                    <w:t>气味</w:t>
                  </w:r>
                </w:p>
              </w:tc>
              <w:tc>
                <w:tcPr>
                  <w:tcW w:w="2371" w:type="pct"/>
                  <w:tcBorders>
                    <w:top w:val="single" w:color="000000" w:sz="4" w:space="0"/>
                    <w:left w:val="nil"/>
                    <w:bottom w:val="single" w:color="000000" w:sz="4" w:space="0"/>
                    <w:right w:val="single" w:color="000000" w:sz="4" w:space="0"/>
                  </w:tcBorders>
                  <w:vAlign w:val="center"/>
                </w:tcPr>
                <w:p>
                  <w:pPr>
                    <w:pStyle w:val="120"/>
                    <w:rPr>
                      <w:rFonts w:hint="default" w:ascii="Times New Roman" w:hAnsi="Times New Roman" w:cs="Times New Roman"/>
                      <w:color w:val="auto"/>
                      <w:kern w:val="0"/>
                    </w:rPr>
                  </w:pPr>
                  <w:r>
                    <w:rPr>
                      <w:rFonts w:hint="default" w:ascii="Times New Roman" w:hAnsi="Times New Roman" w:eastAsia="宋体" w:cs="Times New Roman"/>
                      <w:color w:val="auto"/>
                      <w:kern w:val="0"/>
                    </w:rPr>
                    <w:t>强烈刺激性气味</w:t>
                  </w:r>
                </w:p>
              </w:tc>
              <w:tc>
                <w:tcPr>
                  <w:tcW w:w="1500" w:type="pct"/>
                  <w:tcBorders>
                    <w:top w:val="single" w:color="000000" w:sz="4" w:space="0"/>
                    <w:left w:val="nil"/>
                    <w:bottom w:val="single" w:color="000000" w:sz="4" w:space="0"/>
                    <w:right w:val="nil"/>
                  </w:tcBorders>
                  <w:vAlign w:val="center"/>
                </w:tcPr>
                <w:p>
                  <w:pPr>
                    <w:pStyle w:val="120"/>
                    <w:rPr>
                      <w:rFonts w:hint="default" w:ascii="Times New Roman" w:hAnsi="Times New Roman" w:cs="Times New Roman"/>
                      <w:color w:val="auto"/>
                      <w:kern w:val="0"/>
                    </w:rPr>
                  </w:pPr>
                  <w:r>
                    <w:rPr>
                      <w:rFonts w:hint="default" w:ascii="Times New Roman" w:hAnsi="Times New Roman" w:eastAsia="宋体" w:cs="Times New Roman"/>
                      <w:color w:val="auto"/>
                      <w:kern w:val="0"/>
                    </w:rPr>
                    <w:t>恶臭，具有臭鸡蛋气味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pct"/>
                  <w:tcBorders>
                    <w:top w:val="single" w:color="000000" w:sz="4" w:space="0"/>
                    <w:left w:val="nil"/>
                    <w:bottom w:val="single" w:color="000000" w:sz="4" w:space="0"/>
                    <w:right w:val="single" w:color="000000" w:sz="4" w:space="0"/>
                  </w:tcBorders>
                  <w:vAlign w:val="center"/>
                </w:tcPr>
                <w:p>
                  <w:pPr>
                    <w:pStyle w:val="120"/>
                    <w:rPr>
                      <w:rFonts w:hint="default" w:ascii="Times New Roman" w:hAnsi="Times New Roman" w:cs="Times New Roman"/>
                      <w:color w:val="auto"/>
                      <w:kern w:val="0"/>
                    </w:rPr>
                  </w:pPr>
                  <w:r>
                    <w:rPr>
                      <w:rFonts w:hint="default" w:ascii="Times New Roman" w:hAnsi="Times New Roman" w:eastAsia="宋体" w:cs="Times New Roman"/>
                      <w:color w:val="auto"/>
                      <w:kern w:val="0"/>
                    </w:rPr>
                    <w:t>嗅觉阈值（</w:t>
                  </w:r>
                  <w:r>
                    <w:rPr>
                      <w:rFonts w:hint="default" w:ascii="Times New Roman" w:hAnsi="Times New Roman" w:cs="Times New Roman"/>
                      <w:color w:val="auto"/>
                      <w:kern w:val="0"/>
                    </w:rPr>
                    <w:t>ppm</w:t>
                  </w:r>
                  <w:r>
                    <w:rPr>
                      <w:rFonts w:hint="default" w:ascii="Times New Roman" w:hAnsi="Times New Roman" w:eastAsia="宋体" w:cs="Times New Roman"/>
                      <w:color w:val="auto"/>
                      <w:kern w:val="0"/>
                    </w:rPr>
                    <w:t>）</w:t>
                  </w:r>
                </w:p>
              </w:tc>
              <w:tc>
                <w:tcPr>
                  <w:tcW w:w="2371" w:type="pct"/>
                  <w:tcBorders>
                    <w:top w:val="single" w:color="000000" w:sz="4" w:space="0"/>
                    <w:left w:val="nil"/>
                    <w:bottom w:val="single" w:color="000000" w:sz="4" w:space="0"/>
                    <w:right w:val="single" w:color="000000" w:sz="4" w:space="0"/>
                  </w:tcBorders>
                  <w:vAlign w:val="center"/>
                </w:tcPr>
                <w:p>
                  <w:pPr>
                    <w:pStyle w:val="120"/>
                    <w:rPr>
                      <w:rFonts w:hint="default" w:ascii="Times New Roman" w:hAnsi="Times New Roman" w:cs="Times New Roman"/>
                      <w:color w:val="auto"/>
                      <w:kern w:val="0"/>
                    </w:rPr>
                  </w:pPr>
                  <w:r>
                    <w:rPr>
                      <w:rFonts w:hint="default" w:ascii="Times New Roman" w:hAnsi="Times New Roman" w:cs="Times New Roman"/>
                      <w:color w:val="auto"/>
                      <w:kern w:val="0"/>
                    </w:rPr>
                    <w:t>0.7</w:t>
                  </w:r>
                </w:p>
              </w:tc>
              <w:tc>
                <w:tcPr>
                  <w:tcW w:w="1500" w:type="pct"/>
                  <w:tcBorders>
                    <w:top w:val="single" w:color="000000" w:sz="4" w:space="0"/>
                    <w:left w:val="nil"/>
                    <w:bottom w:val="single" w:color="000000" w:sz="4" w:space="0"/>
                    <w:right w:val="nil"/>
                  </w:tcBorders>
                  <w:vAlign w:val="center"/>
                </w:tcPr>
                <w:p>
                  <w:pPr>
                    <w:pStyle w:val="120"/>
                    <w:rPr>
                      <w:rFonts w:hint="default" w:ascii="Times New Roman" w:hAnsi="Times New Roman" w:cs="Times New Roman"/>
                      <w:color w:val="auto"/>
                      <w:kern w:val="0"/>
                    </w:rPr>
                  </w:pPr>
                  <w:r>
                    <w:rPr>
                      <w:rFonts w:hint="default" w:ascii="Times New Roman" w:hAnsi="Times New Roman" w:cs="Times New Roman"/>
                      <w:color w:val="auto"/>
                      <w:kern w:val="0"/>
                    </w:rPr>
                    <w:t>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pct"/>
                  <w:tcBorders>
                    <w:top w:val="single" w:color="000000" w:sz="4" w:space="0"/>
                    <w:left w:val="nil"/>
                    <w:bottom w:val="single" w:color="000000" w:sz="4" w:space="0"/>
                    <w:right w:val="single" w:color="000000" w:sz="4" w:space="0"/>
                  </w:tcBorders>
                  <w:vAlign w:val="center"/>
                </w:tcPr>
                <w:p>
                  <w:pPr>
                    <w:pStyle w:val="120"/>
                    <w:rPr>
                      <w:rFonts w:hint="default" w:ascii="Times New Roman" w:hAnsi="Times New Roman" w:cs="Times New Roman"/>
                      <w:color w:val="auto"/>
                      <w:kern w:val="0"/>
                    </w:rPr>
                  </w:pPr>
                  <w:r>
                    <w:rPr>
                      <w:rFonts w:hint="default" w:ascii="Times New Roman" w:hAnsi="Times New Roman" w:eastAsia="宋体" w:cs="Times New Roman"/>
                      <w:color w:val="auto"/>
                      <w:kern w:val="0"/>
                    </w:rPr>
                    <w:t>密度（</w:t>
                  </w:r>
                  <w:r>
                    <w:rPr>
                      <w:rFonts w:hint="default" w:ascii="Times New Roman" w:hAnsi="Times New Roman" w:cs="Times New Roman"/>
                      <w:color w:val="auto"/>
                      <w:kern w:val="0"/>
                    </w:rPr>
                    <w:t>g/L</w:t>
                  </w:r>
                  <w:r>
                    <w:rPr>
                      <w:rFonts w:hint="default" w:ascii="Times New Roman" w:hAnsi="Times New Roman" w:eastAsia="宋体" w:cs="Times New Roman"/>
                      <w:color w:val="auto"/>
                      <w:kern w:val="0"/>
                    </w:rPr>
                    <w:t>）</w:t>
                  </w:r>
                </w:p>
              </w:tc>
              <w:tc>
                <w:tcPr>
                  <w:tcW w:w="2371" w:type="pct"/>
                  <w:tcBorders>
                    <w:top w:val="single" w:color="000000" w:sz="4" w:space="0"/>
                    <w:left w:val="nil"/>
                    <w:bottom w:val="single" w:color="000000" w:sz="4" w:space="0"/>
                    <w:right w:val="single" w:color="000000" w:sz="4" w:space="0"/>
                  </w:tcBorders>
                  <w:vAlign w:val="center"/>
                </w:tcPr>
                <w:p>
                  <w:pPr>
                    <w:pStyle w:val="120"/>
                    <w:rPr>
                      <w:rFonts w:hint="default" w:ascii="Times New Roman" w:hAnsi="Times New Roman" w:cs="Times New Roman"/>
                      <w:color w:val="auto"/>
                      <w:kern w:val="0"/>
                    </w:rPr>
                  </w:pPr>
                  <w:r>
                    <w:rPr>
                      <w:rFonts w:hint="default" w:ascii="Times New Roman" w:hAnsi="Times New Roman" w:cs="Times New Roman"/>
                      <w:color w:val="auto"/>
                      <w:kern w:val="0"/>
                    </w:rPr>
                    <w:t>0.5971</w:t>
                  </w:r>
                </w:p>
              </w:tc>
              <w:tc>
                <w:tcPr>
                  <w:tcW w:w="1500" w:type="pct"/>
                  <w:tcBorders>
                    <w:top w:val="single" w:color="000000" w:sz="4" w:space="0"/>
                    <w:left w:val="nil"/>
                    <w:bottom w:val="single" w:color="000000" w:sz="4" w:space="0"/>
                    <w:right w:val="nil"/>
                  </w:tcBorders>
                  <w:vAlign w:val="center"/>
                </w:tcPr>
                <w:p>
                  <w:pPr>
                    <w:pStyle w:val="120"/>
                    <w:rPr>
                      <w:rFonts w:hint="default" w:ascii="Times New Roman" w:hAnsi="Times New Roman" w:cs="Times New Roman"/>
                      <w:color w:val="auto"/>
                      <w:kern w:val="0"/>
                    </w:rPr>
                  </w:pPr>
                  <w:r>
                    <w:rPr>
                      <w:rFonts w:hint="default" w:ascii="Times New Roman" w:hAnsi="Times New Roman" w:cs="Times New Roman"/>
                      <w:color w:val="auto"/>
                      <w:kern w:val="0"/>
                    </w:rPr>
                    <w:t>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pct"/>
                  <w:tcBorders>
                    <w:top w:val="single" w:color="000000" w:sz="4" w:space="0"/>
                    <w:left w:val="nil"/>
                    <w:bottom w:val="single" w:color="000000" w:sz="4" w:space="0"/>
                    <w:right w:val="single" w:color="000000" w:sz="4" w:space="0"/>
                  </w:tcBorders>
                  <w:vAlign w:val="center"/>
                </w:tcPr>
                <w:p>
                  <w:pPr>
                    <w:pStyle w:val="120"/>
                    <w:rPr>
                      <w:rFonts w:hint="default" w:ascii="Times New Roman" w:hAnsi="Times New Roman" w:cs="Times New Roman"/>
                      <w:color w:val="auto"/>
                      <w:kern w:val="0"/>
                    </w:rPr>
                  </w:pPr>
                  <w:r>
                    <w:rPr>
                      <w:rFonts w:hint="default" w:ascii="Times New Roman" w:hAnsi="Times New Roman" w:eastAsia="宋体" w:cs="Times New Roman"/>
                      <w:color w:val="auto"/>
                      <w:kern w:val="0"/>
                    </w:rPr>
                    <w:t>比重</w:t>
                  </w:r>
                </w:p>
              </w:tc>
              <w:tc>
                <w:tcPr>
                  <w:tcW w:w="2371" w:type="pct"/>
                  <w:tcBorders>
                    <w:top w:val="single" w:color="000000" w:sz="4" w:space="0"/>
                    <w:left w:val="nil"/>
                    <w:bottom w:val="single" w:color="000000" w:sz="4" w:space="0"/>
                    <w:right w:val="single" w:color="000000" w:sz="4" w:space="0"/>
                  </w:tcBorders>
                  <w:vAlign w:val="center"/>
                </w:tcPr>
                <w:p>
                  <w:pPr>
                    <w:pStyle w:val="120"/>
                    <w:rPr>
                      <w:rFonts w:hint="default" w:ascii="Times New Roman" w:hAnsi="Times New Roman" w:cs="Times New Roman"/>
                      <w:color w:val="auto"/>
                      <w:kern w:val="0"/>
                    </w:rPr>
                  </w:pPr>
                  <w:r>
                    <w:rPr>
                      <w:rFonts w:hint="default" w:ascii="Times New Roman" w:hAnsi="Times New Roman" w:cs="Times New Roman"/>
                      <w:color w:val="auto"/>
                      <w:kern w:val="0"/>
                    </w:rPr>
                    <w:t>0.5971</w:t>
                  </w:r>
                  <w:r>
                    <w:rPr>
                      <w:rFonts w:hint="default" w:ascii="Times New Roman" w:hAnsi="Times New Roman" w:eastAsia="宋体" w:cs="Times New Roman"/>
                      <w:color w:val="auto"/>
                      <w:kern w:val="0"/>
                    </w:rPr>
                    <w:t>，空气＝</w:t>
                  </w:r>
                  <w:r>
                    <w:rPr>
                      <w:rFonts w:hint="default" w:ascii="Times New Roman" w:hAnsi="Times New Roman" w:cs="Times New Roman"/>
                      <w:color w:val="auto"/>
                      <w:kern w:val="0"/>
                    </w:rPr>
                    <w:t>1.00</w:t>
                  </w:r>
                </w:p>
              </w:tc>
              <w:tc>
                <w:tcPr>
                  <w:tcW w:w="1500" w:type="pct"/>
                  <w:tcBorders>
                    <w:top w:val="single" w:color="000000" w:sz="4" w:space="0"/>
                    <w:left w:val="nil"/>
                    <w:bottom w:val="single" w:color="000000" w:sz="4" w:space="0"/>
                    <w:right w:val="nil"/>
                  </w:tcBorders>
                  <w:vAlign w:val="center"/>
                </w:tcPr>
                <w:p>
                  <w:pPr>
                    <w:pStyle w:val="120"/>
                    <w:rPr>
                      <w:rFonts w:hint="default" w:ascii="Times New Roman" w:hAnsi="Times New Roman" w:cs="Times New Roman"/>
                      <w:color w:val="auto"/>
                      <w:kern w:val="0"/>
                    </w:rPr>
                  </w:pPr>
                  <w:r>
                    <w:rPr>
                      <w:rFonts w:hint="default" w:ascii="Times New Roman" w:hAnsi="Times New Roman" w:cs="Times New Roman"/>
                      <w:color w:val="auto"/>
                      <w:kern w:val="0"/>
                    </w:rPr>
                    <w:t>1.19</w:t>
                  </w:r>
                  <w:r>
                    <w:rPr>
                      <w:rFonts w:hint="default" w:ascii="Times New Roman" w:hAnsi="Times New Roman" w:eastAsia="宋体" w:cs="Times New Roman"/>
                      <w:color w:val="auto"/>
                      <w:kern w:val="0"/>
                    </w:rPr>
                    <w:t>，空气＝</w:t>
                  </w:r>
                  <w:r>
                    <w:rPr>
                      <w:rFonts w:hint="default" w:ascii="Times New Roman" w:hAnsi="Times New Roman" w:cs="Times New Roman"/>
                      <w:color w:val="auto"/>
                      <w:kern w:val="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pct"/>
                  <w:tcBorders>
                    <w:top w:val="single" w:color="000000" w:sz="4" w:space="0"/>
                    <w:left w:val="nil"/>
                    <w:bottom w:val="single" w:color="000000" w:sz="4" w:space="0"/>
                    <w:right w:val="single" w:color="000000" w:sz="4" w:space="0"/>
                  </w:tcBorders>
                  <w:vAlign w:val="center"/>
                </w:tcPr>
                <w:p>
                  <w:pPr>
                    <w:pStyle w:val="120"/>
                    <w:rPr>
                      <w:rFonts w:hint="default" w:ascii="Times New Roman" w:hAnsi="Times New Roman" w:cs="Times New Roman"/>
                      <w:color w:val="auto"/>
                      <w:kern w:val="0"/>
                    </w:rPr>
                  </w:pPr>
                  <w:r>
                    <w:rPr>
                      <w:rFonts w:hint="default" w:ascii="Times New Roman" w:hAnsi="Times New Roman" w:eastAsia="宋体" w:cs="Times New Roman"/>
                      <w:color w:val="auto"/>
                      <w:kern w:val="0"/>
                    </w:rPr>
                    <w:t>熔点</w:t>
                  </w:r>
                </w:p>
              </w:tc>
              <w:tc>
                <w:tcPr>
                  <w:tcW w:w="2371" w:type="pct"/>
                  <w:tcBorders>
                    <w:top w:val="single" w:color="000000" w:sz="4" w:space="0"/>
                    <w:left w:val="nil"/>
                    <w:bottom w:val="single" w:color="000000" w:sz="4" w:space="0"/>
                    <w:right w:val="single" w:color="000000" w:sz="4" w:space="0"/>
                  </w:tcBorders>
                  <w:vAlign w:val="center"/>
                </w:tcPr>
                <w:p>
                  <w:pPr>
                    <w:pStyle w:val="120"/>
                    <w:rPr>
                      <w:rFonts w:hint="default" w:ascii="Times New Roman" w:hAnsi="Times New Roman" w:cs="Times New Roman"/>
                      <w:color w:val="auto"/>
                      <w:kern w:val="0"/>
                    </w:rPr>
                  </w:pPr>
                  <w:r>
                    <w:rPr>
                      <w:rFonts w:hint="default" w:ascii="Times New Roman" w:hAnsi="Times New Roman" w:cs="Times New Roman"/>
                      <w:color w:val="auto"/>
                      <w:kern w:val="0"/>
                    </w:rPr>
                    <w:t>-77.7</w:t>
                  </w:r>
                  <w:r>
                    <w:rPr>
                      <w:rFonts w:hint="default" w:ascii="Times New Roman" w:hAnsi="Times New Roman" w:eastAsia="宋体" w:cs="Times New Roman"/>
                      <w:color w:val="auto"/>
                      <w:kern w:val="0"/>
                    </w:rPr>
                    <w:t>℃</w:t>
                  </w:r>
                </w:p>
              </w:tc>
              <w:tc>
                <w:tcPr>
                  <w:tcW w:w="1500" w:type="pct"/>
                  <w:tcBorders>
                    <w:top w:val="single" w:color="000000" w:sz="4" w:space="0"/>
                    <w:left w:val="nil"/>
                    <w:bottom w:val="single" w:color="000000" w:sz="4" w:space="0"/>
                    <w:right w:val="nil"/>
                  </w:tcBorders>
                  <w:vAlign w:val="center"/>
                </w:tcPr>
                <w:p>
                  <w:pPr>
                    <w:pStyle w:val="120"/>
                    <w:rPr>
                      <w:rFonts w:hint="default" w:ascii="Times New Roman" w:hAnsi="Times New Roman" w:cs="Times New Roman"/>
                      <w:color w:val="auto"/>
                      <w:kern w:val="0"/>
                    </w:rPr>
                  </w:pPr>
                  <w:r>
                    <w:rPr>
                      <w:rFonts w:hint="default" w:ascii="Times New Roman" w:hAnsi="Times New Roman" w:cs="Times New Roman"/>
                      <w:color w:val="auto"/>
                      <w:kern w:val="0"/>
                    </w:rPr>
                    <w:t>-85.5</w:t>
                  </w:r>
                  <w:r>
                    <w:rPr>
                      <w:rFonts w:hint="default" w:ascii="Times New Roman" w:hAnsi="Times New Roman" w:eastAsia="宋体" w:cs="Times New Roman"/>
                      <w:color w:val="auto"/>
                      <w:kern w:val="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pct"/>
                  <w:tcBorders>
                    <w:top w:val="single" w:color="000000" w:sz="4" w:space="0"/>
                    <w:left w:val="nil"/>
                    <w:bottom w:val="single" w:color="000000" w:sz="4" w:space="0"/>
                    <w:right w:val="single" w:color="000000" w:sz="4" w:space="0"/>
                  </w:tcBorders>
                  <w:vAlign w:val="center"/>
                </w:tcPr>
                <w:p>
                  <w:pPr>
                    <w:pStyle w:val="120"/>
                    <w:rPr>
                      <w:rFonts w:hint="default" w:ascii="Times New Roman" w:hAnsi="Times New Roman" w:cs="Times New Roman"/>
                      <w:color w:val="auto"/>
                      <w:kern w:val="0"/>
                    </w:rPr>
                  </w:pPr>
                  <w:r>
                    <w:rPr>
                      <w:rFonts w:hint="default" w:ascii="Times New Roman" w:hAnsi="Times New Roman" w:eastAsia="宋体" w:cs="Times New Roman"/>
                      <w:color w:val="auto"/>
                      <w:kern w:val="0"/>
                    </w:rPr>
                    <w:t>沸点</w:t>
                  </w:r>
                </w:p>
              </w:tc>
              <w:tc>
                <w:tcPr>
                  <w:tcW w:w="2371" w:type="pct"/>
                  <w:tcBorders>
                    <w:top w:val="single" w:color="000000" w:sz="4" w:space="0"/>
                    <w:left w:val="nil"/>
                    <w:bottom w:val="single" w:color="000000" w:sz="4" w:space="0"/>
                    <w:right w:val="single" w:color="000000" w:sz="4" w:space="0"/>
                  </w:tcBorders>
                  <w:vAlign w:val="center"/>
                </w:tcPr>
                <w:p>
                  <w:pPr>
                    <w:pStyle w:val="120"/>
                    <w:rPr>
                      <w:rFonts w:hint="default" w:ascii="Times New Roman" w:hAnsi="Times New Roman" w:cs="Times New Roman"/>
                      <w:color w:val="auto"/>
                      <w:kern w:val="0"/>
                    </w:rPr>
                  </w:pPr>
                  <w:r>
                    <w:rPr>
                      <w:rFonts w:hint="default" w:ascii="Times New Roman" w:hAnsi="Times New Roman" w:cs="Times New Roman"/>
                      <w:color w:val="auto"/>
                      <w:kern w:val="0"/>
                    </w:rPr>
                    <w:t>-33.5</w:t>
                  </w:r>
                  <w:r>
                    <w:rPr>
                      <w:rFonts w:hint="default" w:ascii="Times New Roman" w:hAnsi="Times New Roman" w:eastAsia="宋体" w:cs="Times New Roman"/>
                      <w:color w:val="auto"/>
                      <w:kern w:val="0"/>
                    </w:rPr>
                    <w:t>℃</w:t>
                  </w:r>
                </w:p>
              </w:tc>
              <w:tc>
                <w:tcPr>
                  <w:tcW w:w="1500" w:type="pct"/>
                  <w:tcBorders>
                    <w:top w:val="single" w:color="000000" w:sz="4" w:space="0"/>
                    <w:left w:val="nil"/>
                    <w:bottom w:val="single" w:color="000000" w:sz="4" w:space="0"/>
                    <w:right w:val="nil"/>
                  </w:tcBorders>
                  <w:vAlign w:val="center"/>
                </w:tcPr>
                <w:p>
                  <w:pPr>
                    <w:pStyle w:val="120"/>
                    <w:rPr>
                      <w:rFonts w:hint="default" w:ascii="Times New Roman" w:hAnsi="Times New Roman" w:cs="Times New Roman"/>
                      <w:color w:val="auto"/>
                      <w:kern w:val="0"/>
                    </w:rPr>
                  </w:pPr>
                  <w:r>
                    <w:rPr>
                      <w:rFonts w:hint="default" w:ascii="Times New Roman" w:hAnsi="Times New Roman" w:cs="Times New Roman"/>
                      <w:color w:val="auto"/>
                      <w:kern w:val="0"/>
                    </w:rPr>
                    <w:t>-60.7</w:t>
                  </w:r>
                  <w:r>
                    <w:rPr>
                      <w:rFonts w:hint="default" w:ascii="Times New Roman" w:hAnsi="Times New Roman" w:eastAsia="宋体" w:cs="Times New Roman"/>
                      <w:color w:val="auto"/>
                      <w:kern w:val="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pct"/>
                  <w:tcBorders>
                    <w:top w:val="single" w:color="000000" w:sz="4" w:space="0"/>
                    <w:left w:val="nil"/>
                    <w:bottom w:val="single" w:color="000000" w:sz="12" w:space="0"/>
                    <w:right w:val="single" w:color="000000" w:sz="4" w:space="0"/>
                  </w:tcBorders>
                  <w:vAlign w:val="center"/>
                </w:tcPr>
                <w:p>
                  <w:pPr>
                    <w:pStyle w:val="120"/>
                    <w:rPr>
                      <w:rFonts w:hint="default" w:ascii="Times New Roman" w:hAnsi="Times New Roman" w:cs="Times New Roman"/>
                      <w:color w:val="auto"/>
                      <w:kern w:val="0"/>
                    </w:rPr>
                  </w:pPr>
                  <w:r>
                    <w:rPr>
                      <w:rFonts w:hint="default" w:ascii="Times New Roman" w:hAnsi="Times New Roman" w:eastAsia="宋体" w:cs="Times New Roman"/>
                      <w:color w:val="auto"/>
                      <w:kern w:val="0"/>
                    </w:rPr>
                    <w:t>其它性质</w:t>
                  </w:r>
                </w:p>
              </w:tc>
              <w:tc>
                <w:tcPr>
                  <w:tcW w:w="2371" w:type="pct"/>
                  <w:tcBorders>
                    <w:top w:val="single" w:color="000000" w:sz="4" w:space="0"/>
                    <w:left w:val="nil"/>
                    <w:bottom w:val="single" w:color="000000" w:sz="12" w:space="0"/>
                    <w:right w:val="single" w:color="000000" w:sz="4" w:space="0"/>
                  </w:tcBorders>
                  <w:vAlign w:val="center"/>
                </w:tcPr>
                <w:p>
                  <w:pPr>
                    <w:pStyle w:val="120"/>
                    <w:rPr>
                      <w:rFonts w:hint="default" w:ascii="Times New Roman" w:hAnsi="Times New Roman" w:cs="Times New Roman"/>
                      <w:color w:val="auto"/>
                      <w:kern w:val="0"/>
                    </w:rPr>
                  </w:pPr>
                  <w:r>
                    <w:rPr>
                      <w:rFonts w:hint="default" w:ascii="Times New Roman" w:hAnsi="Times New Roman" w:eastAsia="宋体" w:cs="Times New Roman"/>
                      <w:color w:val="auto"/>
                      <w:kern w:val="0"/>
                    </w:rPr>
                    <w:t>易被液化成无色的液体，溶于水、乙醇</w:t>
                  </w:r>
                </w:p>
              </w:tc>
              <w:tc>
                <w:tcPr>
                  <w:tcW w:w="1500" w:type="pct"/>
                  <w:tcBorders>
                    <w:top w:val="single" w:color="000000" w:sz="4" w:space="0"/>
                    <w:left w:val="nil"/>
                    <w:bottom w:val="single" w:color="000000" w:sz="12" w:space="0"/>
                    <w:right w:val="nil"/>
                  </w:tcBorders>
                  <w:vAlign w:val="center"/>
                </w:tcPr>
                <w:p>
                  <w:pPr>
                    <w:pStyle w:val="120"/>
                    <w:rPr>
                      <w:rFonts w:hint="default" w:ascii="Times New Roman" w:hAnsi="Times New Roman" w:cs="Times New Roman"/>
                      <w:color w:val="auto"/>
                      <w:kern w:val="0"/>
                    </w:rPr>
                  </w:pPr>
                  <w:r>
                    <w:rPr>
                      <w:rFonts w:hint="default" w:ascii="Times New Roman" w:hAnsi="Times New Roman" w:eastAsia="宋体" w:cs="Times New Roman"/>
                      <w:color w:val="auto"/>
                      <w:kern w:val="0"/>
                    </w:rPr>
                    <w:t>有毒性</w:t>
                  </w:r>
                </w:p>
              </w:tc>
            </w:tr>
          </w:tbl>
          <w:p>
            <w:pPr>
              <w:pStyle w:val="41"/>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本次评价恶臭污染因子以NH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和H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S作为评价因子，</w:t>
            </w:r>
            <w:r>
              <w:rPr>
                <w:rFonts w:hint="default" w:ascii="Times New Roman" w:hAnsi="Times New Roman" w:cs="Times New Roman"/>
                <w:color w:val="auto"/>
                <w:sz w:val="24"/>
                <w:szCs w:val="24"/>
                <w:lang w:val="en-US" w:eastAsia="zh-CN"/>
              </w:rPr>
              <w:t>根据</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天水市生活垃圾填埋场渗滤液处理工程验收监测报告》（2019），该企业采取两级DTRO工艺，废气采取密闭措施，废气无组织排放，能够满足达标排放要求。《重庆长生桥垃圾填埋场渗滤液处理改造工程验收监测报告》（2020），该企业采取两级DTRO工艺，废气采取密闭措施，废气无组织排放，能够满足达标排放要求。《昌吉垃圾处理厂垃圾填埋区建设工程渗滤液提标处理项目竣工环境保护验收监测报告》该企业采取两级DTRO工艺，废气采取密闭措施，废气无组织排放，能够满足达标排放要求（2018）。DTRO工艺处理垃圾渗滤液工艺较为成熟，现状企业验收均为无组织排放，验收监测均为厂界恶臭浓度，通过目前运营企业实际情况，在采取密闭措施下，恶臭污染物均能达标排放。</w:t>
            </w:r>
          </w:p>
          <w:p>
            <w:pPr>
              <w:pStyle w:val="41"/>
              <w:snapToGrid w:val="0"/>
              <w:spacing w:line="360" w:lineRule="auto"/>
              <w:ind w:firstLine="480" w:firstLineChars="20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表5-4国内DTRO验收实例</w:t>
            </w:r>
          </w:p>
          <w:tbl>
            <w:tblPr>
              <w:tblStyle w:val="3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2177"/>
              <w:gridCol w:w="968"/>
              <w:gridCol w:w="1897"/>
              <w:gridCol w:w="1118"/>
              <w:gridCol w:w="1228"/>
              <w:gridCol w:w="11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293" w:type="pct"/>
                  <w:tcBorders>
                    <w:tl2br w:val="nil"/>
                    <w:tr2bl w:val="nil"/>
                  </w:tcBorders>
                  <w:vAlign w:val="center"/>
                </w:tcPr>
                <w:p>
                  <w:pPr>
                    <w:widowControl/>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cs="Times New Roman"/>
                      <w:color w:val="auto"/>
                      <w:sz w:val="21"/>
                      <w:szCs w:val="21"/>
                    </w:rPr>
                    <w:t>编号</w:t>
                  </w:r>
                </w:p>
              </w:tc>
              <w:tc>
                <w:tcPr>
                  <w:tcW w:w="1206" w:type="pct"/>
                  <w:tcBorders>
                    <w:tl2br w:val="nil"/>
                    <w:tr2bl w:val="nil"/>
                  </w:tcBorders>
                  <w:vAlign w:val="center"/>
                </w:tcPr>
                <w:p>
                  <w:pPr>
                    <w:spacing w:line="360" w:lineRule="auto"/>
                    <w:jc w:val="center"/>
                    <w:rPr>
                      <w:rFonts w:hint="default" w:ascii="Times New Roman" w:hAnsi="Times New Roman" w:eastAsia="仿宋_GB2312" w:cs="Times New Roman"/>
                      <w:color w:val="auto"/>
                      <w:kern w:val="2"/>
                      <w:sz w:val="21"/>
                      <w:szCs w:val="21"/>
                      <w:lang w:val="en-US" w:eastAsia="zh-CN"/>
                    </w:rPr>
                  </w:pPr>
                  <w:r>
                    <w:rPr>
                      <w:rFonts w:hint="default" w:ascii="Times New Roman" w:hAnsi="Times New Roman" w:eastAsia="仿宋_GB2312" w:cs="Times New Roman"/>
                      <w:color w:val="auto"/>
                      <w:sz w:val="21"/>
                      <w:szCs w:val="21"/>
                      <w:lang w:val="en-US" w:eastAsia="zh-CN"/>
                    </w:rPr>
                    <w:t>项目名称</w:t>
                  </w:r>
                </w:p>
              </w:tc>
              <w:tc>
                <w:tcPr>
                  <w:tcW w:w="536" w:type="pct"/>
                  <w:tcBorders>
                    <w:tl2br w:val="nil"/>
                    <w:tr2bl w:val="nil"/>
                  </w:tcBorders>
                  <w:vAlign w:val="center"/>
                </w:tcPr>
                <w:p>
                  <w:pPr>
                    <w:spacing w:line="360" w:lineRule="auto"/>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处理能力</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/d</w:t>
                  </w:r>
                </w:p>
              </w:tc>
              <w:tc>
                <w:tcPr>
                  <w:tcW w:w="1051" w:type="pct"/>
                  <w:tcBorders>
                    <w:tl2br w:val="nil"/>
                    <w:tr2bl w:val="nil"/>
                  </w:tcBorders>
                  <w:vAlign w:val="center"/>
                </w:tcPr>
                <w:p>
                  <w:pPr>
                    <w:spacing w:line="360"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采用工艺</w:t>
                  </w:r>
                </w:p>
              </w:tc>
              <w:tc>
                <w:tcPr>
                  <w:tcW w:w="619" w:type="pct"/>
                  <w:tcBorders>
                    <w:tl2br w:val="nil"/>
                    <w:tr2bl w:val="nil"/>
                  </w:tcBorders>
                  <w:vAlign w:val="center"/>
                </w:tcPr>
                <w:p>
                  <w:pPr>
                    <w:spacing w:line="360" w:lineRule="auto"/>
                    <w:jc w:val="center"/>
                    <w:rPr>
                      <w:rFonts w:hint="default" w:ascii="Times New Roman" w:hAnsi="Times New Roman" w:eastAsia="仿宋_GB2312" w:cs="Times New Roman"/>
                      <w:color w:val="auto"/>
                      <w:kern w:val="2"/>
                      <w:sz w:val="21"/>
                      <w:szCs w:val="21"/>
                      <w:lang w:val="en-US" w:eastAsia="zh-CN"/>
                    </w:rPr>
                  </w:pPr>
                  <w:r>
                    <w:rPr>
                      <w:rFonts w:hint="default" w:ascii="Times New Roman" w:hAnsi="Times New Roman" w:eastAsia="仿宋_GB2312" w:cs="Times New Roman"/>
                      <w:color w:val="auto"/>
                      <w:kern w:val="2"/>
                      <w:sz w:val="21"/>
                      <w:szCs w:val="21"/>
                      <w:lang w:val="en-US" w:eastAsia="zh-CN"/>
                    </w:rPr>
                    <w:t>恶臭治理措施</w:t>
                  </w:r>
                </w:p>
              </w:tc>
              <w:tc>
                <w:tcPr>
                  <w:tcW w:w="680" w:type="pct"/>
                  <w:tcBorders>
                    <w:tl2br w:val="nil"/>
                    <w:tr2bl w:val="nil"/>
                  </w:tcBorders>
                  <w:vAlign w:val="center"/>
                </w:tcPr>
                <w:p>
                  <w:pPr>
                    <w:spacing w:line="360" w:lineRule="auto"/>
                    <w:jc w:val="center"/>
                    <w:rPr>
                      <w:rFonts w:hint="default" w:ascii="Times New Roman" w:hAnsi="Times New Roman" w:eastAsia="仿宋_GB2312" w:cs="Times New Roman"/>
                      <w:color w:val="auto"/>
                      <w:kern w:val="2"/>
                      <w:sz w:val="21"/>
                      <w:szCs w:val="21"/>
                      <w:lang w:val="en-US" w:eastAsia="zh-CN"/>
                    </w:rPr>
                  </w:pPr>
                  <w:r>
                    <w:rPr>
                      <w:rFonts w:hint="default" w:ascii="Times New Roman" w:hAnsi="Times New Roman" w:eastAsia="仿宋_GB2312" w:cs="Times New Roman"/>
                      <w:color w:val="auto"/>
                      <w:sz w:val="21"/>
                      <w:szCs w:val="21"/>
                      <w:lang w:val="en-US" w:eastAsia="zh-CN"/>
                    </w:rPr>
                    <w:t>排放方式</w:t>
                  </w:r>
                </w:p>
              </w:tc>
              <w:tc>
                <w:tcPr>
                  <w:tcW w:w="612" w:type="pct"/>
                  <w:tcBorders>
                    <w:tl2br w:val="nil"/>
                    <w:tr2bl w:val="nil"/>
                  </w:tcBorders>
                  <w:vAlign w:val="center"/>
                </w:tcPr>
                <w:p>
                  <w:pPr>
                    <w:spacing w:line="360" w:lineRule="auto"/>
                    <w:jc w:val="center"/>
                    <w:rPr>
                      <w:rFonts w:hint="default" w:ascii="Times New Roman" w:hAnsi="Times New Roman" w:eastAsia="仿宋_GB2312" w:cs="Times New Roman"/>
                      <w:color w:val="auto"/>
                      <w:kern w:val="2"/>
                      <w:sz w:val="21"/>
                      <w:szCs w:val="21"/>
                    </w:rPr>
                  </w:pPr>
                  <w:r>
                    <w:rPr>
                      <w:rFonts w:hint="default" w:ascii="Times New Roman" w:hAnsi="Times New Roman" w:cs="Times New Roman"/>
                      <w:color w:val="auto"/>
                      <w:sz w:val="21"/>
                      <w:szCs w:val="21"/>
                      <w:lang w:val="en-US" w:eastAsia="zh-CN"/>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8" w:hRule="atLeast"/>
              </w:trPr>
              <w:tc>
                <w:tcPr>
                  <w:tcW w:w="293" w:type="pct"/>
                  <w:tcBorders>
                    <w:tl2br w:val="nil"/>
                    <w:tr2bl w:val="nil"/>
                  </w:tcBorders>
                  <w:vAlign w:val="center"/>
                </w:tcPr>
                <w:p>
                  <w:pPr>
                    <w:widowControl/>
                    <w:spacing w:line="360" w:lineRule="auto"/>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val="en-US" w:eastAsia="zh-CN"/>
                    </w:rPr>
                    <w:t>1</w:t>
                  </w:r>
                </w:p>
              </w:tc>
              <w:tc>
                <w:tcPr>
                  <w:tcW w:w="1206" w:type="pct"/>
                  <w:tcBorders>
                    <w:tl2br w:val="nil"/>
                    <w:tr2bl w:val="nil"/>
                  </w:tcBorders>
                  <w:vAlign w:val="center"/>
                </w:tcPr>
                <w:p>
                  <w:pPr>
                    <w:spacing w:line="360"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天水市生活垃圾填埋场渗滤液处理工程验收监测报告》（2019）</w:t>
                  </w:r>
                </w:p>
              </w:tc>
              <w:tc>
                <w:tcPr>
                  <w:tcW w:w="536" w:type="pct"/>
                  <w:tcBorders>
                    <w:tl2br w:val="nil"/>
                    <w:tr2bl w:val="nil"/>
                  </w:tcBorders>
                  <w:vAlign w:val="center"/>
                </w:tcPr>
                <w:p>
                  <w:pPr>
                    <w:spacing w:line="36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1051" w:type="pct"/>
                  <w:tcBorders>
                    <w:tl2br w:val="nil"/>
                    <w:tr2bl w:val="nil"/>
                  </w:tcBorders>
                  <w:vAlign w:val="center"/>
                </w:tcPr>
                <w:p>
                  <w:pPr>
                    <w:spacing w:line="360" w:lineRule="auto"/>
                    <w:jc w:val="center"/>
                    <w:rPr>
                      <w:rFonts w:hint="default" w:ascii="Times New Roman" w:hAnsi="Times New Roman" w:eastAsia="仿宋_GB2312" w:cs="Times New Roman"/>
                      <w:color w:val="auto"/>
                      <w:kern w:val="2"/>
                      <w:sz w:val="21"/>
                      <w:szCs w:val="21"/>
                    </w:rPr>
                  </w:pPr>
                  <w:r>
                    <w:rPr>
                      <w:rFonts w:hint="default" w:ascii="Times New Roman" w:hAnsi="Times New Roman" w:cs="Times New Roman"/>
                      <w:color w:val="auto"/>
                      <w:sz w:val="21"/>
                      <w:szCs w:val="21"/>
                      <w:lang w:val="en-US" w:eastAsia="zh-CN"/>
                    </w:rPr>
                    <w:t>两级DTRO工艺</w:t>
                  </w:r>
                </w:p>
              </w:tc>
              <w:tc>
                <w:tcPr>
                  <w:tcW w:w="619" w:type="pct"/>
                  <w:tcBorders>
                    <w:tl2br w:val="nil"/>
                    <w:tr2bl w:val="nil"/>
                  </w:tcBorders>
                  <w:vAlign w:val="center"/>
                </w:tcPr>
                <w:p>
                  <w:pPr>
                    <w:spacing w:line="360" w:lineRule="auto"/>
                    <w:jc w:val="center"/>
                    <w:rPr>
                      <w:rFonts w:hint="default" w:ascii="Times New Roman" w:hAnsi="Times New Roman" w:eastAsia="仿宋_GB2312" w:cs="Times New Roman"/>
                      <w:color w:val="auto"/>
                      <w:kern w:val="2"/>
                      <w:sz w:val="21"/>
                      <w:szCs w:val="21"/>
                      <w:lang w:val="en-US" w:eastAsia="zh-CN"/>
                    </w:rPr>
                  </w:pPr>
                  <w:r>
                    <w:rPr>
                      <w:rFonts w:hint="default" w:ascii="Times New Roman" w:hAnsi="Times New Roman" w:eastAsia="仿宋_GB2312" w:cs="Times New Roman"/>
                      <w:color w:val="auto"/>
                      <w:kern w:val="2"/>
                      <w:sz w:val="21"/>
                      <w:szCs w:val="21"/>
                      <w:lang w:val="en-US" w:eastAsia="zh-CN"/>
                    </w:rPr>
                    <w:t>密闭</w:t>
                  </w:r>
                </w:p>
              </w:tc>
              <w:tc>
                <w:tcPr>
                  <w:tcW w:w="680" w:type="pct"/>
                  <w:tcBorders>
                    <w:tl2br w:val="nil"/>
                    <w:tr2bl w:val="nil"/>
                  </w:tcBorders>
                  <w:vAlign w:val="center"/>
                </w:tcPr>
                <w:p>
                  <w:pPr>
                    <w:spacing w:line="360" w:lineRule="auto"/>
                    <w:jc w:val="center"/>
                    <w:rPr>
                      <w:rFonts w:hint="default" w:ascii="Times New Roman" w:hAnsi="Times New Roman" w:eastAsia="仿宋_GB2312" w:cs="Times New Roman"/>
                      <w:color w:val="auto"/>
                      <w:kern w:val="2"/>
                      <w:sz w:val="21"/>
                      <w:szCs w:val="21"/>
                      <w:lang w:val="en-US" w:eastAsia="zh-CN"/>
                    </w:rPr>
                  </w:pPr>
                  <w:r>
                    <w:rPr>
                      <w:rFonts w:hint="default" w:ascii="Times New Roman" w:hAnsi="Times New Roman" w:eastAsia="仿宋_GB2312" w:cs="Times New Roman"/>
                      <w:color w:val="auto"/>
                      <w:kern w:val="2"/>
                      <w:sz w:val="21"/>
                      <w:szCs w:val="21"/>
                      <w:lang w:val="en-US" w:eastAsia="zh-CN"/>
                    </w:rPr>
                    <w:t>无组织排放</w:t>
                  </w:r>
                </w:p>
              </w:tc>
              <w:tc>
                <w:tcPr>
                  <w:tcW w:w="612" w:type="pct"/>
                  <w:tcBorders>
                    <w:tl2br w:val="nil"/>
                    <w:tr2bl w:val="nil"/>
                  </w:tcBorders>
                  <w:vAlign w:val="center"/>
                </w:tcPr>
                <w:p>
                  <w:pPr>
                    <w:widowControl/>
                    <w:spacing w:line="360" w:lineRule="auto"/>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8" w:hRule="atLeast"/>
              </w:trPr>
              <w:tc>
                <w:tcPr>
                  <w:tcW w:w="293" w:type="pct"/>
                  <w:tcBorders>
                    <w:tl2br w:val="nil"/>
                    <w:tr2bl w:val="nil"/>
                  </w:tcBorders>
                  <w:vAlign w:val="center"/>
                </w:tcPr>
                <w:p>
                  <w:pPr>
                    <w:widowControl/>
                    <w:spacing w:line="360" w:lineRule="auto"/>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2</w:t>
                  </w:r>
                </w:p>
              </w:tc>
              <w:tc>
                <w:tcPr>
                  <w:tcW w:w="1206" w:type="pct"/>
                  <w:tcBorders>
                    <w:tl2br w:val="nil"/>
                    <w:tr2bl w:val="nil"/>
                  </w:tcBorders>
                  <w:vAlign w:val="center"/>
                </w:tcPr>
                <w:p>
                  <w:pPr>
                    <w:spacing w:line="36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《重庆长生桥垃圾填埋场渗滤液处理改造工程验收监测报告》（2020）</w:t>
                  </w:r>
                </w:p>
              </w:tc>
              <w:tc>
                <w:tcPr>
                  <w:tcW w:w="536" w:type="pct"/>
                  <w:tcBorders>
                    <w:tl2br w:val="nil"/>
                    <w:tr2bl w:val="nil"/>
                  </w:tcBorders>
                  <w:vAlign w:val="center"/>
                </w:tcPr>
                <w:p>
                  <w:pPr>
                    <w:spacing w:line="36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400</w:t>
                  </w:r>
                </w:p>
              </w:tc>
              <w:tc>
                <w:tcPr>
                  <w:tcW w:w="1051" w:type="pct"/>
                  <w:tcBorders>
                    <w:tl2br w:val="nil"/>
                    <w:tr2bl w:val="nil"/>
                  </w:tcBorders>
                  <w:vAlign w:val="center"/>
                </w:tcPr>
                <w:p>
                  <w:pPr>
                    <w:spacing w:line="36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两级DTRO工艺</w:t>
                  </w:r>
                </w:p>
              </w:tc>
              <w:tc>
                <w:tcPr>
                  <w:tcW w:w="619" w:type="pct"/>
                  <w:tcBorders>
                    <w:tl2br w:val="nil"/>
                    <w:tr2bl w:val="nil"/>
                  </w:tcBorders>
                  <w:vAlign w:val="center"/>
                </w:tcPr>
                <w:p>
                  <w:pPr>
                    <w:spacing w:line="360" w:lineRule="auto"/>
                    <w:jc w:val="center"/>
                    <w:rPr>
                      <w:rFonts w:hint="default" w:ascii="Times New Roman" w:hAnsi="Times New Roman" w:eastAsia="仿宋_GB2312" w:cs="Times New Roman"/>
                      <w:color w:val="auto"/>
                      <w:kern w:val="2"/>
                      <w:sz w:val="21"/>
                      <w:szCs w:val="21"/>
                      <w:lang w:val="en-US" w:eastAsia="zh-CN"/>
                    </w:rPr>
                  </w:pPr>
                  <w:r>
                    <w:rPr>
                      <w:rFonts w:hint="default" w:ascii="Times New Roman" w:hAnsi="Times New Roman" w:eastAsia="仿宋_GB2312" w:cs="Times New Roman"/>
                      <w:color w:val="auto"/>
                      <w:kern w:val="2"/>
                      <w:sz w:val="21"/>
                      <w:szCs w:val="21"/>
                      <w:lang w:val="en-US" w:eastAsia="zh-CN"/>
                    </w:rPr>
                    <w:t>密闭</w:t>
                  </w:r>
                </w:p>
              </w:tc>
              <w:tc>
                <w:tcPr>
                  <w:tcW w:w="680" w:type="pct"/>
                  <w:tcBorders>
                    <w:tl2br w:val="nil"/>
                    <w:tr2bl w:val="nil"/>
                  </w:tcBorders>
                  <w:vAlign w:val="center"/>
                </w:tcPr>
                <w:p>
                  <w:pPr>
                    <w:spacing w:line="360" w:lineRule="auto"/>
                    <w:jc w:val="center"/>
                    <w:rPr>
                      <w:rFonts w:hint="default" w:ascii="Times New Roman" w:hAnsi="Times New Roman" w:eastAsia="仿宋_GB2312" w:cs="Times New Roman"/>
                      <w:color w:val="auto"/>
                      <w:kern w:val="2"/>
                      <w:sz w:val="21"/>
                      <w:szCs w:val="21"/>
                      <w:lang w:val="en-US" w:eastAsia="zh-CN"/>
                    </w:rPr>
                  </w:pPr>
                  <w:r>
                    <w:rPr>
                      <w:rFonts w:hint="default" w:ascii="Times New Roman" w:hAnsi="Times New Roman" w:eastAsia="仿宋_GB2312" w:cs="Times New Roman"/>
                      <w:color w:val="auto"/>
                      <w:kern w:val="2"/>
                      <w:sz w:val="21"/>
                      <w:szCs w:val="21"/>
                      <w:lang w:val="en-US" w:eastAsia="zh-CN"/>
                    </w:rPr>
                    <w:t>无组织排放</w:t>
                  </w:r>
                </w:p>
              </w:tc>
              <w:tc>
                <w:tcPr>
                  <w:tcW w:w="612" w:type="pct"/>
                  <w:tcBorders>
                    <w:tl2br w:val="nil"/>
                    <w:tr2bl w:val="nil"/>
                  </w:tcBorders>
                  <w:vAlign w:val="center"/>
                </w:tcPr>
                <w:p>
                  <w:pPr>
                    <w:widowControl/>
                    <w:spacing w:line="360" w:lineRule="auto"/>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8" w:hRule="atLeast"/>
              </w:trPr>
              <w:tc>
                <w:tcPr>
                  <w:tcW w:w="293" w:type="pct"/>
                  <w:tcBorders>
                    <w:tl2br w:val="nil"/>
                    <w:tr2bl w:val="nil"/>
                  </w:tcBorders>
                  <w:vAlign w:val="center"/>
                </w:tcPr>
                <w:p>
                  <w:pPr>
                    <w:widowControl/>
                    <w:spacing w:line="360" w:lineRule="auto"/>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3</w:t>
                  </w:r>
                </w:p>
              </w:tc>
              <w:tc>
                <w:tcPr>
                  <w:tcW w:w="1206" w:type="pct"/>
                  <w:tcBorders>
                    <w:tl2br w:val="nil"/>
                    <w:tr2bl w:val="nil"/>
                  </w:tcBorders>
                  <w:vAlign w:val="center"/>
                </w:tcPr>
                <w:p>
                  <w:pPr>
                    <w:spacing w:line="36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《昌吉垃圾处理厂垃圾填埋区建设工程渗滤液提标处理项目竣工环境保护验收监测报告》（2018）</w:t>
                  </w:r>
                </w:p>
              </w:tc>
              <w:tc>
                <w:tcPr>
                  <w:tcW w:w="536" w:type="pct"/>
                  <w:tcBorders>
                    <w:tl2br w:val="nil"/>
                    <w:tr2bl w:val="nil"/>
                  </w:tcBorders>
                  <w:vAlign w:val="center"/>
                </w:tcPr>
                <w:p>
                  <w:pPr>
                    <w:spacing w:line="36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80</w:t>
                  </w:r>
                </w:p>
              </w:tc>
              <w:tc>
                <w:tcPr>
                  <w:tcW w:w="1051" w:type="pct"/>
                  <w:tcBorders>
                    <w:tl2br w:val="nil"/>
                    <w:tr2bl w:val="nil"/>
                  </w:tcBorders>
                  <w:vAlign w:val="center"/>
                </w:tcPr>
                <w:p>
                  <w:pPr>
                    <w:spacing w:line="36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预处理+两级DTRO工艺</w:t>
                  </w:r>
                </w:p>
              </w:tc>
              <w:tc>
                <w:tcPr>
                  <w:tcW w:w="619" w:type="pct"/>
                  <w:tcBorders>
                    <w:tl2br w:val="nil"/>
                    <w:tr2bl w:val="nil"/>
                  </w:tcBorders>
                  <w:vAlign w:val="center"/>
                </w:tcPr>
                <w:p>
                  <w:pPr>
                    <w:spacing w:line="360" w:lineRule="auto"/>
                    <w:jc w:val="center"/>
                    <w:rPr>
                      <w:rFonts w:hint="default" w:ascii="Times New Roman" w:hAnsi="Times New Roman" w:eastAsia="仿宋_GB2312" w:cs="Times New Roman"/>
                      <w:color w:val="auto"/>
                      <w:kern w:val="2"/>
                      <w:sz w:val="21"/>
                      <w:szCs w:val="21"/>
                      <w:lang w:val="en-US" w:eastAsia="zh-CN"/>
                    </w:rPr>
                  </w:pPr>
                  <w:r>
                    <w:rPr>
                      <w:rFonts w:hint="default" w:ascii="Times New Roman" w:hAnsi="Times New Roman" w:eastAsia="仿宋_GB2312" w:cs="Times New Roman"/>
                      <w:color w:val="auto"/>
                      <w:kern w:val="2"/>
                      <w:sz w:val="21"/>
                      <w:szCs w:val="21"/>
                      <w:lang w:val="en-US" w:eastAsia="zh-CN"/>
                    </w:rPr>
                    <w:t>密闭</w:t>
                  </w:r>
                </w:p>
              </w:tc>
              <w:tc>
                <w:tcPr>
                  <w:tcW w:w="680" w:type="pct"/>
                  <w:tcBorders>
                    <w:tl2br w:val="nil"/>
                    <w:tr2bl w:val="nil"/>
                  </w:tcBorders>
                  <w:vAlign w:val="center"/>
                </w:tcPr>
                <w:p>
                  <w:pPr>
                    <w:spacing w:line="360" w:lineRule="auto"/>
                    <w:jc w:val="center"/>
                    <w:rPr>
                      <w:rFonts w:hint="default" w:ascii="Times New Roman" w:hAnsi="Times New Roman" w:eastAsia="仿宋_GB2312" w:cs="Times New Roman"/>
                      <w:color w:val="auto"/>
                      <w:kern w:val="2"/>
                      <w:sz w:val="21"/>
                      <w:szCs w:val="21"/>
                      <w:lang w:val="en-US" w:eastAsia="zh-CN"/>
                    </w:rPr>
                  </w:pPr>
                  <w:r>
                    <w:rPr>
                      <w:rFonts w:hint="default" w:ascii="Times New Roman" w:hAnsi="Times New Roman" w:eastAsia="仿宋_GB2312" w:cs="Times New Roman"/>
                      <w:color w:val="auto"/>
                      <w:kern w:val="2"/>
                      <w:sz w:val="21"/>
                      <w:szCs w:val="21"/>
                      <w:lang w:val="en-US" w:eastAsia="zh-CN"/>
                    </w:rPr>
                    <w:t>无组织排放</w:t>
                  </w:r>
                </w:p>
              </w:tc>
              <w:tc>
                <w:tcPr>
                  <w:tcW w:w="612" w:type="pct"/>
                  <w:tcBorders>
                    <w:tl2br w:val="nil"/>
                    <w:tr2bl w:val="nil"/>
                  </w:tcBorders>
                  <w:vAlign w:val="center"/>
                </w:tcPr>
                <w:p>
                  <w:pPr>
                    <w:widowControl/>
                    <w:spacing w:line="360" w:lineRule="auto"/>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达标</w:t>
                  </w:r>
                </w:p>
              </w:tc>
            </w:tr>
          </w:tbl>
          <w:p>
            <w:pPr>
              <w:pStyle w:val="41"/>
              <w:snapToGrid w:val="0"/>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sz w:val="24"/>
                <w:szCs w:val="24"/>
                <w:lang w:val="en-US" w:eastAsia="zh-CN"/>
              </w:rPr>
              <w:t>渗滤液处理站的</w:t>
            </w:r>
            <w:r>
              <w:rPr>
                <w:rFonts w:hint="default" w:ascii="Times New Roman" w:hAnsi="Times New Roman" w:cs="Times New Roman"/>
                <w:color w:val="auto"/>
                <w:sz w:val="24"/>
                <w:szCs w:val="24"/>
              </w:rPr>
              <w:t>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S</w:t>
            </w:r>
            <w:r>
              <w:rPr>
                <w:rFonts w:hint="default" w:ascii="Times New Roman" w:hAnsi="Times New Roman" w:cs="Times New Roman"/>
                <w:color w:val="auto"/>
                <w:sz w:val="24"/>
                <w:szCs w:val="24"/>
                <w:lang w:val="en-US" w:eastAsia="zh-CN"/>
              </w:rPr>
              <w:t>的源强类比《城镇污水处理厂恶臭源强及监测分析》中</w:t>
            </w:r>
            <w:r>
              <w:rPr>
                <w:rFonts w:hint="default" w:ascii="Times New Roman" w:hAnsi="Times New Roman" w:cs="Times New Roman"/>
                <w:color w:val="auto"/>
                <w:sz w:val="24"/>
                <w:szCs w:val="24"/>
              </w:rPr>
              <w:t>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S</w:t>
            </w:r>
            <w:r>
              <w:rPr>
                <w:rFonts w:hint="default" w:ascii="Times New Roman" w:hAnsi="Times New Roman" w:cs="Times New Roman"/>
                <w:color w:val="auto"/>
                <w:sz w:val="24"/>
                <w:szCs w:val="24"/>
                <w:lang w:val="en-US" w:eastAsia="zh-CN"/>
              </w:rPr>
              <w:t>的产生速率。</w:t>
            </w:r>
            <w:r>
              <w:rPr>
                <w:rFonts w:hint="default" w:ascii="Times New Roman" w:hAnsi="Times New Roman" w:cs="Times New Roman"/>
                <w:color w:val="auto"/>
                <w:lang w:val="en-US" w:eastAsia="zh-CN"/>
              </w:rPr>
              <w:t>渗漏液处理</w:t>
            </w:r>
            <w:r>
              <w:rPr>
                <w:rFonts w:hint="default" w:ascii="Times New Roman" w:hAnsi="Times New Roman" w:cs="Times New Roman"/>
                <w:color w:val="auto"/>
              </w:rPr>
              <w:t>车间</w:t>
            </w:r>
            <w:r>
              <w:rPr>
                <w:rFonts w:hint="default" w:ascii="Times New Roman" w:hAnsi="Times New Roman" w:cs="Times New Roman"/>
                <w:color w:val="auto"/>
                <w:lang w:val="en-US" w:eastAsia="zh-CN"/>
              </w:rPr>
              <w:t>密闭，各产生臭气点经臭气收集系统收集，车间密闭性较好，收集效率能够达到80%，</w:t>
            </w:r>
            <w:r>
              <w:rPr>
                <w:rFonts w:hint="default" w:ascii="Times New Roman" w:hAnsi="Times New Roman" w:cs="Times New Roman"/>
                <w:color w:val="auto"/>
              </w:rPr>
              <w:t>收集后经高能离子除臭装置（去除效率≥</w:t>
            </w:r>
            <w:r>
              <w:rPr>
                <w:rFonts w:hint="default" w:ascii="Times New Roman" w:hAnsi="Times New Roman" w:cs="Times New Roman"/>
                <w:color w:val="auto"/>
                <w:lang w:val="en-US" w:eastAsia="zh-CN"/>
              </w:rPr>
              <w:t>90</w:t>
            </w:r>
            <w:r>
              <w:rPr>
                <w:rFonts w:hint="default" w:ascii="Times New Roman" w:hAnsi="Times New Roman" w:cs="Times New Roman"/>
                <w:color w:val="auto"/>
              </w:rPr>
              <w:t>%）处理后通过15m排气筒高空排放</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未被收集的气体无组织排放。源强系数表见5-5，源强核算表见表5-6。</w:t>
            </w:r>
          </w:p>
          <w:p>
            <w:pPr>
              <w:pStyle w:val="41"/>
              <w:snapToGrid w:val="0"/>
              <w:spacing w:line="360" w:lineRule="auto"/>
              <w:ind w:firstLine="480" w:firstLineChars="20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表5-5渗滤液处理车间恶臭源强系数</w:t>
            </w:r>
          </w:p>
          <w:tbl>
            <w:tblPr>
              <w:tblStyle w:val="3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09"/>
              <w:gridCol w:w="3009"/>
              <w:gridCol w:w="30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09" w:type="dxa"/>
                  <w:tcBorders>
                    <w:tl2br w:val="nil"/>
                    <w:tr2bl w:val="nil"/>
                  </w:tcBorders>
                </w:tcPr>
                <w:p>
                  <w:pPr>
                    <w:pStyle w:val="41"/>
                    <w:snapToGrid w:val="0"/>
                    <w:spacing w:line="360" w:lineRule="auto"/>
                    <w:jc w:val="center"/>
                    <w:textAlignment w:val="baseline"/>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恶臭气体</w:t>
                  </w:r>
                </w:p>
              </w:tc>
              <w:tc>
                <w:tcPr>
                  <w:tcW w:w="3009" w:type="dxa"/>
                  <w:tcBorders>
                    <w:tl2br w:val="nil"/>
                    <w:tr2bl w:val="nil"/>
                  </w:tcBorders>
                </w:tcPr>
                <w:p>
                  <w:pPr>
                    <w:pStyle w:val="41"/>
                    <w:snapToGrid w:val="0"/>
                    <w:spacing w:line="360" w:lineRule="auto"/>
                    <w:jc w:val="center"/>
                    <w:textAlignment w:val="baseline"/>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rPr>
                    <w:t>NH</w:t>
                  </w:r>
                  <w:r>
                    <w:rPr>
                      <w:rFonts w:hint="default" w:ascii="Times New Roman" w:hAnsi="Times New Roman" w:cs="Times New Roman"/>
                      <w:color w:val="auto"/>
                      <w:sz w:val="24"/>
                      <w:szCs w:val="24"/>
                      <w:vertAlign w:val="subscript"/>
                    </w:rPr>
                    <w:t>3</w:t>
                  </w:r>
                </w:p>
              </w:tc>
              <w:tc>
                <w:tcPr>
                  <w:tcW w:w="3009" w:type="dxa"/>
                  <w:tcBorders>
                    <w:tl2br w:val="nil"/>
                    <w:tr2bl w:val="nil"/>
                  </w:tcBorders>
                </w:tcPr>
                <w:p>
                  <w:pPr>
                    <w:pStyle w:val="41"/>
                    <w:snapToGrid w:val="0"/>
                    <w:spacing w:line="360" w:lineRule="auto"/>
                    <w:jc w:val="center"/>
                    <w:textAlignment w:val="baseline"/>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rPr>
                    <w:t>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09" w:type="dxa"/>
                  <w:tcBorders>
                    <w:tl2br w:val="nil"/>
                    <w:tr2bl w:val="nil"/>
                  </w:tcBorders>
                </w:tcPr>
                <w:p>
                  <w:pPr>
                    <w:pStyle w:val="41"/>
                    <w:snapToGrid w:val="0"/>
                    <w:spacing w:line="360" w:lineRule="auto"/>
                    <w:jc w:val="center"/>
                    <w:textAlignment w:val="baseline"/>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产生系数（kg/h）</w:t>
                  </w:r>
                </w:p>
              </w:tc>
              <w:tc>
                <w:tcPr>
                  <w:tcW w:w="3009" w:type="dxa"/>
                  <w:tcBorders>
                    <w:tl2br w:val="nil"/>
                    <w:tr2bl w:val="nil"/>
                  </w:tcBorders>
                </w:tcPr>
                <w:p>
                  <w:pPr>
                    <w:pStyle w:val="41"/>
                    <w:snapToGrid w:val="0"/>
                    <w:spacing w:line="360" w:lineRule="auto"/>
                    <w:jc w:val="center"/>
                    <w:textAlignment w:val="baseline"/>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0.052</w:t>
                  </w:r>
                </w:p>
              </w:tc>
              <w:tc>
                <w:tcPr>
                  <w:tcW w:w="3009" w:type="dxa"/>
                  <w:tcBorders>
                    <w:tl2br w:val="nil"/>
                    <w:tr2bl w:val="nil"/>
                  </w:tcBorders>
                </w:tcPr>
                <w:p>
                  <w:pPr>
                    <w:pStyle w:val="41"/>
                    <w:snapToGrid w:val="0"/>
                    <w:spacing w:line="360" w:lineRule="auto"/>
                    <w:jc w:val="center"/>
                    <w:textAlignment w:val="baseline"/>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0.0014</w:t>
                  </w:r>
                </w:p>
              </w:tc>
            </w:tr>
          </w:tbl>
          <w:p>
            <w:pPr>
              <w:pStyle w:val="68"/>
              <w:ind w:firstLine="0" w:firstLineChars="0"/>
              <w:rPr>
                <w:rFonts w:hint="default" w:ascii="Times New Roman" w:hAnsi="Times New Roman" w:cs="Times New Roman"/>
                <w:color w:val="auto"/>
                <w:szCs w:val="24"/>
              </w:rPr>
            </w:pPr>
            <w:r>
              <w:rPr>
                <w:rFonts w:hint="default" w:ascii="Times New Roman" w:hAnsi="Times New Roman" w:cs="Times New Roman"/>
                <w:color w:val="auto"/>
                <w:szCs w:val="24"/>
              </w:rPr>
              <w:t>2.2废水</w:t>
            </w:r>
          </w:p>
          <w:p>
            <w:pPr>
              <w:snapToGrid w:val="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2.2.1废水处理量</w:t>
            </w:r>
          </w:p>
          <w:p>
            <w:pPr>
              <w:snapToGrid w:val="0"/>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本项目劳动定员为2人，员工用水定额按每人每天 50L计，排放系数以8</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%计，生活污水产生量为0.</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/d，生活污水经厂内污水管道送至</w:t>
            </w:r>
            <w:r>
              <w:rPr>
                <w:rFonts w:hint="default" w:ascii="Times New Roman" w:hAnsi="Times New Roman" w:cs="Times New Roman"/>
                <w:color w:val="auto"/>
                <w:sz w:val="24"/>
                <w:szCs w:val="24"/>
                <w:lang w:val="en-US" w:eastAsia="zh-CN"/>
              </w:rPr>
              <w:t>调节池，进入垃圾渗滤液处理</w:t>
            </w:r>
            <w:r>
              <w:rPr>
                <w:rFonts w:hint="default" w:ascii="Times New Roman" w:hAnsi="Times New Roman" w:cs="Times New Roman"/>
                <w:color w:val="auto"/>
                <w:sz w:val="24"/>
                <w:szCs w:val="24"/>
              </w:rPr>
              <w:t>系统</w:t>
            </w:r>
            <w:r>
              <w:rPr>
                <w:rFonts w:hint="default" w:ascii="Times New Roman" w:hAnsi="Times New Roman" w:cs="Times New Roman"/>
                <w:color w:val="auto"/>
                <w:sz w:val="24"/>
                <w:szCs w:val="24"/>
                <w:lang w:eastAsia="zh-CN"/>
              </w:rPr>
              <w:t>。</w:t>
            </w:r>
          </w:p>
          <w:p>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本次扩建后，垃圾渗滤液处能力200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排放量150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cs="Times New Roman"/>
                <w:color w:val="auto"/>
                <w:sz w:val="24"/>
                <w:szCs w:val="24"/>
                <w:lang w:eastAsia="zh-CN"/>
              </w:rPr>
              <w:t>，</w:t>
            </w:r>
            <w:r>
              <w:rPr>
                <w:rFonts w:hint="eastAsia" w:cs="Times New Roman"/>
                <w:color w:val="auto"/>
                <w:sz w:val="24"/>
                <w:szCs w:val="24"/>
                <w:lang w:val="en-US" w:eastAsia="zh-CN"/>
              </w:rPr>
              <w:t>产生的浓缩液50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cs="Times New Roman"/>
                <w:color w:val="auto"/>
                <w:sz w:val="24"/>
                <w:szCs w:val="24"/>
                <w:lang w:val="en-US" w:eastAsia="zh-CN"/>
              </w:rPr>
              <w:t>由回灌系统回灌。</w:t>
            </w:r>
            <w:r>
              <w:rPr>
                <w:rFonts w:hint="default" w:ascii="Times New Roman" w:hAnsi="Times New Roman" w:cs="Times New Roman"/>
                <w:color w:val="auto"/>
                <w:sz w:val="24"/>
                <w:szCs w:val="24"/>
                <w:lang w:val="en-US" w:eastAsia="zh-CN"/>
              </w:rPr>
              <w:t>垃圾填埋场产生的渗滤液经调节池调节后，进入渗滤液处理系统处理，渗滤液</w:t>
            </w:r>
            <w:r>
              <w:rPr>
                <w:rFonts w:hint="default" w:ascii="Times New Roman" w:hAnsi="Times New Roman" w:cs="Times New Roman"/>
                <w:color w:val="auto"/>
                <w:sz w:val="24"/>
                <w:szCs w:val="24"/>
              </w:rPr>
              <w:t>污染物主要为COD、BOD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、SS、NH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-N、TN、TP</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渗滤液原水浓度，污染物浓度</w:t>
            </w:r>
            <w:r>
              <w:rPr>
                <w:rFonts w:hint="default" w:ascii="Times New Roman" w:hAnsi="Times New Roman" w:cs="Times New Roman"/>
                <w:color w:val="auto"/>
                <w:sz w:val="24"/>
                <w:szCs w:val="24"/>
              </w:rPr>
              <w:t>出水水质执行《</w:t>
            </w:r>
            <w:r>
              <w:rPr>
                <w:rFonts w:hint="default" w:ascii="Times New Roman" w:hAnsi="Times New Roman" w:cs="Times New Roman"/>
                <w:color w:val="auto"/>
                <w:sz w:val="24"/>
                <w:szCs w:val="24"/>
                <w:lang w:val="en-US" w:eastAsia="zh-CN"/>
              </w:rPr>
              <w:t>生活垃圾填埋污染控制标准</w:t>
            </w:r>
            <w:r>
              <w:rPr>
                <w:rFonts w:hint="default" w:ascii="Times New Roman" w:hAnsi="Times New Roman" w:cs="Times New Roman"/>
                <w:color w:val="auto"/>
                <w:sz w:val="24"/>
                <w:szCs w:val="24"/>
              </w:rPr>
              <w:t>》（GB</w:t>
            </w:r>
            <w:r>
              <w:rPr>
                <w:rFonts w:hint="default" w:ascii="Times New Roman" w:hAnsi="Times New Roman" w:cs="Times New Roman"/>
                <w:color w:val="auto"/>
                <w:sz w:val="24"/>
                <w:szCs w:val="24"/>
                <w:lang w:val="en-US" w:eastAsia="zh-CN"/>
              </w:rPr>
              <w:t>16889-2008</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中表2</w:t>
            </w:r>
            <w:r>
              <w:rPr>
                <w:rFonts w:hint="default" w:ascii="Times New Roman" w:hAnsi="Times New Roman" w:cs="Times New Roman"/>
                <w:color w:val="auto"/>
                <w:sz w:val="24"/>
                <w:szCs w:val="24"/>
              </w:rPr>
              <w:t>标准，处理达标后</w:t>
            </w:r>
            <w:r>
              <w:rPr>
                <w:rFonts w:hint="default" w:ascii="Times New Roman" w:hAnsi="Times New Roman" w:cs="Times New Roman"/>
                <w:color w:val="auto"/>
                <w:sz w:val="24"/>
                <w:szCs w:val="24"/>
                <w:lang w:val="en-US" w:eastAsia="zh-CN"/>
              </w:rPr>
              <w:t>废水拉运至同江市洁源污水处理厂</w:t>
            </w:r>
            <w:r>
              <w:rPr>
                <w:rFonts w:hint="default" w:ascii="Times New Roman" w:hAnsi="Times New Roman" w:cs="Times New Roman"/>
                <w:color w:val="auto"/>
                <w:sz w:val="24"/>
                <w:szCs w:val="24"/>
              </w:rPr>
              <w:t>。各处理构筑物进出水指标及预期除率表</w:t>
            </w:r>
            <w:r>
              <w:rPr>
                <w:rFonts w:hint="default" w:ascii="Times New Roman" w:hAnsi="Times New Roman" w:cs="Times New Roman"/>
                <w:color w:val="auto"/>
                <w:sz w:val="24"/>
                <w:szCs w:val="24"/>
                <w:lang w:val="en-US" w:eastAsia="zh-CN"/>
              </w:rPr>
              <w:t>见表5-8。</w:t>
            </w:r>
          </w:p>
          <w:p>
            <w:pPr>
              <w:adjustRightInd/>
              <w:spacing w:before="156" w:beforeLines="50" w:line="240" w:lineRule="auto"/>
              <w:jc w:val="center"/>
              <w:textAlignment w:val="auto"/>
              <w:rPr>
                <w:rFonts w:hint="default" w:ascii="Times New Roman" w:hAnsi="Times New Roman" w:cs="Times New Roman"/>
                <w:b/>
                <w:bCs w:val="0"/>
                <w:color w:val="auto"/>
                <w:sz w:val="24"/>
                <w:szCs w:val="24"/>
              </w:rPr>
            </w:pPr>
            <w:r>
              <w:rPr>
                <w:rFonts w:hint="default" w:ascii="Times New Roman" w:hAnsi="Times New Roman" w:cs="Times New Roman"/>
                <w:b/>
                <w:bCs w:val="0"/>
                <w:color w:val="auto"/>
                <w:sz w:val="24"/>
                <w:szCs w:val="24"/>
              </w:rPr>
              <w:t>表5-</w:t>
            </w:r>
            <w:r>
              <w:rPr>
                <w:rFonts w:hint="default" w:ascii="Times New Roman" w:hAnsi="Times New Roman" w:cs="Times New Roman"/>
                <w:b/>
                <w:bCs w:val="0"/>
                <w:color w:val="auto"/>
                <w:sz w:val="24"/>
                <w:szCs w:val="24"/>
                <w:lang w:val="en-US" w:eastAsia="zh-CN"/>
              </w:rPr>
              <w:t>7</w:t>
            </w:r>
            <w:r>
              <w:rPr>
                <w:rFonts w:hint="default" w:ascii="Times New Roman" w:hAnsi="Times New Roman" w:cs="Times New Roman"/>
                <w:b/>
                <w:bCs w:val="0"/>
                <w:color w:val="auto"/>
                <w:sz w:val="24"/>
                <w:szCs w:val="24"/>
              </w:rPr>
              <w:t>进出水水质及污染物产</w:t>
            </w:r>
            <w:r>
              <w:rPr>
                <w:rFonts w:hint="default" w:ascii="Times New Roman" w:hAnsi="Times New Roman" w:cs="Times New Roman"/>
                <w:b/>
                <w:bCs w:val="0"/>
                <w:color w:val="auto"/>
                <w:sz w:val="24"/>
                <w:szCs w:val="24"/>
                <w:lang w:val="en-US" w:eastAsia="zh-CN"/>
              </w:rPr>
              <w:t>生</w:t>
            </w:r>
            <w:r>
              <w:rPr>
                <w:rFonts w:hint="default" w:ascii="Times New Roman" w:hAnsi="Times New Roman" w:cs="Times New Roman"/>
                <w:b/>
                <w:bCs w:val="0"/>
                <w:color w:val="auto"/>
                <w:sz w:val="24"/>
                <w:szCs w:val="24"/>
              </w:rPr>
              <w:t>情况</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37"/>
              <w:gridCol w:w="846"/>
              <w:gridCol w:w="820"/>
              <w:gridCol w:w="1259"/>
              <w:gridCol w:w="811"/>
              <w:gridCol w:w="1383"/>
              <w:gridCol w:w="1383"/>
              <w:gridCol w:w="13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1" w:hRule="atLeast"/>
                <w:jc w:val="center"/>
              </w:trPr>
              <w:tc>
                <w:tcPr>
                  <w:tcW w:w="633" w:type="pct"/>
                  <w:vAlign w:val="center"/>
                </w:tcPr>
                <w:p>
                  <w:pPr>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排放量</w:t>
                  </w:r>
                </w:p>
              </w:tc>
              <w:tc>
                <w:tcPr>
                  <w:tcW w:w="468" w:type="pct"/>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457" w:type="pct"/>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进水</w:t>
                  </w:r>
                </w:p>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浓度(mg/L)</w:t>
                  </w:r>
                </w:p>
              </w:tc>
              <w:tc>
                <w:tcPr>
                  <w:tcW w:w="700" w:type="pct"/>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进水污染物总量（t/a）</w:t>
                  </w:r>
                </w:p>
              </w:tc>
              <w:tc>
                <w:tcPr>
                  <w:tcW w:w="432" w:type="pct"/>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出水</w:t>
                  </w:r>
                </w:p>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浓度(mg/L)</w:t>
                  </w:r>
                </w:p>
              </w:tc>
              <w:tc>
                <w:tcPr>
                  <w:tcW w:w="769" w:type="pct"/>
                  <w:vAlign w:val="center"/>
                </w:tcPr>
                <w:p>
                  <w:pPr>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出水排放标准</w:t>
                  </w:r>
                  <w:r>
                    <w:rPr>
                      <w:rFonts w:hint="default" w:ascii="Times New Roman" w:hAnsi="Times New Roman" w:cs="Times New Roman"/>
                      <w:color w:val="auto"/>
                      <w:szCs w:val="21"/>
                    </w:rPr>
                    <w:t>(mg/L)</w:t>
                  </w:r>
                </w:p>
              </w:tc>
              <w:tc>
                <w:tcPr>
                  <w:tcW w:w="769" w:type="pct"/>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污染物</w:t>
                  </w:r>
                  <w:r>
                    <w:rPr>
                      <w:rFonts w:hint="default" w:ascii="Times New Roman" w:hAnsi="Times New Roman" w:cs="Times New Roman"/>
                      <w:color w:val="auto"/>
                      <w:szCs w:val="21"/>
                      <w:lang w:val="en-US" w:eastAsia="zh-CN"/>
                    </w:rPr>
                    <w:t>实际排放量</w:t>
                  </w:r>
                  <w:r>
                    <w:rPr>
                      <w:rFonts w:hint="default" w:ascii="Times New Roman" w:hAnsi="Times New Roman" w:cs="Times New Roman"/>
                      <w:color w:val="auto"/>
                      <w:szCs w:val="21"/>
                    </w:rPr>
                    <w:t>t/a）</w:t>
                  </w:r>
                </w:p>
              </w:tc>
              <w:tc>
                <w:tcPr>
                  <w:tcW w:w="769" w:type="pct"/>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污染物</w:t>
                  </w:r>
                  <w:r>
                    <w:rPr>
                      <w:rFonts w:hint="default" w:ascii="Times New Roman" w:hAnsi="Times New Roman" w:cs="Times New Roman"/>
                      <w:color w:val="auto"/>
                      <w:szCs w:val="21"/>
                      <w:lang w:val="en-US" w:eastAsia="zh-CN"/>
                    </w:rPr>
                    <w:t>许可排放</w:t>
                  </w:r>
                  <w:r>
                    <w:rPr>
                      <w:rFonts w:hint="default" w:ascii="Times New Roman" w:hAnsi="Times New Roman" w:cs="Times New Roman"/>
                      <w:color w:val="auto"/>
                      <w:szCs w:val="21"/>
                    </w:rPr>
                    <w:t>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3" w:type="pct"/>
                  <w:vMerge w:val="restart"/>
                  <w:vAlign w:val="center"/>
                </w:tcPr>
                <w:p>
                  <w:pPr>
                    <w:snapToGrid w:val="0"/>
                    <w:spacing w:line="240" w:lineRule="auto"/>
                    <w:jc w:val="center"/>
                    <w:textAlignment w:val="auto"/>
                    <w:rPr>
                      <w:rFonts w:hint="default" w:ascii="Times New Roman" w:hAnsi="Times New Roman" w:cs="Times New Roman"/>
                      <w:color w:val="auto"/>
                      <w:szCs w:val="21"/>
                    </w:rPr>
                  </w:pPr>
                  <w:r>
                    <w:rPr>
                      <w:rFonts w:hint="eastAsia" w:cs="Times New Roman"/>
                      <w:color w:val="auto"/>
                      <w:szCs w:val="21"/>
                      <w:lang w:val="en-US" w:eastAsia="zh-CN"/>
                    </w:rPr>
                    <w:t>150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/d</w:t>
                  </w:r>
                </w:p>
              </w:tc>
              <w:tc>
                <w:tcPr>
                  <w:tcW w:w="468" w:type="pct"/>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CODcr</w:t>
                  </w:r>
                </w:p>
              </w:tc>
              <w:tc>
                <w:tcPr>
                  <w:tcW w:w="818"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20000</w:t>
                  </w:r>
                </w:p>
              </w:tc>
              <w:tc>
                <w:tcPr>
                  <w:tcW w:w="1189"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1095.00 </w:t>
                  </w:r>
                </w:p>
              </w:tc>
              <w:tc>
                <w:tcPr>
                  <w:tcW w:w="811"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47.83</w:t>
                  </w:r>
                </w:p>
              </w:tc>
              <w:tc>
                <w:tcPr>
                  <w:tcW w:w="1381"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100</w:t>
                  </w:r>
                </w:p>
              </w:tc>
              <w:tc>
                <w:tcPr>
                  <w:tcW w:w="1351"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2.62 </w:t>
                  </w:r>
                </w:p>
              </w:tc>
              <w:tc>
                <w:tcPr>
                  <w:tcW w:w="1352"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5.48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0" w:hRule="atLeast"/>
                <w:jc w:val="center"/>
              </w:trPr>
              <w:tc>
                <w:tcPr>
                  <w:tcW w:w="633" w:type="pct"/>
                  <w:vMerge w:val="continue"/>
                  <w:vAlign w:val="center"/>
                </w:tcPr>
                <w:p>
                  <w:pPr>
                    <w:widowControl/>
                    <w:snapToGrid w:val="0"/>
                    <w:spacing w:line="240" w:lineRule="auto"/>
                    <w:jc w:val="center"/>
                    <w:textAlignment w:val="auto"/>
                    <w:rPr>
                      <w:rFonts w:hint="default" w:ascii="Times New Roman" w:hAnsi="Times New Roman" w:cs="Times New Roman"/>
                      <w:color w:val="auto"/>
                      <w:szCs w:val="21"/>
                    </w:rPr>
                  </w:pPr>
                </w:p>
              </w:tc>
              <w:tc>
                <w:tcPr>
                  <w:tcW w:w="468" w:type="pct"/>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BOD5</w:t>
                  </w:r>
                </w:p>
              </w:tc>
              <w:tc>
                <w:tcPr>
                  <w:tcW w:w="818"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12000</w:t>
                  </w:r>
                </w:p>
              </w:tc>
              <w:tc>
                <w:tcPr>
                  <w:tcW w:w="1189"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657.00 </w:t>
                  </w:r>
                </w:p>
              </w:tc>
              <w:tc>
                <w:tcPr>
                  <w:tcW w:w="811"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14.35</w:t>
                  </w:r>
                </w:p>
              </w:tc>
              <w:tc>
                <w:tcPr>
                  <w:tcW w:w="1381"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30</w:t>
                  </w:r>
                </w:p>
              </w:tc>
              <w:tc>
                <w:tcPr>
                  <w:tcW w:w="1351"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0.79 </w:t>
                  </w:r>
                </w:p>
              </w:tc>
              <w:tc>
                <w:tcPr>
                  <w:tcW w:w="1352"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1.64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3" w:type="pct"/>
                  <w:vMerge w:val="continue"/>
                  <w:vAlign w:val="center"/>
                </w:tcPr>
                <w:p>
                  <w:pPr>
                    <w:widowControl/>
                    <w:snapToGrid w:val="0"/>
                    <w:spacing w:line="240" w:lineRule="auto"/>
                    <w:jc w:val="center"/>
                    <w:textAlignment w:val="auto"/>
                    <w:rPr>
                      <w:rFonts w:hint="default" w:ascii="Times New Roman" w:hAnsi="Times New Roman" w:cs="Times New Roman"/>
                      <w:color w:val="auto"/>
                      <w:szCs w:val="21"/>
                    </w:rPr>
                  </w:pPr>
                </w:p>
              </w:tc>
              <w:tc>
                <w:tcPr>
                  <w:tcW w:w="468" w:type="pct"/>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NH3-N</w:t>
                  </w:r>
                </w:p>
              </w:tc>
              <w:tc>
                <w:tcPr>
                  <w:tcW w:w="818"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1500</w:t>
                  </w:r>
                </w:p>
              </w:tc>
              <w:tc>
                <w:tcPr>
                  <w:tcW w:w="1189"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82.13 </w:t>
                  </w:r>
                </w:p>
              </w:tc>
              <w:tc>
                <w:tcPr>
                  <w:tcW w:w="811"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4.96</w:t>
                  </w:r>
                </w:p>
              </w:tc>
              <w:tc>
                <w:tcPr>
                  <w:tcW w:w="1381"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25</w:t>
                  </w:r>
                </w:p>
              </w:tc>
              <w:tc>
                <w:tcPr>
                  <w:tcW w:w="1351"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0.27 </w:t>
                  </w:r>
                </w:p>
              </w:tc>
              <w:tc>
                <w:tcPr>
                  <w:tcW w:w="1352"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1.37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3" w:type="pct"/>
                  <w:vMerge w:val="continue"/>
                  <w:vAlign w:val="center"/>
                </w:tcPr>
                <w:p>
                  <w:pPr>
                    <w:widowControl/>
                    <w:snapToGrid w:val="0"/>
                    <w:spacing w:line="240" w:lineRule="auto"/>
                    <w:jc w:val="center"/>
                    <w:textAlignment w:val="auto"/>
                    <w:rPr>
                      <w:rFonts w:hint="default" w:ascii="Times New Roman" w:hAnsi="Times New Roman" w:cs="Times New Roman"/>
                      <w:color w:val="auto"/>
                      <w:szCs w:val="21"/>
                    </w:rPr>
                  </w:pPr>
                </w:p>
              </w:tc>
              <w:tc>
                <w:tcPr>
                  <w:tcW w:w="468" w:type="pct"/>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818"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500</w:t>
                  </w:r>
                </w:p>
              </w:tc>
              <w:tc>
                <w:tcPr>
                  <w:tcW w:w="1189"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27.38 </w:t>
                  </w:r>
                </w:p>
              </w:tc>
              <w:tc>
                <w:tcPr>
                  <w:tcW w:w="811"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1381"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30</w:t>
                  </w:r>
                </w:p>
              </w:tc>
              <w:tc>
                <w:tcPr>
                  <w:tcW w:w="1351"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0.00 </w:t>
                  </w:r>
                </w:p>
              </w:tc>
              <w:tc>
                <w:tcPr>
                  <w:tcW w:w="1352"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1.64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3" w:type="pct"/>
                  <w:vMerge w:val="continue"/>
                  <w:vAlign w:val="center"/>
                </w:tcPr>
                <w:p>
                  <w:pPr>
                    <w:widowControl/>
                    <w:snapToGrid w:val="0"/>
                    <w:spacing w:line="240" w:lineRule="auto"/>
                    <w:jc w:val="center"/>
                    <w:textAlignment w:val="auto"/>
                    <w:rPr>
                      <w:rFonts w:hint="default" w:ascii="Times New Roman" w:hAnsi="Times New Roman" w:cs="Times New Roman"/>
                      <w:color w:val="auto"/>
                      <w:szCs w:val="21"/>
                    </w:rPr>
                  </w:pPr>
                </w:p>
              </w:tc>
              <w:tc>
                <w:tcPr>
                  <w:tcW w:w="468" w:type="pct"/>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TN</w:t>
                  </w:r>
                </w:p>
              </w:tc>
              <w:tc>
                <w:tcPr>
                  <w:tcW w:w="818"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2000</w:t>
                  </w:r>
                </w:p>
              </w:tc>
              <w:tc>
                <w:tcPr>
                  <w:tcW w:w="1189"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109.50 </w:t>
                  </w:r>
                </w:p>
              </w:tc>
              <w:tc>
                <w:tcPr>
                  <w:tcW w:w="811"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7.44</w:t>
                  </w:r>
                </w:p>
              </w:tc>
              <w:tc>
                <w:tcPr>
                  <w:tcW w:w="1381"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40</w:t>
                  </w:r>
                </w:p>
              </w:tc>
              <w:tc>
                <w:tcPr>
                  <w:tcW w:w="1351"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0.41 </w:t>
                  </w:r>
                </w:p>
              </w:tc>
              <w:tc>
                <w:tcPr>
                  <w:tcW w:w="1352"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2.19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3" w:type="pct"/>
                  <w:vMerge w:val="continue"/>
                  <w:vAlign w:val="center"/>
                </w:tcPr>
                <w:p>
                  <w:pPr>
                    <w:widowControl/>
                    <w:snapToGrid w:val="0"/>
                    <w:spacing w:line="240" w:lineRule="auto"/>
                    <w:jc w:val="center"/>
                    <w:textAlignment w:val="auto"/>
                    <w:rPr>
                      <w:rFonts w:hint="default" w:ascii="Times New Roman" w:hAnsi="Times New Roman" w:cs="Times New Roman"/>
                      <w:color w:val="auto"/>
                      <w:szCs w:val="21"/>
                    </w:rPr>
                  </w:pPr>
                </w:p>
              </w:tc>
              <w:tc>
                <w:tcPr>
                  <w:tcW w:w="468" w:type="pct"/>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TP</w:t>
                  </w:r>
                </w:p>
              </w:tc>
              <w:tc>
                <w:tcPr>
                  <w:tcW w:w="818"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20</w:t>
                  </w:r>
                </w:p>
              </w:tc>
              <w:tc>
                <w:tcPr>
                  <w:tcW w:w="1189"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1.10 </w:t>
                  </w:r>
                </w:p>
              </w:tc>
              <w:tc>
                <w:tcPr>
                  <w:tcW w:w="811"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w:t>
                  </w:r>
                </w:p>
              </w:tc>
              <w:tc>
                <w:tcPr>
                  <w:tcW w:w="1381"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w:t>
                  </w:r>
                </w:p>
              </w:tc>
              <w:tc>
                <w:tcPr>
                  <w:tcW w:w="1351"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0.11 </w:t>
                  </w:r>
                </w:p>
              </w:tc>
              <w:tc>
                <w:tcPr>
                  <w:tcW w:w="1352" w:type="dxa"/>
                  <w:vAlign w:val="center"/>
                </w:tcPr>
                <w:p>
                  <w:pPr>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0.16 </w:t>
                  </w:r>
                </w:p>
              </w:tc>
            </w:tr>
          </w:tbl>
          <w:p>
            <w:pPr>
              <w:pStyle w:val="68"/>
              <w:ind w:firstLine="0" w:firstLineChars="0"/>
              <w:rPr>
                <w:rFonts w:hint="default" w:ascii="Times New Roman" w:hAnsi="Times New Roman" w:cs="Times New Roman"/>
                <w:color w:val="auto"/>
                <w:szCs w:val="24"/>
              </w:rPr>
            </w:pPr>
            <w:r>
              <w:rPr>
                <w:rFonts w:hint="default" w:ascii="Times New Roman" w:hAnsi="Times New Roman" w:cs="Times New Roman"/>
                <w:color w:val="auto"/>
                <w:szCs w:val="24"/>
              </w:rPr>
              <w:t>2.3噪声</w:t>
            </w:r>
          </w:p>
          <w:p>
            <w:pPr>
              <w:pStyle w:val="41"/>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bCs/>
                <w:color w:val="auto"/>
                <w:lang w:val="en-US" w:eastAsia="zh-CN"/>
              </w:rPr>
              <w:t>项目建成后</w:t>
            </w:r>
            <w:r>
              <w:rPr>
                <w:rFonts w:hint="default" w:ascii="Times New Roman" w:hAnsi="Times New Roman" w:cs="Times New Roman"/>
                <w:bCs/>
                <w:color w:val="auto"/>
              </w:rPr>
              <w:t>，运行时的主要噪声源为风机、污水泵、等其它设备见表5-</w:t>
            </w:r>
            <w:r>
              <w:rPr>
                <w:rFonts w:hint="default" w:ascii="Times New Roman" w:hAnsi="Times New Roman" w:cs="Times New Roman"/>
                <w:bCs/>
                <w:color w:val="auto"/>
                <w:lang w:val="en-US" w:eastAsia="zh-CN"/>
              </w:rPr>
              <w:t>9</w:t>
            </w:r>
            <w:r>
              <w:rPr>
                <w:rFonts w:hint="default" w:ascii="Times New Roman" w:hAnsi="Times New Roman" w:cs="Times New Roman"/>
                <w:bCs/>
                <w:color w:val="auto"/>
              </w:rPr>
              <w:t>。</w:t>
            </w:r>
          </w:p>
          <w:p>
            <w:pPr>
              <w:pStyle w:val="68"/>
              <w:ind w:firstLine="0" w:firstLineChars="0"/>
              <w:rPr>
                <w:rFonts w:hint="default" w:ascii="Times New Roman" w:hAnsi="Times New Roman" w:cs="Times New Roman"/>
                <w:color w:val="auto"/>
                <w:szCs w:val="24"/>
              </w:rPr>
            </w:pPr>
            <w:r>
              <w:rPr>
                <w:rFonts w:hint="default" w:ascii="Times New Roman" w:hAnsi="Times New Roman" w:cs="Times New Roman"/>
                <w:color w:val="auto"/>
                <w:szCs w:val="24"/>
              </w:rPr>
              <w:t>2.4固体废物</w:t>
            </w:r>
          </w:p>
          <w:p>
            <w:pPr>
              <w:pStyle w:val="41"/>
              <w:spacing w:line="360" w:lineRule="auto"/>
              <w:ind w:firstLine="480" w:firstLineChars="200"/>
              <w:rPr>
                <w:rFonts w:hint="default" w:ascii="Times New Roman" w:hAnsi="Times New Roman" w:cs="Times New Roman"/>
                <w:bCs/>
                <w:color w:val="auto"/>
                <w:lang w:val="en-US" w:eastAsia="zh-CN"/>
              </w:rPr>
            </w:pPr>
            <w:r>
              <w:rPr>
                <w:rFonts w:hint="default" w:ascii="Times New Roman" w:hAnsi="Times New Roman" w:cs="Times New Roman"/>
                <w:bCs/>
                <w:color w:val="auto"/>
              </w:rPr>
              <w:t>本项目产生的固体废物主要包括</w:t>
            </w:r>
            <w:r>
              <w:rPr>
                <w:rFonts w:hint="default" w:ascii="Times New Roman" w:hAnsi="Times New Roman" w:cs="Times New Roman"/>
                <w:bCs/>
                <w:color w:val="auto"/>
                <w:lang w:val="en-US" w:eastAsia="zh-CN"/>
              </w:rPr>
              <w:t>生活垃圾、及垃圾渗滤液处理车间产的的污泥</w:t>
            </w:r>
            <w:r>
              <w:rPr>
                <w:rFonts w:hint="default" w:ascii="Times New Roman" w:hAnsi="Times New Roman" w:cs="Times New Roman"/>
                <w:bCs/>
                <w:color w:val="auto"/>
              </w:rPr>
              <w:t>。</w:t>
            </w:r>
            <w:r>
              <w:rPr>
                <w:rFonts w:hint="default" w:ascii="Times New Roman" w:hAnsi="Times New Roman" w:cs="Times New Roman"/>
                <w:bCs/>
                <w:color w:val="auto"/>
                <w:lang w:val="en-US" w:eastAsia="zh-CN"/>
              </w:rPr>
              <w:t>根据现有渗漏液车间运行实际情况（采用DTRO工艺），运营过程中几乎不产生污泥，固体物质均在浓缩液中，回灌至垃圾填埋场。本次扩建工程同样为DTRO工艺，本次保守按照</w:t>
            </w:r>
            <w:r>
              <w:rPr>
                <w:rFonts w:hint="default" w:ascii="Times New Roman" w:hAnsi="Times New Roman" w:cs="Times New Roman"/>
                <w:color w:val="auto"/>
                <w:sz w:val="24"/>
              </w:rPr>
              <w:t>《排污许可证申请与核发技术规范 水处理（试行）》（GB978-2018）</w:t>
            </w:r>
            <w:r>
              <w:rPr>
                <w:rFonts w:hint="default" w:ascii="Times New Roman" w:hAnsi="Times New Roman" w:cs="Times New Roman"/>
                <w:bCs/>
                <w:color w:val="auto"/>
                <w:lang w:val="en-US" w:eastAsia="zh-CN"/>
              </w:rPr>
              <w:t>计算污泥产生量。</w:t>
            </w:r>
          </w:p>
          <w:p>
            <w:pPr>
              <w:pStyle w:val="41"/>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bCs/>
                <w:color w:val="auto"/>
              </w:rPr>
              <w:t>生活垃圾统一处理，由环卫部门定期清运。</w:t>
            </w:r>
          </w:p>
          <w:p>
            <w:pPr>
              <w:pStyle w:val="41"/>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bCs/>
                <w:color w:val="auto"/>
              </w:rPr>
              <w:t>（</w:t>
            </w:r>
            <w:r>
              <w:rPr>
                <w:rFonts w:hint="default" w:ascii="Times New Roman" w:hAnsi="Times New Roman" w:cs="Times New Roman"/>
                <w:bCs/>
                <w:color w:val="auto"/>
                <w:lang w:val="en-US" w:eastAsia="zh-CN"/>
              </w:rPr>
              <w:t>1</w:t>
            </w:r>
            <w:r>
              <w:rPr>
                <w:rFonts w:hint="default" w:ascii="Times New Roman" w:hAnsi="Times New Roman" w:cs="Times New Roman"/>
                <w:bCs/>
                <w:color w:val="auto"/>
              </w:rPr>
              <w:t>）污泥</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本项目运营过程中会产生污泥，污泥产生量根据《排污许可证申请与核发技术规范 水处理（试行）》（GB978-2018）中的公式进行计算，具体如下：</w:t>
            </w:r>
          </w:p>
          <w:p>
            <w:pPr>
              <w:spacing w:line="360" w:lineRule="auto"/>
              <w:ind w:firstLine="420" w:firstLineChars="200"/>
              <w:jc w:val="center"/>
              <w:rPr>
                <w:rFonts w:hint="default"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2314575" cy="455295"/>
                  <wp:effectExtent l="0" t="0" r="9525" b="190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3"/>
                          <a:stretch>
                            <a:fillRect/>
                          </a:stretch>
                        </pic:blipFill>
                        <pic:spPr>
                          <a:xfrm>
                            <a:off x="0" y="0"/>
                            <a:ext cx="2314575" cy="455295"/>
                          </a:xfrm>
                          <a:prstGeom prst="rect">
                            <a:avLst/>
                          </a:prstGeom>
                          <a:noFill/>
                          <a:ln>
                            <a:noFill/>
                          </a:ln>
                        </pic:spPr>
                      </pic:pic>
                    </a:graphicData>
                  </a:graphic>
                </wp:inline>
              </w:drawing>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E</w:t>
            </w:r>
            <w:r>
              <w:rPr>
                <w:rFonts w:hint="default" w:ascii="Times New Roman" w:hAnsi="Times New Roman" w:cs="Times New Roman"/>
                <w:color w:val="auto"/>
                <w:sz w:val="24"/>
                <w:vertAlign w:val="subscript"/>
              </w:rPr>
              <w:t>产生量</w:t>
            </w:r>
            <w:r>
              <w:rPr>
                <w:rFonts w:hint="default" w:ascii="Times New Roman" w:hAnsi="Times New Roman" w:cs="Times New Roman"/>
                <w:color w:val="auto"/>
                <w:sz w:val="24"/>
              </w:rPr>
              <w:t>-污水处理过程中产生的污泥量，t；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Q-核算时段内排污单位废水排放量，</w:t>
            </w:r>
            <w:r>
              <w:rPr>
                <w:rFonts w:hint="eastAsia" w:cs="Times New Roman"/>
                <w:color w:val="auto"/>
                <w:sz w:val="24"/>
                <w:lang w:val="en-US" w:eastAsia="zh-CN"/>
              </w:rPr>
              <w:t>54750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w:t>
            </w:r>
            <w:r>
              <w:rPr>
                <w:rFonts w:hint="default" w:ascii="Times New Roman" w:hAnsi="Times New Roman" w:cs="Times New Roman"/>
                <w:color w:val="auto"/>
                <w:sz w:val="24"/>
                <w:vertAlign w:val="subscript"/>
              </w:rPr>
              <w:t>深</w:t>
            </w:r>
            <w:r>
              <w:rPr>
                <w:rFonts w:hint="default" w:ascii="Times New Roman" w:hAnsi="Times New Roman" w:cs="Times New Roman"/>
                <w:color w:val="auto"/>
                <w:sz w:val="24"/>
              </w:rPr>
              <w:t>-有深度处理工艺（添加化学药剂）时按2计，无深度处理工艺时按1计，量纲一。</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根据上式计算，本项目污泥产生量为</w:t>
            </w:r>
            <w:r>
              <w:rPr>
                <w:rFonts w:hint="eastAsia" w:cs="Times New Roman"/>
                <w:color w:val="auto"/>
                <w:sz w:val="24"/>
                <w:lang w:val="en-US" w:eastAsia="zh-CN"/>
              </w:rPr>
              <w:t>18.62</w:t>
            </w:r>
            <w:r>
              <w:rPr>
                <w:rFonts w:hint="default" w:ascii="Times New Roman" w:hAnsi="Times New Roman" w:cs="Times New Roman"/>
                <w:color w:val="auto"/>
                <w:sz w:val="24"/>
              </w:rPr>
              <w:t>t/a，污泥经过浓缩处理后进入现有生活垃圾填埋场卫生填埋。</w:t>
            </w:r>
          </w:p>
          <w:p>
            <w:pPr>
              <w:pStyle w:val="41"/>
              <w:spacing w:line="360" w:lineRule="auto"/>
              <w:ind w:firstLine="480" w:firstLineChars="200"/>
              <w:rPr>
                <w:rFonts w:hint="default" w:ascii="Times New Roman" w:hAnsi="Times New Roman" w:eastAsia="宋体" w:cs="Times New Roman"/>
                <w:color w:val="auto"/>
                <w:sz w:val="24"/>
                <w:szCs w:val="22"/>
                <w:lang w:val="en-US" w:eastAsia="zh-CN" w:bidi="ar-SA"/>
              </w:rPr>
            </w:pPr>
            <w:r>
              <w:rPr>
                <w:rFonts w:hint="default" w:ascii="Times New Roman" w:hAnsi="Times New Roman" w:eastAsia="宋体" w:cs="Times New Roman"/>
                <w:color w:val="auto"/>
                <w:sz w:val="24"/>
                <w:szCs w:val="22"/>
                <w:lang w:val="en-US" w:eastAsia="zh-CN" w:bidi="ar-SA"/>
              </w:rPr>
              <w:t>（2）生活垃圾</w:t>
            </w:r>
          </w:p>
          <w:p>
            <w:pPr>
              <w:spacing w:line="360" w:lineRule="auto"/>
              <w:ind w:firstLine="480" w:firstLineChars="200"/>
              <w:rPr>
                <w:rFonts w:hint="default" w:ascii="Times New Roman" w:hAnsi="Times New Roman" w:eastAsia="宋体" w:cs="Times New Roman"/>
                <w:color w:val="auto"/>
                <w:sz w:val="24"/>
                <w:szCs w:val="22"/>
                <w:lang w:val="en-US" w:eastAsia="zh-CN" w:bidi="ar-SA"/>
              </w:rPr>
            </w:pPr>
            <w:r>
              <w:rPr>
                <w:rFonts w:hint="default" w:ascii="Times New Roman" w:hAnsi="Times New Roman" w:eastAsia="宋体" w:cs="Times New Roman"/>
                <w:color w:val="auto"/>
                <w:sz w:val="24"/>
                <w:szCs w:val="22"/>
                <w:lang w:val="en-US" w:eastAsia="zh-CN" w:bidi="ar-SA"/>
              </w:rPr>
              <w:t>项目劳动定员2人，人均日产生活垃圾量按0.5kg/d计，则工作人员每天产生的生活垃圾量为1kg/d（0.365t/a）。生活垃圾</w:t>
            </w:r>
            <w:r>
              <w:rPr>
                <w:rFonts w:hint="default" w:ascii="Times New Roman" w:hAnsi="Times New Roman" w:cs="Times New Roman"/>
                <w:color w:val="auto"/>
                <w:sz w:val="24"/>
                <w:szCs w:val="22"/>
                <w:lang w:val="en-US" w:eastAsia="zh-CN" w:bidi="ar-SA"/>
              </w:rPr>
              <w:t>运至垃圾填埋场卫生填埋</w:t>
            </w:r>
            <w:r>
              <w:rPr>
                <w:rFonts w:hint="default" w:ascii="Times New Roman" w:hAnsi="Times New Roman" w:eastAsia="宋体" w:cs="Times New Roman"/>
                <w:color w:val="auto"/>
                <w:sz w:val="24"/>
                <w:szCs w:val="22"/>
                <w:lang w:val="en-US" w:eastAsia="zh-CN" w:bidi="ar-SA"/>
              </w:rPr>
              <w:t>。</w:t>
            </w:r>
          </w:p>
          <w:p>
            <w:pPr>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lang w:val="en-US" w:eastAsia="zh-CN"/>
              </w:rPr>
              <w:t>3</w:t>
            </w: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rPr>
              <w:t>废机油</w:t>
            </w:r>
          </w:p>
          <w:p>
            <w:pPr>
              <w:spacing w:line="360" w:lineRule="auto"/>
              <w:ind w:firstLine="480" w:firstLineChars="200"/>
              <w:rPr>
                <w:rFonts w:hint="default" w:ascii="Times New Roman" w:hAnsi="Times New Roman" w:cs="Times New Roman"/>
                <w:color w:val="auto"/>
                <w:sz w:val="24"/>
                <w:szCs w:val="22"/>
                <w:lang w:eastAsia="zh-CN"/>
              </w:rPr>
            </w:pPr>
            <w:r>
              <w:rPr>
                <w:rFonts w:hint="default" w:ascii="Times New Roman" w:hAnsi="Times New Roman" w:cs="Times New Roman"/>
                <w:color w:val="auto"/>
                <w:sz w:val="24"/>
                <w:szCs w:val="22"/>
              </w:rPr>
              <w:t>项目泵、风机等设备在运行过程中需更换机油，项目机油用量为0.02t/a，机油损耗20%，则废机油产生量为0.016t/a，</w:t>
            </w:r>
            <w:r>
              <w:rPr>
                <w:rFonts w:hint="default" w:ascii="Times New Roman" w:hAnsi="Times New Roman" w:cs="Times New Roman"/>
                <w:color w:val="auto"/>
                <w:sz w:val="24"/>
                <w:szCs w:val="22"/>
                <w:lang w:val="en-US" w:eastAsia="zh-CN"/>
              </w:rPr>
              <w:t>属于危险废物HW08废矿物油与含矿物油废物（900-249-08），</w:t>
            </w:r>
            <w:r>
              <w:rPr>
                <w:rFonts w:hint="default" w:ascii="Times New Roman" w:hAnsi="Times New Roman" w:cs="Times New Roman"/>
                <w:color w:val="auto"/>
                <w:sz w:val="24"/>
                <w:szCs w:val="22"/>
              </w:rPr>
              <w:t>采用桶装存储于危废暂存间，交有资质单位处理。</w:t>
            </w:r>
          </w:p>
          <w:p>
            <w:pPr>
              <w:spacing w:line="360" w:lineRule="auto"/>
              <w:ind w:firstLine="480" w:firstLineChars="20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（4）废膜</w:t>
            </w:r>
          </w:p>
          <w:p>
            <w:pPr>
              <w:spacing w:line="360" w:lineRule="auto"/>
              <w:ind w:firstLine="480" w:firstLineChars="20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废水处理系统反渗透膜片需定期更换，产生废反渗透膜，更换周期按3年更换一次，一次更换量约为0.01</w:t>
            </w:r>
            <w:r>
              <w:rPr>
                <w:rFonts w:hint="eastAsia" w:ascii="Times New Roman" w:hAnsi="Times New Roman" w:cs="Times New Roman"/>
                <w:color w:val="auto"/>
                <w:sz w:val="24"/>
                <w:szCs w:val="22"/>
                <w:lang w:val="en-US" w:eastAsia="zh-CN"/>
              </w:rPr>
              <w:t>t</w:t>
            </w:r>
            <w:r>
              <w:rPr>
                <w:rFonts w:hint="default" w:ascii="Times New Roman" w:hAnsi="Times New Roman" w:cs="Times New Roman"/>
                <w:color w:val="auto"/>
                <w:sz w:val="24"/>
                <w:szCs w:val="22"/>
                <w:lang w:val="en-US" w:eastAsia="zh-CN"/>
              </w:rPr>
              <w:t>，更换后的废膜由</w:t>
            </w:r>
            <w:r>
              <w:rPr>
                <w:rFonts w:hint="eastAsia" w:ascii="Times New Roman" w:hAnsi="Times New Roman" w:cs="Times New Roman"/>
                <w:color w:val="auto"/>
                <w:sz w:val="24"/>
                <w:szCs w:val="22"/>
                <w:lang w:val="en-US" w:eastAsia="zh-CN"/>
              </w:rPr>
              <w:t>厂家</w:t>
            </w:r>
            <w:r>
              <w:rPr>
                <w:rFonts w:hint="default" w:ascii="Times New Roman" w:hAnsi="Times New Roman" w:cs="Times New Roman"/>
                <w:color w:val="auto"/>
                <w:sz w:val="24"/>
                <w:szCs w:val="22"/>
                <w:lang w:val="en-US" w:eastAsia="zh-CN"/>
              </w:rPr>
              <w:t>回收，不外排。</w:t>
            </w:r>
          </w:p>
          <w:p>
            <w:pPr>
              <w:spacing w:line="360" w:lineRule="auto"/>
              <w:ind w:firstLine="480" w:firstLineChars="200"/>
              <w:rPr>
                <w:rFonts w:hint="eastAsia" w:ascii="Times New Roman" w:hAnsi="Times New Roman" w:cs="Times New Roman"/>
                <w:color w:val="auto"/>
                <w:sz w:val="24"/>
                <w:szCs w:val="22"/>
                <w:lang w:val="en-US" w:eastAsia="zh-CN"/>
              </w:rPr>
            </w:pPr>
            <w:r>
              <w:rPr>
                <w:rFonts w:hint="eastAsia" w:cs="Times New Roman"/>
                <w:color w:val="auto"/>
                <w:sz w:val="24"/>
                <w:szCs w:val="22"/>
                <w:lang w:val="en-US" w:eastAsia="zh-CN"/>
              </w:rPr>
              <w:t>（5）</w:t>
            </w:r>
            <w:r>
              <w:rPr>
                <w:rFonts w:hint="eastAsia" w:ascii="Times New Roman" w:hAnsi="Times New Roman" w:cs="Times New Roman"/>
                <w:color w:val="auto"/>
                <w:sz w:val="24"/>
                <w:szCs w:val="22"/>
                <w:lang w:val="en-US" w:eastAsia="zh-CN"/>
              </w:rPr>
              <w:t>废离子交换树脂</w:t>
            </w:r>
          </w:p>
          <w:p>
            <w:pPr>
              <w:spacing w:line="360" w:lineRule="auto"/>
              <w:ind w:firstLine="480" w:firstLineChars="20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rPr>
              <w:t>正常系统出水氨氮满足排放标准，当进水水质波动，出水氨氮超标时，离子交换系统作为应急处理措施，保障系统出水氨氮达标排放。</w:t>
            </w:r>
            <w:r>
              <w:rPr>
                <w:rFonts w:hint="eastAsia" w:ascii="Times New Roman" w:hAnsi="Times New Roman" w:cs="Times New Roman"/>
                <w:color w:val="auto"/>
                <w:sz w:val="24"/>
                <w:szCs w:val="22"/>
                <w:lang w:val="en-US" w:eastAsia="zh-CN"/>
              </w:rPr>
              <w:t>离子交换树脂需定期更换，更换周期按</w:t>
            </w:r>
            <w:r>
              <w:rPr>
                <w:rFonts w:hint="eastAsia" w:cs="Times New Roman"/>
                <w:color w:val="auto"/>
                <w:sz w:val="24"/>
                <w:szCs w:val="22"/>
                <w:lang w:val="en-US" w:eastAsia="zh-CN"/>
              </w:rPr>
              <w:t>1</w:t>
            </w:r>
            <w:r>
              <w:rPr>
                <w:rFonts w:hint="eastAsia" w:ascii="Times New Roman" w:hAnsi="Times New Roman" w:cs="Times New Roman"/>
                <w:color w:val="auto"/>
                <w:sz w:val="24"/>
                <w:szCs w:val="22"/>
                <w:lang w:val="en-US" w:eastAsia="zh-CN"/>
              </w:rPr>
              <w:t>年</w:t>
            </w:r>
            <w:r>
              <w:rPr>
                <w:rFonts w:hint="eastAsia" w:cs="Times New Roman"/>
                <w:color w:val="auto"/>
                <w:sz w:val="24"/>
                <w:szCs w:val="22"/>
                <w:lang w:val="en-US" w:eastAsia="zh-CN"/>
              </w:rPr>
              <w:t>1</w:t>
            </w:r>
            <w:r>
              <w:rPr>
                <w:rFonts w:hint="eastAsia" w:ascii="Times New Roman" w:hAnsi="Times New Roman" w:cs="Times New Roman"/>
                <w:color w:val="auto"/>
                <w:sz w:val="24"/>
                <w:szCs w:val="22"/>
                <w:lang w:val="en-US" w:eastAsia="zh-CN"/>
              </w:rPr>
              <w:t>次计，</w:t>
            </w:r>
            <w:r>
              <w:rPr>
                <w:rFonts w:hint="eastAsia" w:cs="Times New Roman"/>
                <w:color w:val="auto"/>
                <w:sz w:val="24"/>
                <w:szCs w:val="22"/>
                <w:lang w:val="en-US" w:eastAsia="zh-CN"/>
              </w:rPr>
              <w:t>1</w:t>
            </w:r>
            <w:r>
              <w:rPr>
                <w:rFonts w:hint="eastAsia" w:ascii="Times New Roman" w:hAnsi="Times New Roman" w:cs="Times New Roman"/>
                <w:color w:val="auto"/>
                <w:sz w:val="24"/>
                <w:szCs w:val="22"/>
                <w:lang w:val="en-US" w:eastAsia="zh-CN"/>
              </w:rPr>
              <w:t>次更换量约0.02t，</w:t>
            </w:r>
            <w:r>
              <w:rPr>
                <w:rFonts w:hint="default" w:ascii="Times New Roman" w:hAnsi="Times New Roman" w:cs="Times New Roman"/>
                <w:color w:val="auto"/>
                <w:sz w:val="24"/>
                <w:szCs w:val="22"/>
                <w:lang w:val="en-US" w:eastAsia="zh-CN"/>
              </w:rPr>
              <w:t>更换后的</w:t>
            </w:r>
            <w:r>
              <w:rPr>
                <w:rFonts w:hint="eastAsia" w:ascii="Times New Roman" w:hAnsi="Times New Roman" w:cs="Times New Roman"/>
                <w:color w:val="auto"/>
                <w:sz w:val="24"/>
                <w:szCs w:val="22"/>
                <w:lang w:val="en-US" w:eastAsia="zh-CN"/>
              </w:rPr>
              <w:t>废离子交换树脂</w:t>
            </w:r>
            <w:r>
              <w:rPr>
                <w:rFonts w:hint="default" w:ascii="Times New Roman" w:hAnsi="Times New Roman" w:cs="Times New Roman"/>
                <w:color w:val="auto"/>
                <w:sz w:val="24"/>
                <w:szCs w:val="22"/>
                <w:lang w:val="en-US" w:eastAsia="zh-CN"/>
              </w:rPr>
              <w:t>由</w:t>
            </w:r>
            <w:r>
              <w:rPr>
                <w:rFonts w:hint="eastAsia" w:ascii="Times New Roman" w:hAnsi="Times New Roman" w:cs="Times New Roman"/>
                <w:color w:val="auto"/>
                <w:sz w:val="24"/>
                <w:szCs w:val="22"/>
                <w:lang w:val="en-US" w:eastAsia="zh-CN"/>
              </w:rPr>
              <w:t>厂家</w:t>
            </w:r>
            <w:r>
              <w:rPr>
                <w:rFonts w:hint="default" w:ascii="Times New Roman" w:hAnsi="Times New Roman" w:cs="Times New Roman"/>
                <w:color w:val="auto"/>
                <w:sz w:val="24"/>
                <w:szCs w:val="22"/>
                <w:lang w:val="en-US" w:eastAsia="zh-CN"/>
              </w:rPr>
              <w:t>回收，不外排。</w:t>
            </w:r>
            <w:r>
              <w:rPr>
                <w:rFonts w:hint="eastAsia" w:ascii="Times New Roman" w:hAnsi="Times New Roman" w:cs="Times New Roman"/>
                <w:color w:val="auto"/>
                <w:sz w:val="24"/>
                <w:szCs w:val="22"/>
                <w:lang w:val="en-US" w:eastAsia="zh-CN"/>
              </w:rPr>
              <w:t>废离子交换树脂</w:t>
            </w:r>
            <w:r>
              <w:rPr>
                <w:rFonts w:hint="default" w:ascii="Times New Roman" w:hAnsi="Times New Roman" w:cs="Times New Roman"/>
                <w:color w:val="auto"/>
                <w:sz w:val="24"/>
                <w:szCs w:val="22"/>
                <w:lang w:val="en-US" w:eastAsia="zh-CN"/>
              </w:rPr>
              <w:t>属于危险废物HW</w:t>
            </w:r>
            <w:r>
              <w:rPr>
                <w:rFonts w:hint="eastAsia" w:cs="Times New Roman"/>
                <w:color w:val="auto"/>
                <w:sz w:val="24"/>
                <w:szCs w:val="22"/>
                <w:lang w:val="en-US" w:eastAsia="zh-CN"/>
              </w:rPr>
              <w:t>13有机树脂类废物</w:t>
            </w:r>
            <w:r>
              <w:rPr>
                <w:rFonts w:hint="default" w:ascii="Times New Roman" w:hAnsi="Times New Roman" w:cs="Times New Roman"/>
                <w:color w:val="auto"/>
                <w:sz w:val="24"/>
                <w:szCs w:val="22"/>
                <w:lang w:val="en-US" w:eastAsia="zh-CN"/>
              </w:rPr>
              <w:t>（900-</w:t>
            </w:r>
            <w:r>
              <w:rPr>
                <w:rFonts w:hint="eastAsia" w:cs="Times New Roman"/>
                <w:color w:val="auto"/>
                <w:sz w:val="24"/>
                <w:szCs w:val="22"/>
                <w:lang w:val="en-US" w:eastAsia="zh-CN"/>
              </w:rPr>
              <w:t>015</w:t>
            </w:r>
            <w:r>
              <w:rPr>
                <w:rFonts w:hint="default" w:ascii="Times New Roman" w:hAnsi="Times New Roman" w:cs="Times New Roman"/>
                <w:color w:val="auto"/>
                <w:sz w:val="24"/>
                <w:szCs w:val="22"/>
                <w:lang w:val="en-US" w:eastAsia="zh-CN"/>
              </w:rPr>
              <w:t>-</w:t>
            </w:r>
            <w:r>
              <w:rPr>
                <w:rFonts w:hint="eastAsia" w:cs="Times New Roman"/>
                <w:color w:val="auto"/>
                <w:sz w:val="24"/>
                <w:szCs w:val="22"/>
                <w:lang w:val="en-US" w:eastAsia="zh-CN"/>
              </w:rPr>
              <w:t>13</w:t>
            </w:r>
            <w:r>
              <w:rPr>
                <w:rFonts w:hint="default" w:ascii="Times New Roman" w:hAnsi="Times New Roman" w:cs="Times New Roman"/>
                <w:color w:val="auto"/>
                <w:sz w:val="24"/>
                <w:szCs w:val="22"/>
                <w:lang w:val="en-US" w:eastAsia="zh-CN"/>
              </w:rPr>
              <w:t>），</w:t>
            </w:r>
            <w:r>
              <w:rPr>
                <w:rFonts w:hint="default" w:ascii="Times New Roman" w:hAnsi="Times New Roman" w:cs="Times New Roman"/>
                <w:color w:val="auto"/>
                <w:sz w:val="24"/>
                <w:szCs w:val="22"/>
              </w:rPr>
              <w:t>采用桶装存储于危废暂存间，交有资质单位处理。</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baseline"/>
              <w:rPr>
                <w:rFonts w:hint="default" w:ascii="Times New Roman" w:hAnsi="Times New Roman" w:eastAsia="黑体" w:cs="Times New Roman"/>
                <w:b/>
                <w:bCs w:val="0"/>
                <w:color w:val="auto"/>
                <w:sz w:val="24"/>
              </w:rPr>
            </w:pPr>
            <w:r>
              <w:rPr>
                <w:rFonts w:hint="default" w:ascii="Times New Roman" w:hAnsi="Times New Roman" w:eastAsia="黑体" w:cs="Times New Roman"/>
                <w:b/>
                <w:bCs w:val="0"/>
                <w:color w:val="auto"/>
                <w:sz w:val="24"/>
              </w:rPr>
              <w:t>表</w:t>
            </w:r>
            <w:r>
              <w:rPr>
                <w:rFonts w:hint="default" w:ascii="Times New Roman" w:hAnsi="Times New Roman" w:eastAsia="黑体" w:cs="Times New Roman"/>
                <w:b/>
                <w:bCs w:val="0"/>
                <w:color w:val="auto"/>
                <w:sz w:val="24"/>
                <w:lang w:val="en-US" w:eastAsia="zh-CN"/>
              </w:rPr>
              <w:t>5-10</w:t>
            </w:r>
            <w:r>
              <w:rPr>
                <w:rFonts w:hint="default" w:ascii="Times New Roman" w:hAnsi="Times New Roman" w:eastAsia="黑体" w:cs="Times New Roman"/>
                <w:b/>
                <w:bCs w:val="0"/>
                <w:color w:val="auto"/>
                <w:sz w:val="24"/>
              </w:rPr>
              <w:t>危险废物汇总表</w:t>
            </w:r>
          </w:p>
          <w:tbl>
            <w:tblPr>
              <w:tblStyle w:val="33"/>
              <w:tblpPr w:leftFromText="180" w:rightFromText="180" w:vertAnchor="text" w:horzAnchor="margin" w:tblpY="29"/>
              <w:tblOverlap w:val="never"/>
              <w:tblW w:w="92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3" w:type="dxa"/>
                <w:bottom w:w="0" w:type="dxa"/>
                <w:right w:w="23" w:type="dxa"/>
              </w:tblCellMar>
            </w:tblPr>
            <w:tblGrid>
              <w:gridCol w:w="492"/>
              <w:gridCol w:w="817"/>
              <w:gridCol w:w="826"/>
              <w:gridCol w:w="1166"/>
              <w:gridCol w:w="789"/>
              <w:gridCol w:w="1038"/>
              <w:gridCol w:w="643"/>
              <w:gridCol w:w="682"/>
              <w:gridCol w:w="681"/>
              <w:gridCol w:w="729"/>
              <w:gridCol w:w="679"/>
              <w:gridCol w:w="6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609" w:hRule="atLeast"/>
              </w:trPr>
              <w:tc>
                <w:tcPr>
                  <w:tcW w:w="502"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序号</w:t>
                  </w:r>
                </w:p>
              </w:tc>
              <w:tc>
                <w:tcPr>
                  <w:tcW w:w="839"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危险废物名称</w:t>
                  </w:r>
                </w:p>
              </w:tc>
              <w:tc>
                <w:tcPr>
                  <w:tcW w:w="835"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危险废物类别</w:t>
                  </w:r>
                </w:p>
              </w:tc>
              <w:tc>
                <w:tcPr>
                  <w:tcW w:w="1037"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危险废物代码</w:t>
                  </w:r>
                </w:p>
              </w:tc>
              <w:tc>
                <w:tcPr>
                  <w:tcW w:w="797"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产生量（t/a）</w:t>
                  </w:r>
                </w:p>
              </w:tc>
              <w:tc>
                <w:tcPr>
                  <w:tcW w:w="1068"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产生工序及装置</w:t>
                  </w:r>
                </w:p>
              </w:tc>
              <w:tc>
                <w:tcPr>
                  <w:tcW w:w="658"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形态</w:t>
                  </w:r>
                </w:p>
              </w:tc>
              <w:tc>
                <w:tcPr>
                  <w:tcW w:w="699"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主要成分</w:t>
                  </w:r>
                </w:p>
              </w:tc>
              <w:tc>
                <w:tcPr>
                  <w:tcW w:w="698"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有害成分</w:t>
                  </w:r>
                </w:p>
              </w:tc>
              <w:tc>
                <w:tcPr>
                  <w:tcW w:w="698"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产废周期</w:t>
                  </w:r>
                </w:p>
              </w:tc>
              <w:tc>
                <w:tcPr>
                  <w:tcW w:w="695"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危险</w:t>
                  </w:r>
                </w:p>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特性</w:t>
                  </w:r>
                </w:p>
              </w:tc>
              <w:tc>
                <w:tcPr>
                  <w:tcW w:w="694"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trPr>
              <w:tc>
                <w:tcPr>
                  <w:tcW w:w="502"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c>
                <w:tcPr>
                  <w:tcW w:w="839"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废机油</w:t>
                  </w:r>
                </w:p>
              </w:tc>
              <w:tc>
                <w:tcPr>
                  <w:tcW w:w="835"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HW08</w:t>
                  </w:r>
                </w:p>
              </w:tc>
              <w:tc>
                <w:tcPr>
                  <w:tcW w:w="1037"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900-249-08</w:t>
                  </w:r>
                </w:p>
              </w:tc>
              <w:tc>
                <w:tcPr>
                  <w:tcW w:w="797"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0.016</w:t>
                  </w:r>
                </w:p>
              </w:tc>
              <w:tc>
                <w:tcPr>
                  <w:tcW w:w="1068"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设备维修</w:t>
                  </w:r>
                </w:p>
              </w:tc>
              <w:tc>
                <w:tcPr>
                  <w:tcW w:w="658"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半固态</w:t>
                  </w:r>
                </w:p>
              </w:tc>
              <w:tc>
                <w:tcPr>
                  <w:tcW w:w="699"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lang w:eastAsia="zh-CN"/>
                    </w:rPr>
                  </w:pPr>
                  <w:r>
                    <w:rPr>
                      <w:rFonts w:hint="default" w:ascii="Times New Roman" w:hAnsi="Times New Roman" w:cs="Times New Roman"/>
                      <w:color w:val="auto"/>
                      <w:kern w:val="0"/>
                      <w:szCs w:val="21"/>
                      <w:lang w:val="en-US" w:eastAsia="zh-CN"/>
                    </w:rPr>
                    <w:t>油类</w:t>
                  </w:r>
                </w:p>
              </w:tc>
              <w:tc>
                <w:tcPr>
                  <w:tcW w:w="698"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lang w:eastAsia="zh-CN"/>
                    </w:rPr>
                  </w:pPr>
                  <w:r>
                    <w:rPr>
                      <w:rFonts w:hint="default" w:ascii="Times New Roman" w:hAnsi="Times New Roman" w:cs="Times New Roman"/>
                      <w:color w:val="auto"/>
                      <w:kern w:val="0"/>
                      <w:szCs w:val="21"/>
                      <w:lang w:val="en-US" w:eastAsia="zh-CN"/>
                    </w:rPr>
                    <w:t>油类</w:t>
                  </w:r>
                </w:p>
              </w:tc>
              <w:tc>
                <w:tcPr>
                  <w:tcW w:w="698"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0.016</w:t>
                  </w:r>
                  <w:r>
                    <w:rPr>
                      <w:rFonts w:hint="default" w:ascii="Times New Roman" w:hAnsi="Times New Roman" w:cs="Times New Roman"/>
                      <w:color w:val="auto"/>
                      <w:kern w:val="0"/>
                      <w:szCs w:val="21"/>
                    </w:rPr>
                    <w:t>t/a</w:t>
                  </w:r>
                </w:p>
              </w:tc>
              <w:tc>
                <w:tcPr>
                  <w:tcW w:w="695"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毒性</w:t>
                  </w:r>
                </w:p>
              </w:tc>
              <w:tc>
                <w:tcPr>
                  <w:tcW w:w="694"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送有资质单位处置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trPr>
              <w:tc>
                <w:tcPr>
                  <w:tcW w:w="502"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2</w:t>
                  </w:r>
                </w:p>
              </w:tc>
              <w:tc>
                <w:tcPr>
                  <w:tcW w:w="839"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废离子交换树脂</w:t>
                  </w:r>
                </w:p>
              </w:tc>
              <w:tc>
                <w:tcPr>
                  <w:tcW w:w="835"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HW</w:t>
                  </w:r>
                  <w:r>
                    <w:rPr>
                      <w:rFonts w:hint="eastAsia" w:cs="Times New Roman"/>
                      <w:color w:val="auto"/>
                      <w:kern w:val="0"/>
                      <w:szCs w:val="21"/>
                      <w:lang w:val="en-US" w:eastAsia="zh-CN"/>
                    </w:rPr>
                    <w:t>13</w:t>
                  </w:r>
                </w:p>
              </w:tc>
              <w:tc>
                <w:tcPr>
                  <w:tcW w:w="1037"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lang w:val="en-US" w:eastAsia="zh-CN"/>
                    </w:rPr>
                  </w:pPr>
                  <w:r>
                    <w:rPr>
                      <w:rFonts w:hint="default" w:ascii="Times New Roman" w:hAnsi="Times New Roman" w:cs="Times New Roman"/>
                      <w:color w:val="auto"/>
                      <w:sz w:val="24"/>
                      <w:szCs w:val="22"/>
                      <w:lang w:val="en-US" w:eastAsia="zh-CN"/>
                    </w:rPr>
                    <w:t>900-</w:t>
                  </w:r>
                  <w:r>
                    <w:rPr>
                      <w:rFonts w:hint="eastAsia" w:cs="Times New Roman"/>
                      <w:color w:val="auto"/>
                      <w:sz w:val="24"/>
                      <w:szCs w:val="22"/>
                      <w:lang w:val="en-US" w:eastAsia="zh-CN"/>
                    </w:rPr>
                    <w:t>015</w:t>
                  </w:r>
                  <w:r>
                    <w:rPr>
                      <w:rFonts w:hint="default" w:ascii="Times New Roman" w:hAnsi="Times New Roman" w:cs="Times New Roman"/>
                      <w:color w:val="auto"/>
                      <w:sz w:val="24"/>
                      <w:szCs w:val="22"/>
                      <w:lang w:val="en-US" w:eastAsia="zh-CN"/>
                    </w:rPr>
                    <w:t>-</w:t>
                  </w:r>
                  <w:r>
                    <w:rPr>
                      <w:rFonts w:hint="eastAsia" w:cs="Times New Roman"/>
                      <w:color w:val="auto"/>
                      <w:sz w:val="24"/>
                      <w:szCs w:val="22"/>
                      <w:lang w:val="en-US" w:eastAsia="zh-CN"/>
                    </w:rPr>
                    <w:t>13</w:t>
                  </w:r>
                </w:p>
              </w:tc>
              <w:tc>
                <w:tcPr>
                  <w:tcW w:w="797"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0.02</w:t>
                  </w:r>
                </w:p>
              </w:tc>
              <w:tc>
                <w:tcPr>
                  <w:tcW w:w="1068"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安保系统</w:t>
                  </w:r>
                </w:p>
              </w:tc>
              <w:tc>
                <w:tcPr>
                  <w:tcW w:w="658"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固态</w:t>
                  </w:r>
                </w:p>
              </w:tc>
              <w:tc>
                <w:tcPr>
                  <w:tcW w:w="699"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有机树脂</w:t>
                  </w:r>
                </w:p>
              </w:tc>
              <w:tc>
                <w:tcPr>
                  <w:tcW w:w="698"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有机树脂</w:t>
                  </w:r>
                </w:p>
              </w:tc>
              <w:tc>
                <w:tcPr>
                  <w:tcW w:w="698"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0.02t/a</w:t>
                  </w:r>
                </w:p>
              </w:tc>
              <w:tc>
                <w:tcPr>
                  <w:tcW w:w="695"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毒性</w:t>
                  </w:r>
                </w:p>
              </w:tc>
              <w:tc>
                <w:tcPr>
                  <w:tcW w:w="694"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送有资质单位处置</w:t>
                  </w:r>
                </w:p>
              </w:tc>
            </w:tr>
          </w:tbl>
          <w:p>
            <w:pPr>
              <w:spacing w:line="360" w:lineRule="auto"/>
              <w:ind w:firstLine="480" w:firstLineChars="200"/>
              <w:rPr>
                <w:rFonts w:hint="default" w:ascii="Times New Roman" w:hAnsi="Times New Roman" w:cs="Times New Roman"/>
                <w:color w:val="auto"/>
                <w:sz w:val="24"/>
                <w:szCs w:val="22"/>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spacing w:line="360" w:lineRule="auto"/>
              <w:ind w:firstLine="480" w:firstLineChars="200"/>
              <w:rPr>
                <w:rFonts w:hint="default" w:ascii="Times New Roman" w:hAnsi="Times New Roman" w:cs="Times New Roman"/>
                <w:b/>
                <w:color w:val="auto"/>
              </w:rPr>
            </w:pPr>
          </w:p>
        </w:tc>
      </w:tr>
    </w:tbl>
    <w:p>
      <w:pPr>
        <w:pStyle w:val="41"/>
        <w:rPr>
          <w:rFonts w:hint="default" w:ascii="Times New Roman" w:hAnsi="Times New Roman" w:cs="Times New Roman"/>
          <w:color w:val="auto"/>
        </w:rPr>
        <w:sectPr>
          <w:pgSz w:w="11907" w:h="16839"/>
          <w:pgMar w:top="1800" w:right="1440" w:bottom="1800" w:left="1440" w:header="851" w:footer="992" w:gutter="0"/>
          <w:pgBorders>
            <w:top w:val="none" w:sz="0" w:space="0"/>
            <w:left w:val="none" w:sz="0" w:space="0"/>
            <w:bottom w:val="none" w:sz="0" w:space="0"/>
            <w:right w:val="none" w:sz="0" w:space="0"/>
          </w:pgBorders>
          <w:cols w:space="720" w:num="1"/>
          <w:docGrid w:type="linesAndChars" w:linePitch="312" w:charSpace="0"/>
        </w:sectPr>
      </w:pPr>
      <w:bookmarkStart w:id="5" w:name="_1001440472"/>
      <w:bookmarkEnd w:id="5"/>
      <w:bookmarkStart w:id="6" w:name="_1001440932"/>
      <w:bookmarkEnd w:id="6"/>
      <w:bookmarkStart w:id="7" w:name="_1001939636"/>
      <w:bookmarkEnd w:id="7"/>
      <w:bookmarkStart w:id="8" w:name="_883959353"/>
      <w:bookmarkEnd w:id="8"/>
      <w:bookmarkStart w:id="9" w:name="_1002002432"/>
      <w:bookmarkEnd w:id="9"/>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345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620" w:hRule="atLeast"/>
          <w:jc w:val="center"/>
        </w:trPr>
        <w:tc>
          <w:tcPr>
            <w:tcW w:w="5000" w:type="pct"/>
          </w:tcPr>
          <w:p>
            <w:pPr>
              <w:pStyle w:val="131"/>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5-6</w:t>
            </w:r>
            <w:r>
              <w:rPr>
                <w:rFonts w:hint="default" w:ascii="Times New Roman" w:hAnsi="Times New Roman" w:cs="Times New Roman"/>
                <w:b/>
                <w:bCs/>
                <w:color w:val="auto"/>
              </w:rPr>
              <w:t xml:space="preserve"> 废气污染源源强核算结果及相关参数一览表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637"/>
              <w:gridCol w:w="634"/>
              <w:gridCol w:w="872"/>
              <w:gridCol w:w="634"/>
              <w:gridCol w:w="938"/>
              <w:gridCol w:w="1144"/>
              <w:gridCol w:w="1063"/>
              <w:gridCol w:w="927"/>
              <w:gridCol w:w="936"/>
              <w:gridCol w:w="634"/>
              <w:gridCol w:w="1114"/>
              <w:gridCol w:w="1014"/>
              <w:gridCol w:w="1109"/>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restart"/>
                  <w:tcBorders>
                    <w:top w:val="single" w:color="auto" w:sz="12" w:space="0"/>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工序</w:t>
                  </w:r>
                </w:p>
              </w:tc>
              <w:tc>
                <w:tcPr>
                  <w:tcW w:w="637" w:type="dxa"/>
                  <w:vMerge w:val="restart"/>
                  <w:tcBorders>
                    <w:top w:val="single" w:color="auto" w:sz="12" w:space="0"/>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装置</w:t>
                  </w:r>
                </w:p>
              </w:tc>
              <w:tc>
                <w:tcPr>
                  <w:tcW w:w="634" w:type="dxa"/>
                  <w:vMerge w:val="restart"/>
                  <w:tcBorders>
                    <w:top w:val="single" w:color="auto" w:sz="12" w:space="0"/>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污染源</w:t>
                  </w:r>
                </w:p>
              </w:tc>
              <w:tc>
                <w:tcPr>
                  <w:tcW w:w="873" w:type="dxa"/>
                  <w:vMerge w:val="restart"/>
                  <w:tcBorders>
                    <w:top w:val="single" w:color="auto" w:sz="12" w:space="0"/>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污染物</w:t>
                  </w:r>
                </w:p>
              </w:tc>
              <w:tc>
                <w:tcPr>
                  <w:tcW w:w="3781" w:type="dxa"/>
                  <w:gridSpan w:val="4"/>
                  <w:tcBorders>
                    <w:top w:val="single" w:color="auto" w:sz="12" w:space="0"/>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污染物产生</w:t>
                  </w:r>
                </w:p>
              </w:tc>
              <w:tc>
                <w:tcPr>
                  <w:tcW w:w="1857" w:type="dxa"/>
                  <w:gridSpan w:val="2"/>
                  <w:tcBorders>
                    <w:top w:val="single" w:color="auto" w:sz="12" w:space="0"/>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治理措施</w:t>
                  </w:r>
                </w:p>
              </w:tc>
              <w:tc>
                <w:tcPr>
                  <w:tcW w:w="3872" w:type="dxa"/>
                  <w:gridSpan w:val="4"/>
                  <w:tcBorders>
                    <w:top w:val="single" w:color="auto" w:sz="12" w:space="0"/>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污染物排放</w:t>
                  </w:r>
                </w:p>
              </w:tc>
              <w:tc>
                <w:tcPr>
                  <w:tcW w:w="678" w:type="dxa"/>
                  <w:vMerge w:val="restart"/>
                  <w:tcBorders>
                    <w:top w:val="single" w:color="auto" w:sz="12" w:space="0"/>
                    <w:left w:val="nil"/>
                    <w:bottom w:val="single" w:color="auto" w:sz="4" w:space="0"/>
                    <w:right w:val="nil"/>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tcBorders>
                    <w:top w:val="single" w:color="auto" w:sz="12" w:space="0"/>
                    <w:left w:val="nil"/>
                    <w:bottom w:val="single" w:color="auto" w:sz="4"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637" w:type="dxa"/>
                  <w:vMerge w:val="continue"/>
                  <w:tcBorders>
                    <w:top w:val="single" w:color="auto" w:sz="12" w:space="0"/>
                    <w:left w:val="nil"/>
                    <w:bottom w:val="single" w:color="auto" w:sz="4"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634" w:type="dxa"/>
                  <w:vMerge w:val="continue"/>
                  <w:tcBorders>
                    <w:top w:val="single" w:color="auto" w:sz="12" w:space="0"/>
                    <w:left w:val="nil"/>
                    <w:bottom w:val="single" w:color="auto" w:sz="4"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873" w:type="dxa"/>
                  <w:vMerge w:val="continue"/>
                  <w:tcBorders>
                    <w:top w:val="single" w:color="auto" w:sz="12" w:space="0"/>
                    <w:left w:val="nil"/>
                    <w:bottom w:val="single" w:color="auto" w:sz="4"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634" w:type="dxa"/>
                  <w:tcBorders>
                    <w:top w:val="single" w:color="auto" w:sz="4" w:space="0"/>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核算方法</w:t>
                  </w:r>
                </w:p>
              </w:tc>
              <w:tc>
                <w:tcPr>
                  <w:tcW w:w="939" w:type="dxa"/>
                  <w:tcBorders>
                    <w:top w:val="single" w:color="auto" w:sz="4" w:space="0"/>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产生废气量m</w:t>
                  </w:r>
                  <w:r>
                    <w:rPr>
                      <w:rFonts w:hint="default" w:ascii="Times New Roman" w:hAnsi="Times New Roman" w:cs="Times New Roman"/>
                      <w:color w:val="auto"/>
                      <w:vertAlign w:val="superscript"/>
                    </w:rPr>
                    <w:t>3</w:t>
                  </w:r>
                  <w:r>
                    <w:rPr>
                      <w:rFonts w:hint="default" w:ascii="Times New Roman" w:hAnsi="Times New Roman" w:cs="Times New Roman"/>
                      <w:color w:val="auto"/>
                    </w:rPr>
                    <w:t>/h</w:t>
                  </w:r>
                </w:p>
              </w:tc>
              <w:tc>
                <w:tcPr>
                  <w:tcW w:w="1145" w:type="dxa"/>
                  <w:tcBorders>
                    <w:top w:val="single" w:color="auto" w:sz="4" w:space="0"/>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产生浓度mg/m</w:t>
                  </w:r>
                  <w:r>
                    <w:rPr>
                      <w:rFonts w:hint="default" w:ascii="Times New Roman" w:hAnsi="Times New Roman" w:cs="Times New Roman"/>
                      <w:color w:val="auto"/>
                      <w:vertAlign w:val="superscript"/>
                    </w:rPr>
                    <w:t>3</w:t>
                  </w:r>
                </w:p>
              </w:tc>
              <w:tc>
                <w:tcPr>
                  <w:tcW w:w="1063" w:type="dxa"/>
                  <w:tcBorders>
                    <w:top w:val="single" w:color="auto" w:sz="4" w:space="0"/>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产生量kg/h</w:t>
                  </w:r>
                </w:p>
              </w:tc>
              <w:tc>
                <w:tcPr>
                  <w:tcW w:w="921" w:type="dxa"/>
                  <w:tcBorders>
                    <w:top w:val="single" w:color="auto" w:sz="4" w:space="0"/>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工艺</w:t>
                  </w:r>
                </w:p>
              </w:tc>
              <w:tc>
                <w:tcPr>
                  <w:tcW w:w="936" w:type="dxa"/>
                  <w:tcBorders>
                    <w:top w:val="single" w:color="auto" w:sz="4" w:space="0"/>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效率%</w:t>
                  </w:r>
                </w:p>
              </w:tc>
              <w:tc>
                <w:tcPr>
                  <w:tcW w:w="634" w:type="dxa"/>
                  <w:tcBorders>
                    <w:top w:val="single" w:color="auto" w:sz="4" w:space="0"/>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核算方法</w:t>
                  </w:r>
                </w:p>
              </w:tc>
              <w:tc>
                <w:tcPr>
                  <w:tcW w:w="1115" w:type="dxa"/>
                  <w:tcBorders>
                    <w:top w:val="single" w:color="auto" w:sz="4" w:space="0"/>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排放废气量m</w:t>
                  </w:r>
                  <w:r>
                    <w:rPr>
                      <w:rFonts w:hint="default" w:ascii="Times New Roman" w:hAnsi="Times New Roman" w:cs="Times New Roman"/>
                      <w:color w:val="auto"/>
                      <w:vertAlign w:val="superscript"/>
                    </w:rPr>
                    <w:t>3</w:t>
                  </w:r>
                  <w:r>
                    <w:rPr>
                      <w:rFonts w:hint="default" w:ascii="Times New Roman" w:hAnsi="Times New Roman" w:cs="Times New Roman"/>
                      <w:color w:val="auto"/>
                    </w:rPr>
                    <w:t>/h</w:t>
                  </w:r>
                </w:p>
              </w:tc>
              <w:tc>
                <w:tcPr>
                  <w:tcW w:w="1014" w:type="dxa"/>
                  <w:tcBorders>
                    <w:top w:val="single" w:color="auto" w:sz="4" w:space="0"/>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排放浓度mg/m</w:t>
                  </w:r>
                  <w:r>
                    <w:rPr>
                      <w:rFonts w:hint="default" w:ascii="Times New Roman" w:hAnsi="Times New Roman" w:cs="Times New Roman"/>
                      <w:color w:val="auto"/>
                      <w:vertAlign w:val="superscript"/>
                    </w:rPr>
                    <w:t>3</w:t>
                  </w:r>
                </w:p>
              </w:tc>
              <w:tc>
                <w:tcPr>
                  <w:tcW w:w="1109" w:type="dxa"/>
                  <w:tcBorders>
                    <w:top w:val="single" w:color="auto" w:sz="4" w:space="0"/>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排放量kg/h</w:t>
                  </w:r>
                </w:p>
              </w:tc>
              <w:tc>
                <w:tcPr>
                  <w:tcW w:w="678" w:type="dxa"/>
                  <w:vMerge w:val="continue"/>
                  <w:tcBorders>
                    <w:top w:val="single" w:color="auto" w:sz="12" w:space="0"/>
                    <w:left w:val="nil"/>
                    <w:bottom w:val="single" w:color="auto" w:sz="4" w:space="0"/>
                    <w:right w:val="nil"/>
                  </w:tcBorders>
                  <w:noWrap w:val="0"/>
                  <w:vAlign w:val="center"/>
                </w:tcPr>
                <w:p>
                  <w:pPr>
                    <w:widowControl/>
                    <w:jc w:val="left"/>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897" w:type="dxa"/>
                  <w:vMerge w:val="restart"/>
                  <w:tcBorders>
                    <w:top w:val="nil"/>
                    <w:left w:val="nil"/>
                    <w:bottom w:val="single" w:color="auto" w:sz="4" w:space="0"/>
                    <w:right w:val="single" w:color="auto" w:sz="4" w:space="0"/>
                  </w:tcBorders>
                  <w:noWrap w:val="0"/>
                  <w:vAlign w:val="center"/>
                </w:tcPr>
                <w:p>
                  <w:pPr>
                    <w:pStyle w:val="13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垃圾渗滤液处理车间</w:t>
                  </w:r>
                </w:p>
              </w:tc>
              <w:tc>
                <w:tcPr>
                  <w:tcW w:w="637" w:type="dxa"/>
                  <w:vMerge w:val="restart"/>
                  <w:tcBorders>
                    <w:top w:val="nil"/>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臭气处理系统</w:t>
                  </w:r>
                </w:p>
              </w:tc>
              <w:tc>
                <w:tcPr>
                  <w:tcW w:w="634" w:type="dxa"/>
                  <w:vMerge w:val="restart"/>
                  <w:tcBorders>
                    <w:top w:val="nil"/>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有组织</w:t>
                  </w:r>
                </w:p>
              </w:tc>
              <w:tc>
                <w:tcPr>
                  <w:tcW w:w="873" w:type="dxa"/>
                  <w:tcBorders>
                    <w:top w:val="single" w:color="auto" w:sz="4" w:space="0"/>
                    <w:left w:val="nil"/>
                    <w:bottom w:val="single" w:color="auto" w:sz="4" w:space="0"/>
                    <w:right w:val="single" w:color="auto" w:sz="4" w:space="0"/>
                  </w:tcBorders>
                  <w:noWrap w:val="0"/>
                  <w:vAlign w:val="center"/>
                </w:tcPr>
                <w:p>
                  <w:pPr>
                    <w:spacing w:line="3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 xml:space="preserve">S </w:t>
                  </w:r>
                </w:p>
              </w:tc>
              <w:tc>
                <w:tcPr>
                  <w:tcW w:w="634" w:type="dxa"/>
                  <w:vMerge w:val="restart"/>
                  <w:tcBorders>
                    <w:top w:val="nil"/>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类比</w:t>
                  </w:r>
                </w:p>
              </w:tc>
              <w:tc>
                <w:tcPr>
                  <w:tcW w:w="939" w:type="dxa"/>
                  <w:vMerge w:val="restart"/>
                  <w:tcBorders>
                    <w:top w:val="nil"/>
                    <w:left w:val="nil"/>
                    <w:bottom w:val="single" w:color="auto" w:sz="4" w:space="0"/>
                    <w:right w:val="single" w:color="auto" w:sz="4" w:space="0"/>
                  </w:tcBorders>
                  <w:noWrap w:val="0"/>
                  <w:vAlign w:val="center"/>
                </w:tcPr>
                <w:p>
                  <w:pPr>
                    <w:pStyle w:val="13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3000</w:t>
                  </w:r>
                </w:p>
              </w:tc>
              <w:tc>
                <w:tcPr>
                  <w:tcW w:w="1145"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auto"/>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0.47</w:t>
                  </w:r>
                </w:p>
              </w:tc>
              <w:tc>
                <w:tcPr>
                  <w:tcW w:w="1063"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auto"/>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0.0014</w:t>
                  </w:r>
                </w:p>
              </w:tc>
              <w:tc>
                <w:tcPr>
                  <w:tcW w:w="921" w:type="dxa"/>
                  <w:vMerge w:val="restart"/>
                  <w:tcBorders>
                    <w:top w:val="nil"/>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高能离子除臭装置（去除效率≥</w:t>
                  </w:r>
                  <w:r>
                    <w:rPr>
                      <w:rFonts w:hint="default" w:ascii="Times New Roman" w:hAnsi="Times New Roman" w:cs="Times New Roman"/>
                      <w:color w:val="auto"/>
                      <w:lang w:val="en-US" w:eastAsia="zh-CN"/>
                    </w:rPr>
                    <w:t>90</w:t>
                  </w:r>
                  <w:r>
                    <w:rPr>
                      <w:rFonts w:hint="default" w:ascii="Times New Roman" w:hAnsi="Times New Roman" w:cs="Times New Roman"/>
                      <w:color w:val="auto"/>
                    </w:rPr>
                    <w:t>%）</w:t>
                  </w:r>
                </w:p>
              </w:tc>
              <w:tc>
                <w:tcPr>
                  <w:tcW w:w="936" w:type="dxa"/>
                  <w:vMerge w:val="restart"/>
                  <w:tcBorders>
                    <w:top w:val="nil"/>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收集效率</w:t>
                  </w:r>
                  <w:r>
                    <w:rPr>
                      <w:rFonts w:hint="default" w:ascii="Times New Roman" w:hAnsi="Times New Roman" w:cs="Times New Roman"/>
                      <w:color w:val="auto"/>
                      <w:lang w:val="en-US" w:eastAsia="zh-CN"/>
                    </w:rPr>
                    <w:t>80</w:t>
                  </w:r>
                  <w:r>
                    <w:rPr>
                      <w:rFonts w:hint="default" w:ascii="Times New Roman" w:hAnsi="Times New Roman" w:cs="Times New Roman"/>
                      <w:color w:val="auto"/>
                    </w:rPr>
                    <w:t>%，处理效率</w:t>
                  </w:r>
                  <w:r>
                    <w:rPr>
                      <w:rFonts w:hint="default" w:ascii="Times New Roman" w:hAnsi="Times New Roman" w:cs="Times New Roman"/>
                      <w:color w:val="auto"/>
                      <w:lang w:val="en-US" w:eastAsia="zh-CN"/>
                    </w:rPr>
                    <w:t>90</w:t>
                  </w:r>
                  <w:r>
                    <w:rPr>
                      <w:rFonts w:hint="default" w:ascii="Times New Roman" w:hAnsi="Times New Roman" w:cs="Times New Roman"/>
                      <w:color w:val="auto"/>
                    </w:rPr>
                    <w:t>%</w:t>
                  </w:r>
                </w:p>
              </w:tc>
              <w:tc>
                <w:tcPr>
                  <w:tcW w:w="634" w:type="dxa"/>
                  <w:vMerge w:val="restart"/>
                  <w:tcBorders>
                    <w:top w:val="nil"/>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类比</w:t>
                  </w:r>
                </w:p>
              </w:tc>
              <w:tc>
                <w:tcPr>
                  <w:tcW w:w="1115" w:type="dxa"/>
                  <w:vMerge w:val="restart"/>
                  <w:tcBorders>
                    <w:top w:val="nil"/>
                    <w:left w:val="nil"/>
                    <w:bottom w:val="single" w:color="auto" w:sz="4" w:space="0"/>
                    <w:right w:val="single" w:color="auto" w:sz="4" w:space="0"/>
                  </w:tcBorders>
                  <w:noWrap w:val="0"/>
                  <w:vAlign w:val="center"/>
                </w:tcPr>
                <w:p>
                  <w:pPr>
                    <w:pStyle w:val="13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3000</w:t>
                  </w:r>
                </w:p>
              </w:tc>
              <w:tc>
                <w:tcPr>
                  <w:tcW w:w="1014"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auto"/>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0.04</w:t>
                  </w:r>
                </w:p>
              </w:tc>
              <w:tc>
                <w:tcPr>
                  <w:tcW w:w="1109"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auto"/>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0.000112</w:t>
                  </w:r>
                </w:p>
              </w:tc>
              <w:tc>
                <w:tcPr>
                  <w:tcW w:w="678" w:type="dxa"/>
                  <w:vMerge w:val="restart"/>
                  <w:tcBorders>
                    <w:top w:val="nil"/>
                    <w:left w:val="nil"/>
                    <w:bottom w:val="single" w:color="auto" w:sz="4" w:space="0"/>
                    <w:right w:val="nil"/>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97" w:type="dxa"/>
                  <w:vMerge w:val="continue"/>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637" w:type="dxa"/>
                  <w:vMerge w:val="continue"/>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634" w:type="dxa"/>
                  <w:vMerge w:val="continue"/>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873" w:type="dxa"/>
                  <w:tcBorders>
                    <w:top w:val="single" w:color="auto" w:sz="4" w:space="0"/>
                    <w:left w:val="nil"/>
                    <w:bottom w:val="single" w:color="auto" w:sz="4" w:space="0"/>
                    <w:right w:val="single" w:color="auto" w:sz="4" w:space="0"/>
                  </w:tcBorders>
                  <w:noWrap w:val="0"/>
                  <w:vAlign w:val="center"/>
                </w:tcPr>
                <w:p>
                  <w:pPr>
                    <w:spacing w:line="3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p>
              </w:tc>
              <w:tc>
                <w:tcPr>
                  <w:tcW w:w="634" w:type="dxa"/>
                  <w:vMerge w:val="continue"/>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939" w:type="dxa"/>
                  <w:vMerge w:val="continue"/>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1145"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auto"/>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17.33</w:t>
                  </w:r>
                </w:p>
              </w:tc>
              <w:tc>
                <w:tcPr>
                  <w:tcW w:w="1063"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auto"/>
                    <w:jc w:val="center"/>
                    <w:rPr>
                      <w:rFonts w:hint="default" w:ascii="Times New Roman" w:hAnsi="Times New Roman" w:cs="Times New Roman"/>
                      <w:color w:val="auto"/>
                      <w:kern w:val="0"/>
                      <w:szCs w:val="21"/>
                      <w:lang w:val="en-US"/>
                    </w:rPr>
                  </w:pPr>
                  <w:r>
                    <w:rPr>
                      <w:rFonts w:hint="default" w:ascii="Times New Roman" w:hAnsi="Times New Roman" w:cs="Times New Roman"/>
                      <w:color w:val="auto"/>
                      <w:kern w:val="0"/>
                      <w:szCs w:val="21"/>
                      <w:lang w:val="en-US" w:eastAsia="zh-CN"/>
                    </w:rPr>
                    <w:t>0.052</w:t>
                  </w:r>
                </w:p>
              </w:tc>
              <w:tc>
                <w:tcPr>
                  <w:tcW w:w="921" w:type="dxa"/>
                  <w:vMerge w:val="continue"/>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936" w:type="dxa"/>
                  <w:vMerge w:val="continue"/>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634" w:type="dxa"/>
                  <w:vMerge w:val="continue"/>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1115" w:type="dxa"/>
                  <w:vMerge w:val="continue"/>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1014"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auto"/>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1.39</w:t>
                  </w:r>
                </w:p>
              </w:tc>
              <w:tc>
                <w:tcPr>
                  <w:tcW w:w="1109"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auto"/>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0.00416</w:t>
                  </w:r>
                </w:p>
              </w:tc>
              <w:tc>
                <w:tcPr>
                  <w:tcW w:w="678" w:type="dxa"/>
                  <w:vMerge w:val="continue"/>
                  <w:tcBorders>
                    <w:top w:val="nil"/>
                    <w:left w:val="nil"/>
                    <w:bottom w:val="single" w:color="auto" w:sz="4" w:space="0"/>
                    <w:right w:val="nil"/>
                  </w:tcBorders>
                  <w:noWrap w:val="0"/>
                  <w:vAlign w:val="center"/>
                </w:tcPr>
                <w:p>
                  <w:pPr>
                    <w:widowControl/>
                    <w:jc w:val="left"/>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vMerge w:val="continue"/>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637" w:type="dxa"/>
                  <w:vMerge w:val="continue"/>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634" w:type="dxa"/>
                  <w:vMerge w:val="restart"/>
                  <w:tcBorders>
                    <w:top w:val="nil"/>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无组织</w:t>
                  </w:r>
                </w:p>
              </w:tc>
              <w:tc>
                <w:tcPr>
                  <w:tcW w:w="873" w:type="dxa"/>
                  <w:tcBorders>
                    <w:top w:val="single" w:color="auto" w:sz="4" w:space="0"/>
                    <w:left w:val="nil"/>
                    <w:bottom w:val="single" w:color="auto" w:sz="4" w:space="0"/>
                    <w:right w:val="single" w:color="auto" w:sz="4" w:space="0"/>
                  </w:tcBorders>
                  <w:noWrap w:val="0"/>
                  <w:vAlign w:val="center"/>
                </w:tcPr>
                <w:p>
                  <w:pPr>
                    <w:spacing w:line="3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 xml:space="preserve">S </w:t>
                  </w:r>
                </w:p>
              </w:tc>
              <w:tc>
                <w:tcPr>
                  <w:tcW w:w="634" w:type="dxa"/>
                  <w:vMerge w:val="continue"/>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939" w:type="dxa"/>
                  <w:vMerge w:val="restart"/>
                  <w:tcBorders>
                    <w:top w:val="nil"/>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w:t>
                  </w:r>
                </w:p>
              </w:tc>
              <w:tc>
                <w:tcPr>
                  <w:tcW w:w="1145" w:type="dxa"/>
                  <w:vMerge w:val="restart"/>
                  <w:tcBorders>
                    <w:top w:val="nil"/>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w:t>
                  </w:r>
                </w:p>
              </w:tc>
              <w:tc>
                <w:tcPr>
                  <w:tcW w:w="1063"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auto"/>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0.00</w:t>
                  </w:r>
                  <w:r>
                    <w:rPr>
                      <w:rFonts w:hint="default" w:ascii="Times New Roman" w:hAnsi="Times New Roman" w:cs="Times New Roman"/>
                      <w:color w:val="auto"/>
                      <w:kern w:val="0"/>
                      <w:szCs w:val="21"/>
                      <w:lang w:val="en-US" w:eastAsia="zh-CN"/>
                    </w:rPr>
                    <w:t>028</w:t>
                  </w:r>
                </w:p>
              </w:tc>
              <w:tc>
                <w:tcPr>
                  <w:tcW w:w="921" w:type="dxa"/>
                  <w:vMerge w:val="restart"/>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936" w:type="dxa"/>
                  <w:vMerge w:val="restart"/>
                  <w:tcBorders>
                    <w:top w:val="nil"/>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w:t>
                  </w:r>
                </w:p>
              </w:tc>
              <w:tc>
                <w:tcPr>
                  <w:tcW w:w="634" w:type="dxa"/>
                  <w:vMerge w:val="continue"/>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1115" w:type="dxa"/>
                  <w:vMerge w:val="restart"/>
                  <w:tcBorders>
                    <w:top w:val="nil"/>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w:t>
                  </w:r>
                </w:p>
              </w:tc>
              <w:tc>
                <w:tcPr>
                  <w:tcW w:w="1014" w:type="dxa"/>
                  <w:vMerge w:val="restart"/>
                  <w:tcBorders>
                    <w:top w:val="nil"/>
                    <w:left w:val="nil"/>
                    <w:bottom w:val="single" w:color="auto" w:sz="4" w:space="0"/>
                    <w:right w:val="single" w:color="auto" w:sz="4" w:space="0"/>
                  </w:tcBorders>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w:t>
                  </w:r>
                </w:p>
              </w:tc>
              <w:tc>
                <w:tcPr>
                  <w:tcW w:w="1109" w:type="dxa"/>
                  <w:tcBorders>
                    <w:top w:val="single" w:color="auto" w:sz="4" w:space="0"/>
                    <w:left w:val="nil"/>
                    <w:bottom w:val="single" w:color="auto" w:sz="4" w:space="0"/>
                    <w:right w:val="single" w:color="auto" w:sz="4" w:space="0"/>
                  </w:tcBorders>
                  <w:noWrap w:val="0"/>
                  <w:vAlign w:val="center"/>
                </w:tcPr>
                <w:p>
                  <w:pPr>
                    <w:adjustRightInd w:val="0"/>
                    <w:snapToGrid w:val="0"/>
                    <w:spacing w:line="36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0.00</w:t>
                  </w:r>
                  <w:r>
                    <w:rPr>
                      <w:rFonts w:hint="default" w:ascii="Times New Roman" w:hAnsi="Times New Roman" w:cs="Times New Roman"/>
                      <w:color w:val="auto"/>
                      <w:kern w:val="0"/>
                      <w:szCs w:val="21"/>
                      <w:lang w:val="en-US" w:eastAsia="zh-CN"/>
                    </w:rPr>
                    <w:t>028</w:t>
                  </w:r>
                </w:p>
              </w:tc>
              <w:tc>
                <w:tcPr>
                  <w:tcW w:w="678" w:type="dxa"/>
                  <w:vMerge w:val="continue"/>
                  <w:tcBorders>
                    <w:top w:val="nil"/>
                    <w:left w:val="nil"/>
                    <w:bottom w:val="single" w:color="auto" w:sz="4" w:space="0"/>
                    <w:right w:val="nil"/>
                  </w:tcBorders>
                  <w:noWrap w:val="0"/>
                  <w:vAlign w:val="center"/>
                </w:tcPr>
                <w:p>
                  <w:pPr>
                    <w:widowControl/>
                    <w:jc w:val="left"/>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7" w:type="dxa"/>
                  <w:vMerge w:val="continue"/>
                  <w:tcBorders>
                    <w:top w:val="nil"/>
                    <w:left w:val="nil"/>
                    <w:bottom w:val="single" w:color="auto" w:sz="12"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637" w:type="dxa"/>
                  <w:vMerge w:val="continue"/>
                  <w:tcBorders>
                    <w:top w:val="nil"/>
                    <w:left w:val="nil"/>
                    <w:bottom w:val="single" w:color="auto" w:sz="12"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634" w:type="dxa"/>
                  <w:vMerge w:val="continue"/>
                  <w:tcBorders>
                    <w:top w:val="nil"/>
                    <w:left w:val="nil"/>
                    <w:bottom w:val="single" w:color="auto" w:sz="12"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873" w:type="dxa"/>
                  <w:tcBorders>
                    <w:top w:val="single" w:color="auto" w:sz="4" w:space="0"/>
                    <w:left w:val="nil"/>
                    <w:bottom w:val="single" w:color="auto" w:sz="12" w:space="0"/>
                    <w:right w:val="single" w:color="auto" w:sz="4" w:space="0"/>
                  </w:tcBorders>
                  <w:noWrap w:val="0"/>
                  <w:vAlign w:val="center"/>
                </w:tcPr>
                <w:p>
                  <w:pPr>
                    <w:spacing w:line="3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p>
              </w:tc>
              <w:tc>
                <w:tcPr>
                  <w:tcW w:w="634" w:type="dxa"/>
                  <w:vMerge w:val="continue"/>
                  <w:tcBorders>
                    <w:top w:val="nil"/>
                    <w:left w:val="nil"/>
                    <w:bottom w:val="single" w:color="auto" w:sz="12"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939" w:type="dxa"/>
                  <w:vMerge w:val="continue"/>
                  <w:tcBorders>
                    <w:top w:val="nil"/>
                    <w:left w:val="nil"/>
                    <w:bottom w:val="single" w:color="auto" w:sz="12"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1145" w:type="dxa"/>
                  <w:vMerge w:val="continue"/>
                  <w:tcBorders>
                    <w:top w:val="nil"/>
                    <w:left w:val="nil"/>
                    <w:bottom w:val="single" w:color="auto" w:sz="12"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1063" w:type="dxa"/>
                  <w:tcBorders>
                    <w:top w:val="single" w:color="auto" w:sz="4" w:space="0"/>
                    <w:left w:val="nil"/>
                    <w:bottom w:val="single" w:color="auto" w:sz="12" w:space="0"/>
                    <w:right w:val="single" w:color="auto" w:sz="4" w:space="0"/>
                  </w:tcBorders>
                  <w:noWrap w:val="0"/>
                  <w:vAlign w:val="center"/>
                </w:tcPr>
                <w:p>
                  <w:pPr>
                    <w:adjustRightInd w:val="0"/>
                    <w:snapToGrid w:val="0"/>
                    <w:spacing w:line="360" w:lineRule="auto"/>
                    <w:jc w:val="center"/>
                    <w:rPr>
                      <w:rFonts w:hint="default" w:ascii="Times New Roman" w:hAnsi="Times New Roman" w:cs="Times New Roman"/>
                      <w:color w:val="auto"/>
                      <w:kern w:val="0"/>
                      <w:szCs w:val="21"/>
                      <w:lang w:val="en-US"/>
                    </w:rPr>
                  </w:pPr>
                  <w:r>
                    <w:rPr>
                      <w:rFonts w:hint="default" w:ascii="Times New Roman" w:hAnsi="Times New Roman" w:cs="Times New Roman"/>
                      <w:color w:val="auto"/>
                      <w:kern w:val="0"/>
                      <w:szCs w:val="21"/>
                      <w:lang w:val="en-US" w:eastAsia="zh-CN"/>
                    </w:rPr>
                    <w:t>0.0104</w:t>
                  </w:r>
                </w:p>
              </w:tc>
              <w:tc>
                <w:tcPr>
                  <w:tcW w:w="921" w:type="dxa"/>
                  <w:vMerge w:val="continue"/>
                  <w:tcBorders>
                    <w:top w:val="nil"/>
                    <w:left w:val="nil"/>
                    <w:bottom w:val="single" w:color="auto" w:sz="12"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936" w:type="dxa"/>
                  <w:vMerge w:val="continue"/>
                  <w:tcBorders>
                    <w:top w:val="nil"/>
                    <w:left w:val="nil"/>
                    <w:bottom w:val="single" w:color="auto" w:sz="12"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634" w:type="dxa"/>
                  <w:vMerge w:val="continue"/>
                  <w:tcBorders>
                    <w:top w:val="nil"/>
                    <w:left w:val="nil"/>
                    <w:bottom w:val="single" w:color="auto" w:sz="12"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1115" w:type="dxa"/>
                  <w:vMerge w:val="continue"/>
                  <w:tcBorders>
                    <w:top w:val="nil"/>
                    <w:left w:val="nil"/>
                    <w:bottom w:val="single" w:color="auto" w:sz="12"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1014" w:type="dxa"/>
                  <w:vMerge w:val="continue"/>
                  <w:tcBorders>
                    <w:top w:val="nil"/>
                    <w:left w:val="nil"/>
                    <w:bottom w:val="single" w:color="auto" w:sz="12"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1109" w:type="dxa"/>
                  <w:tcBorders>
                    <w:top w:val="single" w:color="auto" w:sz="4" w:space="0"/>
                    <w:left w:val="nil"/>
                    <w:bottom w:val="single" w:color="auto" w:sz="12" w:space="0"/>
                    <w:right w:val="single" w:color="auto" w:sz="4" w:space="0"/>
                  </w:tcBorders>
                  <w:noWrap w:val="0"/>
                  <w:vAlign w:val="center"/>
                </w:tcPr>
                <w:p>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val="en-US" w:eastAsia="zh-CN"/>
                    </w:rPr>
                    <w:t>0.0104</w:t>
                  </w:r>
                </w:p>
              </w:tc>
              <w:tc>
                <w:tcPr>
                  <w:tcW w:w="678" w:type="dxa"/>
                  <w:vMerge w:val="continue"/>
                  <w:tcBorders>
                    <w:top w:val="nil"/>
                    <w:left w:val="nil"/>
                    <w:bottom w:val="single" w:color="auto" w:sz="12" w:space="0"/>
                    <w:right w:val="nil"/>
                  </w:tcBorders>
                  <w:noWrap w:val="0"/>
                  <w:vAlign w:val="center"/>
                </w:tcPr>
                <w:p>
                  <w:pPr>
                    <w:widowControl/>
                    <w:jc w:val="left"/>
                    <w:rPr>
                      <w:rFonts w:hint="default" w:ascii="Times New Roman" w:hAnsi="Times New Roman" w:cs="Times New Roman"/>
                      <w:color w:val="auto"/>
                      <w:kern w:val="0"/>
                      <w:szCs w:val="21"/>
                    </w:rPr>
                  </w:pPr>
                </w:p>
              </w:tc>
            </w:tr>
          </w:tbl>
          <w:p>
            <w:pPr>
              <w:pStyle w:val="15"/>
              <w:spacing w:before="60"/>
              <w:ind w:left="936"/>
              <w:rPr>
                <w:rFonts w:hint="default" w:ascii="Times New Roman" w:hAnsi="Times New Roman" w:cs="Times New Roman"/>
                <w:color w:val="auto"/>
              </w:rPr>
            </w:pPr>
            <w:r>
              <w:rPr>
                <w:rFonts w:hint="default" w:ascii="Times New Roman" w:hAnsi="Times New Roman" w:cs="Times New Roman"/>
                <w:color w:val="auto"/>
              </w:rPr>
              <w:t xml:space="preserve">污水处理厂各阶段水质控制目标见下表： </w:t>
            </w:r>
          </w:p>
          <w:p>
            <w:pPr>
              <w:spacing w:line="240" w:lineRule="auto"/>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4"/>
                <w:szCs w:val="24"/>
              </w:rPr>
              <w:t>表 5</w:t>
            </w:r>
            <w:r>
              <w:rPr>
                <w:rFonts w:hint="default" w:ascii="Times New Roman" w:hAnsi="Times New Roman" w:cs="Times New Roman"/>
                <w:b/>
                <w:bCs/>
                <w:color w:val="auto"/>
                <w:sz w:val="24"/>
                <w:szCs w:val="24"/>
                <w:lang w:val="en-US" w:eastAsia="zh-CN"/>
              </w:rPr>
              <w:t>-8</w:t>
            </w:r>
            <w:r>
              <w:rPr>
                <w:rFonts w:hint="default" w:ascii="Times New Roman" w:hAnsi="Times New Roman" w:cs="Times New Roman"/>
                <w:b/>
                <w:bCs/>
                <w:color w:val="auto"/>
                <w:sz w:val="24"/>
                <w:szCs w:val="24"/>
              </w:rPr>
              <w:t xml:space="preserve"> 各处理构筑物进出水指标及预期除率表</w:t>
            </w:r>
            <w:r>
              <w:rPr>
                <w:rFonts w:hint="default" w:ascii="Times New Roman" w:hAnsi="Times New Roman" w:cs="Times New Roman"/>
                <w:b/>
                <w:bCs/>
                <w:color w:val="auto"/>
                <w:sz w:val="28"/>
                <w:szCs w:val="28"/>
              </w:rPr>
              <w:t xml:space="preserve"> </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53"/>
              <w:gridCol w:w="1648"/>
              <w:gridCol w:w="1622"/>
              <w:gridCol w:w="1789"/>
              <w:gridCol w:w="1659"/>
              <w:gridCol w:w="1092"/>
              <w:gridCol w:w="1927"/>
              <w:gridCol w:w="17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pct"/>
                  <w:vMerge w:val="restart"/>
                  <w:tcBorders>
                    <w:top w:val="single" w:color="auto" w:sz="12" w:space="0"/>
                    <w:left w:val="nil"/>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工艺段</w:t>
                  </w:r>
                </w:p>
              </w:tc>
              <w:tc>
                <w:tcPr>
                  <w:tcW w:w="621" w:type="pct"/>
                  <w:tcBorders>
                    <w:top w:val="single" w:color="auto" w:sz="12"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水样类别</w:t>
                  </w:r>
                </w:p>
              </w:tc>
              <w:tc>
                <w:tcPr>
                  <w:tcW w:w="612" w:type="pct"/>
                  <w:tcBorders>
                    <w:top w:val="single" w:color="auto" w:sz="12"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r>
                    <w:rPr>
                      <w:rFonts w:hint="default" w:ascii="Times New Roman" w:hAnsi="Times New Roman" w:cs="Times New Roman"/>
                      <w:color w:val="auto"/>
                      <w:szCs w:val="21"/>
                      <w:vertAlign w:val="subscript"/>
                    </w:rPr>
                    <w:t>cr</w:t>
                  </w:r>
                </w:p>
              </w:tc>
              <w:tc>
                <w:tcPr>
                  <w:tcW w:w="675" w:type="pct"/>
                  <w:tcBorders>
                    <w:top w:val="single" w:color="auto" w:sz="12"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626" w:type="pct"/>
                  <w:tcBorders>
                    <w:top w:val="single" w:color="auto" w:sz="12"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412" w:type="pct"/>
                  <w:tcBorders>
                    <w:top w:val="single" w:color="auto" w:sz="12"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TN</w:t>
                  </w:r>
                </w:p>
              </w:tc>
              <w:tc>
                <w:tcPr>
                  <w:tcW w:w="727" w:type="pct"/>
                  <w:tcBorders>
                    <w:top w:val="single" w:color="auto" w:sz="12"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660" w:type="pct"/>
                  <w:tcBorders>
                    <w:top w:val="single" w:color="auto" w:sz="12"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pct"/>
                  <w:vMerge w:val="continue"/>
                  <w:tcBorders>
                    <w:top w:val="single" w:color="auto" w:sz="12" w:space="0"/>
                    <w:left w:val="nil"/>
                    <w:bottom w:val="single" w:color="auto" w:sz="4" w:space="0"/>
                    <w:right w:val="single" w:color="auto" w:sz="4" w:space="0"/>
                  </w:tcBorders>
                  <w:vAlign w:val="center"/>
                </w:tcPr>
                <w:p>
                  <w:pPr>
                    <w:widowControl/>
                    <w:spacing w:line="240" w:lineRule="auto"/>
                    <w:jc w:val="left"/>
                    <w:rPr>
                      <w:rFonts w:hint="default" w:ascii="Times New Roman" w:hAnsi="Times New Roman" w:cs="Times New Roman"/>
                      <w:color w:val="auto"/>
                      <w:szCs w:val="21"/>
                    </w:rPr>
                  </w:pPr>
                </w:p>
              </w:tc>
              <w:tc>
                <w:tcPr>
                  <w:tcW w:w="621"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(mg/L)</w:t>
                  </w:r>
                </w:p>
              </w:tc>
              <w:tc>
                <w:tcPr>
                  <w:tcW w:w="67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(mg/L)</w:t>
                  </w:r>
                </w:p>
              </w:tc>
              <w:tc>
                <w:tcPr>
                  <w:tcW w:w="62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(mg/L)</w:t>
                  </w:r>
                </w:p>
              </w:tc>
              <w:tc>
                <w:tcPr>
                  <w:tcW w:w="4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(mg/L)</w:t>
                  </w:r>
                </w:p>
              </w:tc>
              <w:tc>
                <w:tcPr>
                  <w:tcW w:w="72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(mg/L)</w:t>
                  </w:r>
                </w:p>
              </w:tc>
              <w:tc>
                <w:tcPr>
                  <w:tcW w:w="66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pct"/>
                  <w:vMerge w:val="restart"/>
                  <w:tcBorders>
                    <w:top w:val="single" w:color="auto" w:sz="4" w:space="0"/>
                    <w:left w:val="nil"/>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气浮</w:t>
                  </w:r>
                </w:p>
              </w:tc>
              <w:tc>
                <w:tcPr>
                  <w:tcW w:w="621"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进水</w:t>
                  </w:r>
                </w:p>
              </w:tc>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20000</w:t>
                  </w:r>
                </w:p>
              </w:tc>
              <w:tc>
                <w:tcPr>
                  <w:tcW w:w="67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12000</w:t>
                  </w:r>
                </w:p>
              </w:tc>
              <w:tc>
                <w:tcPr>
                  <w:tcW w:w="62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1500</w:t>
                  </w:r>
                </w:p>
              </w:tc>
              <w:tc>
                <w:tcPr>
                  <w:tcW w:w="4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2000</w:t>
                  </w:r>
                </w:p>
              </w:tc>
              <w:tc>
                <w:tcPr>
                  <w:tcW w:w="72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500</w:t>
                  </w:r>
                </w:p>
              </w:tc>
              <w:tc>
                <w:tcPr>
                  <w:tcW w:w="66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pct"/>
                  <w:vMerge w:val="continue"/>
                  <w:tcBorders>
                    <w:top w:val="single" w:color="auto" w:sz="4" w:space="0"/>
                    <w:left w:val="nil"/>
                    <w:bottom w:val="single" w:color="auto" w:sz="4" w:space="0"/>
                    <w:right w:val="single" w:color="auto" w:sz="4" w:space="0"/>
                  </w:tcBorders>
                  <w:vAlign w:val="center"/>
                </w:tcPr>
                <w:p>
                  <w:pPr>
                    <w:widowControl/>
                    <w:spacing w:line="240" w:lineRule="auto"/>
                    <w:jc w:val="left"/>
                    <w:rPr>
                      <w:rFonts w:hint="default" w:ascii="Times New Roman" w:hAnsi="Times New Roman" w:cs="Times New Roman"/>
                      <w:color w:val="auto"/>
                      <w:szCs w:val="21"/>
                    </w:rPr>
                  </w:pPr>
                </w:p>
              </w:tc>
              <w:tc>
                <w:tcPr>
                  <w:tcW w:w="621"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出水</w:t>
                  </w:r>
                </w:p>
              </w:tc>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10000</w:t>
                  </w:r>
                </w:p>
              </w:tc>
              <w:tc>
                <w:tcPr>
                  <w:tcW w:w="67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3000</w:t>
                  </w:r>
                </w:p>
              </w:tc>
              <w:tc>
                <w:tcPr>
                  <w:tcW w:w="62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1500</w:t>
                  </w:r>
                </w:p>
              </w:tc>
              <w:tc>
                <w:tcPr>
                  <w:tcW w:w="4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2000</w:t>
                  </w:r>
                </w:p>
              </w:tc>
              <w:tc>
                <w:tcPr>
                  <w:tcW w:w="72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66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pct"/>
                  <w:vMerge w:val="continue"/>
                  <w:tcBorders>
                    <w:top w:val="single" w:color="auto" w:sz="4" w:space="0"/>
                    <w:left w:val="nil"/>
                    <w:bottom w:val="single" w:color="auto" w:sz="4" w:space="0"/>
                    <w:right w:val="single" w:color="auto" w:sz="4" w:space="0"/>
                  </w:tcBorders>
                  <w:vAlign w:val="center"/>
                </w:tcPr>
                <w:p>
                  <w:pPr>
                    <w:widowControl/>
                    <w:spacing w:line="240" w:lineRule="auto"/>
                    <w:jc w:val="left"/>
                    <w:rPr>
                      <w:rFonts w:hint="default" w:ascii="Times New Roman" w:hAnsi="Times New Roman" w:cs="Times New Roman"/>
                      <w:color w:val="auto"/>
                      <w:szCs w:val="21"/>
                    </w:rPr>
                  </w:pPr>
                </w:p>
              </w:tc>
              <w:tc>
                <w:tcPr>
                  <w:tcW w:w="621"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去除率</w:t>
                  </w:r>
                </w:p>
              </w:tc>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67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75%</w:t>
                  </w:r>
                </w:p>
              </w:tc>
              <w:tc>
                <w:tcPr>
                  <w:tcW w:w="62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4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72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30.0%</w:t>
                  </w:r>
                </w:p>
              </w:tc>
              <w:tc>
                <w:tcPr>
                  <w:tcW w:w="66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pct"/>
                  <w:vMerge w:val="restart"/>
                  <w:tcBorders>
                    <w:top w:val="single" w:color="auto" w:sz="4" w:space="0"/>
                    <w:left w:val="nil"/>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预处理</w:t>
                  </w:r>
                </w:p>
              </w:tc>
              <w:tc>
                <w:tcPr>
                  <w:tcW w:w="621"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初始进水</w:t>
                  </w:r>
                </w:p>
              </w:tc>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10000</w:t>
                  </w:r>
                </w:p>
              </w:tc>
              <w:tc>
                <w:tcPr>
                  <w:tcW w:w="67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3000</w:t>
                  </w:r>
                </w:p>
              </w:tc>
              <w:tc>
                <w:tcPr>
                  <w:tcW w:w="62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2500</w:t>
                  </w:r>
                </w:p>
              </w:tc>
              <w:tc>
                <w:tcPr>
                  <w:tcW w:w="4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3000</w:t>
                  </w:r>
                </w:p>
              </w:tc>
              <w:tc>
                <w:tcPr>
                  <w:tcW w:w="72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500</w:t>
                  </w:r>
                </w:p>
              </w:tc>
              <w:tc>
                <w:tcPr>
                  <w:tcW w:w="66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pct"/>
                  <w:vMerge w:val="continue"/>
                  <w:tcBorders>
                    <w:top w:val="single" w:color="auto" w:sz="4" w:space="0"/>
                    <w:left w:val="nil"/>
                    <w:bottom w:val="single" w:color="auto" w:sz="4" w:space="0"/>
                    <w:right w:val="single" w:color="auto" w:sz="4" w:space="0"/>
                  </w:tcBorders>
                  <w:vAlign w:val="center"/>
                </w:tcPr>
                <w:p>
                  <w:pPr>
                    <w:widowControl/>
                    <w:spacing w:line="240" w:lineRule="auto"/>
                    <w:jc w:val="left"/>
                    <w:rPr>
                      <w:rFonts w:hint="default" w:ascii="Times New Roman" w:hAnsi="Times New Roman" w:cs="Times New Roman"/>
                      <w:color w:val="auto"/>
                      <w:szCs w:val="21"/>
                    </w:rPr>
                  </w:pPr>
                </w:p>
              </w:tc>
              <w:tc>
                <w:tcPr>
                  <w:tcW w:w="621"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出水</w:t>
                  </w:r>
                </w:p>
              </w:tc>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10000</w:t>
                  </w:r>
                </w:p>
              </w:tc>
              <w:tc>
                <w:tcPr>
                  <w:tcW w:w="67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3000</w:t>
                  </w:r>
                </w:p>
              </w:tc>
              <w:tc>
                <w:tcPr>
                  <w:tcW w:w="62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2500</w:t>
                  </w:r>
                </w:p>
              </w:tc>
              <w:tc>
                <w:tcPr>
                  <w:tcW w:w="4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3000</w:t>
                  </w:r>
                </w:p>
              </w:tc>
              <w:tc>
                <w:tcPr>
                  <w:tcW w:w="72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66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pct"/>
                  <w:vMerge w:val="continue"/>
                  <w:tcBorders>
                    <w:top w:val="single" w:color="auto" w:sz="4" w:space="0"/>
                    <w:left w:val="nil"/>
                    <w:bottom w:val="single" w:color="auto" w:sz="4" w:space="0"/>
                    <w:right w:val="single" w:color="auto" w:sz="4" w:space="0"/>
                  </w:tcBorders>
                  <w:vAlign w:val="center"/>
                </w:tcPr>
                <w:p>
                  <w:pPr>
                    <w:widowControl/>
                    <w:spacing w:line="240" w:lineRule="auto"/>
                    <w:jc w:val="left"/>
                    <w:rPr>
                      <w:rFonts w:hint="default" w:ascii="Times New Roman" w:hAnsi="Times New Roman" w:cs="Times New Roman"/>
                      <w:color w:val="auto"/>
                      <w:szCs w:val="21"/>
                    </w:rPr>
                  </w:pPr>
                </w:p>
              </w:tc>
              <w:tc>
                <w:tcPr>
                  <w:tcW w:w="621"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截留率</w:t>
                  </w:r>
                </w:p>
              </w:tc>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67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62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4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72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90%</w:t>
                  </w:r>
                </w:p>
              </w:tc>
              <w:tc>
                <w:tcPr>
                  <w:tcW w:w="66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pct"/>
                  <w:vMerge w:val="restart"/>
                  <w:tcBorders>
                    <w:top w:val="single" w:color="auto" w:sz="4" w:space="0"/>
                    <w:left w:val="nil"/>
                    <w:bottom w:val="single" w:color="auto" w:sz="4" w:space="0"/>
                    <w:right w:val="single" w:color="auto" w:sz="4" w:space="0"/>
                  </w:tcBorders>
                  <w:noWrap/>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一级DTRO</w:t>
                  </w:r>
                </w:p>
              </w:tc>
              <w:tc>
                <w:tcPr>
                  <w:tcW w:w="62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混合水质</w:t>
                  </w:r>
                </w:p>
              </w:tc>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9565.56</w:t>
                  </w:r>
                </w:p>
              </w:tc>
              <w:tc>
                <w:tcPr>
                  <w:tcW w:w="67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2869.67</w:t>
                  </w:r>
                </w:p>
              </w:tc>
              <w:tc>
                <w:tcPr>
                  <w:tcW w:w="62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2481.39</w:t>
                  </w:r>
                </w:p>
              </w:tc>
              <w:tc>
                <w:tcPr>
                  <w:tcW w:w="4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2977.67</w:t>
                  </w:r>
                </w:p>
              </w:tc>
              <w:tc>
                <w:tcPr>
                  <w:tcW w:w="72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46.51</w:t>
                  </w:r>
                </w:p>
              </w:tc>
              <w:tc>
                <w:tcPr>
                  <w:tcW w:w="66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16.74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pct"/>
                  <w:vMerge w:val="continue"/>
                  <w:tcBorders>
                    <w:top w:val="single" w:color="auto" w:sz="4" w:space="0"/>
                    <w:left w:val="nil"/>
                    <w:bottom w:val="single" w:color="auto" w:sz="4" w:space="0"/>
                    <w:right w:val="single" w:color="auto" w:sz="4" w:space="0"/>
                  </w:tcBorders>
                  <w:vAlign w:val="center"/>
                </w:tcPr>
                <w:p>
                  <w:pPr>
                    <w:widowControl/>
                    <w:spacing w:line="240" w:lineRule="auto"/>
                    <w:jc w:val="left"/>
                    <w:rPr>
                      <w:rFonts w:hint="default" w:ascii="Times New Roman" w:hAnsi="Times New Roman" w:cs="Times New Roman"/>
                      <w:color w:val="auto"/>
                      <w:szCs w:val="21"/>
                    </w:rPr>
                  </w:pPr>
                </w:p>
              </w:tc>
              <w:tc>
                <w:tcPr>
                  <w:tcW w:w="62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进水</w:t>
                  </w:r>
                </w:p>
              </w:tc>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9565.56</w:t>
                  </w:r>
                </w:p>
              </w:tc>
              <w:tc>
                <w:tcPr>
                  <w:tcW w:w="67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2869.67</w:t>
                  </w:r>
                </w:p>
              </w:tc>
              <w:tc>
                <w:tcPr>
                  <w:tcW w:w="62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2481.39</w:t>
                  </w:r>
                </w:p>
              </w:tc>
              <w:tc>
                <w:tcPr>
                  <w:tcW w:w="4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2977.67</w:t>
                  </w:r>
                </w:p>
              </w:tc>
              <w:tc>
                <w:tcPr>
                  <w:tcW w:w="72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46.51</w:t>
                  </w:r>
                </w:p>
              </w:tc>
              <w:tc>
                <w:tcPr>
                  <w:tcW w:w="66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16.74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2" w:type="pct"/>
                  <w:vMerge w:val="continue"/>
                  <w:tcBorders>
                    <w:top w:val="single" w:color="auto" w:sz="4" w:space="0"/>
                    <w:left w:val="nil"/>
                    <w:bottom w:val="single" w:color="auto" w:sz="4" w:space="0"/>
                    <w:right w:val="single" w:color="auto" w:sz="4" w:space="0"/>
                  </w:tcBorders>
                  <w:vAlign w:val="center"/>
                </w:tcPr>
                <w:p>
                  <w:pPr>
                    <w:widowControl/>
                    <w:spacing w:line="240" w:lineRule="auto"/>
                    <w:jc w:val="left"/>
                    <w:rPr>
                      <w:rFonts w:hint="default" w:ascii="Times New Roman" w:hAnsi="Times New Roman" w:cs="Times New Roman"/>
                      <w:color w:val="auto"/>
                      <w:szCs w:val="21"/>
                    </w:rPr>
                  </w:pPr>
                </w:p>
              </w:tc>
              <w:tc>
                <w:tcPr>
                  <w:tcW w:w="62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产水</w:t>
                  </w:r>
                </w:p>
              </w:tc>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478.28</w:t>
                  </w:r>
                </w:p>
              </w:tc>
              <w:tc>
                <w:tcPr>
                  <w:tcW w:w="67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143.48</w:t>
                  </w:r>
                </w:p>
              </w:tc>
              <w:tc>
                <w:tcPr>
                  <w:tcW w:w="62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248.14</w:t>
                  </w:r>
                </w:p>
              </w:tc>
              <w:tc>
                <w:tcPr>
                  <w:tcW w:w="4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297.77</w:t>
                  </w:r>
                </w:p>
              </w:tc>
              <w:tc>
                <w:tcPr>
                  <w:tcW w:w="72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0.47</w:t>
                  </w:r>
                </w:p>
              </w:tc>
              <w:tc>
                <w:tcPr>
                  <w:tcW w:w="66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5.02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pct"/>
                  <w:vMerge w:val="continue"/>
                  <w:tcBorders>
                    <w:top w:val="single" w:color="auto" w:sz="4" w:space="0"/>
                    <w:left w:val="nil"/>
                    <w:bottom w:val="single" w:color="auto" w:sz="4" w:space="0"/>
                    <w:right w:val="single" w:color="auto" w:sz="4" w:space="0"/>
                  </w:tcBorders>
                  <w:vAlign w:val="center"/>
                </w:tcPr>
                <w:p>
                  <w:pPr>
                    <w:widowControl/>
                    <w:spacing w:line="240" w:lineRule="auto"/>
                    <w:jc w:val="left"/>
                    <w:rPr>
                      <w:rFonts w:hint="default" w:ascii="Times New Roman" w:hAnsi="Times New Roman" w:cs="Times New Roman"/>
                      <w:color w:val="auto"/>
                      <w:szCs w:val="21"/>
                    </w:rPr>
                  </w:pPr>
                </w:p>
              </w:tc>
              <w:tc>
                <w:tcPr>
                  <w:tcW w:w="62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浓水</w:t>
                  </w:r>
                </w:p>
              </w:tc>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39856.52</w:t>
                  </w:r>
                </w:p>
              </w:tc>
              <w:tc>
                <w:tcPr>
                  <w:tcW w:w="67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11956.95</w:t>
                  </w:r>
                </w:p>
              </w:tc>
              <w:tc>
                <w:tcPr>
                  <w:tcW w:w="62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9925.56</w:t>
                  </w:r>
                </w:p>
              </w:tc>
              <w:tc>
                <w:tcPr>
                  <w:tcW w:w="4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11910.67</w:t>
                  </w:r>
                </w:p>
              </w:tc>
              <w:tc>
                <w:tcPr>
                  <w:tcW w:w="72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199.99</w:t>
                  </w:r>
                </w:p>
              </w:tc>
              <w:tc>
                <w:tcPr>
                  <w:tcW w:w="66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71.98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pct"/>
                  <w:vMerge w:val="continue"/>
                  <w:tcBorders>
                    <w:top w:val="single" w:color="auto" w:sz="4" w:space="0"/>
                    <w:left w:val="nil"/>
                    <w:bottom w:val="single" w:color="auto" w:sz="4" w:space="0"/>
                    <w:right w:val="single" w:color="auto" w:sz="4" w:space="0"/>
                  </w:tcBorders>
                  <w:vAlign w:val="center"/>
                </w:tcPr>
                <w:p>
                  <w:pPr>
                    <w:widowControl/>
                    <w:spacing w:line="240" w:lineRule="auto"/>
                    <w:jc w:val="left"/>
                    <w:rPr>
                      <w:rFonts w:hint="default" w:ascii="Times New Roman" w:hAnsi="Times New Roman" w:cs="Times New Roman"/>
                      <w:color w:val="auto"/>
                      <w:szCs w:val="21"/>
                    </w:rPr>
                  </w:pPr>
                </w:p>
              </w:tc>
              <w:tc>
                <w:tcPr>
                  <w:tcW w:w="621"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截留率</w:t>
                  </w:r>
                </w:p>
              </w:tc>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95%</w:t>
                  </w:r>
                </w:p>
              </w:tc>
              <w:tc>
                <w:tcPr>
                  <w:tcW w:w="67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95%</w:t>
                  </w:r>
                </w:p>
              </w:tc>
              <w:tc>
                <w:tcPr>
                  <w:tcW w:w="62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90%</w:t>
                  </w:r>
                </w:p>
              </w:tc>
              <w:tc>
                <w:tcPr>
                  <w:tcW w:w="4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90%</w:t>
                  </w:r>
                </w:p>
              </w:tc>
              <w:tc>
                <w:tcPr>
                  <w:tcW w:w="72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99%</w:t>
                  </w:r>
                </w:p>
              </w:tc>
              <w:tc>
                <w:tcPr>
                  <w:tcW w:w="66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pct"/>
                  <w:vMerge w:val="restart"/>
                  <w:tcBorders>
                    <w:top w:val="single" w:color="auto" w:sz="4" w:space="0"/>
                    <w:left w:val="nil"/>
                    <w:bottom w:val="single" w:color="auto" w:sz="4" w:space="0"/>
                    <w:right w:val="single" w:color="auto" w:sz="4" w:space="0"/>
                  </w:tcBorders>
                  <w:noWrap/>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二级DTRO</w:t>
                  </w:r>
                </w:p>
              </w:tc>
              <w:tc>
                <w:tcPr>
                  <w:tcW w:w="62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进水</w:t>
                  </w:r>
                </w:p>
              </w:tc>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478.28</w:t>
                  </w:r>
                </w:p>
              </w:tc>
              <w:tc>
                <w:tcPr>
                  <w:tcW w:w="67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143.48</w:t>
                  </w:r>
                </w:p>
              </w:tc>
              <w:tc>
                <w:tcPr>
                  <w:tcW w:w="62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248.14</w:t>
                  </w:r>
                </w:p>
              </w:tc>
              <w:tc>
                <w:tcPr>
                  <w:tcW w:w="4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297.77</w:t>
                  </w:r>
                </w:p>
              </w:tc>
              <w:tc>
                <w:tcPr>
                  <w:tcW w:w="72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0.47</w:t>
                  </w:r>
                </w:p>
              </w:tc>
              <w:tc>
                <w:tcPr>
                  <w:tcW w:w="66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5.02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pct"/>
                  <w:vMerge w:val="continue"/>
                  <w:tcBorders>
                    <w:top w:val="single" w:color="auto" w:sz="4" w:space="0"/>
                    <w:left w:val="nil"/>
                    <w:bottom w:val="single" w:color="auto" w:sz="4" w:space="0"/>
                    <w:right w:val="single" w:color="auto" w:sz="4" w:space="0"/>
                  </w:tcBorders>
                  <w:vAlign w:val="center"/>
                </w:tcPr>
                <w:p>
                  <w:pPr>
                    <w:widowControl/>
                    <w:spacing w:line="240" w:lineRule="auto"/>
                    <w:jc w:val="left"/>
                    <w:rPr>
                      <w:rFonts w:hint="default" w:ascii="Times New Roman" w:hAnsi="Times New Roman" w:cs="Times New Roman"/>
                      <w:color w:val="auto"/>
                      <w:szCs w:val="21"/>
                    </w:rPr>
                  </w:pPr>
                </w:p>
              </w:tc>
              <w:tc>
                <w:tcPr>
                  <w:tcW w:w="62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产水</w:t>
                  </w:r>
                </w:p>
              </w:tc>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47.83</w:t>
                  </w:r>
                </w:p>
              </w:tc>
              <w:tc>
                <w:tcPr>
                  <w:tcW w:w="67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14.35</w:t>
                  </w:r>
                </w:p>
              </w:tc>
              <w:tc>
                <w:tcPr>
                  <w:tcW w:w="62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24.81</w:t>
                  </w:r>
                </w:p>
              </w:tc>
              <w:tc>
                <w:tcPr>
                  <w:tcW w:w="4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29.78</w:t>
                  </w:r>
                </w:p>
              </w:tc>
              <w:tc>
                <w:tcPr>
                  <w:tcW w:w="72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66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pct"/>
                  <w:vMerge w:val="continue"/>
                  <w:tcBorders>
                    <w:top w:val="single" w:color="auto" w:sz="4" w:space="0"/>
                    <w:left w:val="nil"/>
                    <w:bottom w:val="single" w:color="auto" w:sz="4" w:space="0"/>
                    <w:right w:val="single" w:color="auto" w:sz="4" w:space="0"/>
                  </w:tcBorders>
                  <w:vAlign w:val="center"/>
                </w:tcPr>
                <w:p>
                  <w:pPr>
                    <w:widowControl/>
                    <w:spacing w:line="240" w:lineRule="auto"/>
                    <w:jc w:val="left"/>
                    <w:rPr>
                      <w:rFonts w:hint="default" w:ascii="Times New Roman" w:hAnsi="Times New Roman" w:cs="Times New Roman"/>
                      <w:color w:val="auto"/>
                      <w:szCs w:val="21"/>
                    </w:rPr>
                  </w:pPr>
                </w:p>
              </w:tc>
              <w:tc>
                <w:tcPr>
                  <w:tcW w:w="62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浓水</w:t>
                  </w:r>
                </w:p>
              </w:tc>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4352.33</w:t>
                  </w:r>
                </w:p>
              </w:tc>
              <w:tc>
                <w:tcPr>
                  <w:tcW w:w="67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1305.70</w:t>
                  </w:r>
                </w:p>
              </w:tc>
              <w:tc>
                <w:tcPr>
                  <w:tcW w:w="62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2258.06</w:t>
                  </w:r>
                </w:p>
              </w:tc>
              <w:tc>
                <w:tcPr>
                  <w:tcW w:w="4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2709.68</w:t>
                  </w:r>
                </w:p>
              </w:tc>
              <w:tc>
                <w:tcPr>
                  <w:tcW w:w="72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4.61</w:t>
                  </w:r>
                </w:p>
              </w:tc>
              <w:tc>
                <w:tcPr>
                  <w:tcW w:w="66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49.24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62" w:type="pct"/>
                  <w:vMerge w:val="continue"/>
                  <w:tcBorders>
                    <w:top w:val="single" w:color="auto" w:sz="4" w:space="0"/>
                    <w:left w:val="nil"/>
                    <w:bottom w:val="single" w:color="auto" w:sz="4" w:space="0"/>
                    <w:right w:val="single" w:color="auto" w:sz="4" w:space="0"/>
                  </w:tcBorders>
                  <w:vAlign w:val="center"/>
                </w:tcPr>
                <w:p>
                  <w:pPr>
                    <w:widowControl/>
                    <w:spacing w:line="240" w:lineRule="auto"/>
                    <w:jc w:val="left"/>
                    <w:rPr>
                      <w:rFonts w:hint="default" w:ascii="Times New Roman" w:hAnsi="Times New Roman" w:cs="Times New Roman"/>
                      <w:color w:val="auto"/>
                      <w:szCs w:val="21"/>
                    </w:rPr>
                  </w:pPr>
                </w:p>
              </w:tc>
              <w:tc>
                <w:tcPr>
                  <w:tcW w:w="621"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截留率</w:t>
                  </w:r>
                </w:p>
              </w:tc>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90%</w:t>
                  </w:r>
                </w:p>
              </w:tc>
              <w:tc>
                <w:tcPr>
                  <w:tcW w:w="67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90%</w:t>
                  </w:r>
                </w:p>
              </w:tc>
              <w:tc>
                <w:tcPr>
                  <w:tcW w:w="62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90%</w:t>
                  </w:r>
                </w:p>
              </w:tc>
              <w:tc>
                <w:tcPr>
                  <w:tcW w:w="4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90%</w:t>
                  </w:r>
                </w:p>
              </w:tc>
              <w:tc>
                <w:tcPr>
                  <w:tcW w:w="72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99%</w:t>
                  </w:r>
                </w:p>
              </w:tc>
              <w:tc>
                <w:tcPr>
                  <w:tcW w:w="66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pct"/>
                  <w:vMerge w:val="restart"/>
                  <w:tcBorders>
                    <w:top w:val="single" w:color="auto" w:sz="4" w:space="0"/>
                    <w:left w:val="nil"/>
                    <w:bottom w:val="single" w:color="auto" w:sz="4" w:space="0"/>
                    <w:right w:val="single" w:color="auto" w:sz="4" w:space="0"/>
                  </w:tcBorders>
                  <w:noWrap/>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离子交换</w:t>
                  </w:r>
                </w:p>
              </w:tc>
              <w:tc>
                <w:tcPr>
                  <w:tcW w:w="62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进水</w:t>
                  </w:r>
                </w:p>
              </w:tc>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47.83</w:t>
                  </w:r>
                </w:p>
              </w:tc>
              <w:tc>
                <w:tcPr>
                  <w:tcW w:w="67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14.35</w:t>
                  </w:r>
                </w:p>
              </w:tc>
              <w:tc>
                <w:tcPr>
                  <w:tcW w:w="62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24.81</w:t>
                  </w:r>
                </w:p>
              </w:tc>
              <w:tc>
                <w:tcPr>
                  <w:tcW w:w="4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29.78</w:t>
                  </w:r>
                </w:p>
              </w:tc>
              <w:tc>
                <w:tcPr>
                  <w:tcW w:w="72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66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pct"/>
                  <w:vMerge w:val="continue"/>
                  <w:tcBorders>
                    <w:top w:val="single" w:color="auto" w:sz="4" w:space="0"/>
                    <w:left w:val="nil"/>
                    <w:bottom w:val="single" w:color="auto" w:sz="4" w:space="0"/>
                    <w:right w:val="single" w:color="auto" w:sz="4" w:space="0"/>
                  </w:tcBorders>
                  <w:vAlign w:val="center"/>
                </w:tcPr>
                <w:p>
                  <w:pPr>
                    <w:widowControl/>
                    <w:spacing w:line="240" w:lineRule="auto"/>
                    <w:jc w:val="left"/>
                    <w:rPr>
                      <w:rFonts w:hint="default" w:ascii="Times New Roman" w:hAnsi="Times New Roman" w:cs="Times New Roman"/>
                      <w:color w:val="auto"/>
                      <w:szCs w:val="21"/>
                    </w:rPr>
                  </w:pPr>
                </w:p>
              </w:tc>
              <w:tc>
                <w:tcPr>
                  <w:tcW w:w="62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产水</w:t>
                  </w:r>
                </w:p>
              </w:tc>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47.83</w:t>
                  </w:r>
                </w:p>
              </w:tc>
              <w:tc>
                <w:tcPr>
                  <w:tcW w:w="67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14.35</w:t>
                  </w:r>
                </w:p>
              </w:tc>
              <w:tc>
                <w:tcPr>
                  <w:tcW w:w="62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4.96</w:t>
                  </w:r>
                </w:p>
              </w:tc>
              <w:tc>
                <w:tcPr>
                  <w:tcW w:w="4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7.44</w:t>
                  </w:r>
                </w:p>
              </w:tc>
              <w:tc>
                <w:tcPr>
                  <w:tcW w:w="72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66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pct"/>
                  <w:vMerge w:val="continue"/>
                  <w:tcBorders>
                    <w:top w:val="single" w:color="auto" w:sz="4" w:space="0"/>
                    <w:left w:val="nil"/>
                    <w:bottom w:val="single" w:color="auto" w:sz="4" w:space="0"/>
                    <w:right w:val="single" w:color="auto" w:sz="4" w:space="0"/>
                  </w:tcBorders>
                  <w:vAlign w:val="center"/>
                </w:tcPr>
                <w:p>
                  <w:pPr>
                    <w:widowControl/>
                    <w:spacing w:line="240" w:lineRule="auto"/>
                    <w:jc w:val="left"/>
                    <w:rPr>
                      <w:rFonts w:hint="default" w:ascii="Times New Roman" w:hAnsi="Times New Roman" w:cs="Times New Roman"/>
                      <w:color w:val="auto"/>
                      <w:szCs w:val="21"/>
                    </w:rPr>
                  </w:pPr>
                </w:p>
              </w:tc>
              <w:tc>
                <w:tcPr>
                  <w:tcW w:w="621"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截留率</w:t>
                  </w:r>
                </w:p>
              </w:tc>
              <w:tc>
                <w:tcPr>
                  <w:tcW w:w="6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67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626"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41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75%</w:t>
                  </w:r>
                </w:p>
              </w:tc>
              <w:tc>
                <w:tcPr>
                  <w:tcW w:w="727"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99%</w:t>
                  </w:r>
                </w:p>
              </w:tc>
              <w:tc>
                <w:tcPr>
                  <w:tcW w:w="66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4" w:type="pct"/>
                  <w:gridSpan w:val="2"/>
                  <w:tcBorders>
                    <w:top w:val="single" w:color="auto" w:sz="4" w:space="0"/>
                    <w:left w:val="nil"/>
                    <w:bottom w:val="single" w:color="auto" w:sz="12" w:space="0"/>
                    <w:right w:val="single" w:color="auto" w:sz="4" w:space="0"/>
                  </w:tcBorders>
                  <w:noWrap/>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产水要求</w:t>
                  </w:r>
                </w:p>
              </w:tc>
              <w:tc>
                <w:tcPr>
                  <w:tcW w:w="612" w:type="pct"/>
                  <w:tcBorders>
                    <w:top w:val="single" w:color="auto" w:sz="4" w:space="0"/>
                    <w:left w:val="single" w:color="auto" w:sz="4" w:space="0"/>
                    <w:bottom w:val="single" w:color="auto" w:sz="12"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675" w:type="pct"/>
                  <w:tcBorders>
                    <w:top w:val="single" w:color="auto" w:sz="4" w:space="0"/>
                    <w:left w:val="single" w:color="auto" w:sz="4" w:space="0"/>
                    <w:bottom w:val="single" w:color="auto" w:sz="12"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626" w:type="pct"/>
                  <w:tcBorders>
                    <w:top w:val="single" w:color="auto" w:sz="4" w:space="0"/>
                    <w:left w:val="single" w:color="auto" w:sz="4" w:space="0"/>
                    <w:bottom w:val="single" w:color="auto" w:sz="12"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412" w:type="pct"/>
                  <w:tcBorders>
                    <w:top w:val="single" w:color="auto" w:sz="4" w:space="0"/>
                    <w:left w:val="single" w:color="auto" w:sz="4" w:space="0"/>
                    <w:bottom w:val="single" w:color="auto" w:sz="12"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727" w:type="pct"/>
                  <w:tcBorders>
                    <w:top w:val="single" w:color="auto" w:sz="4" w:space="0"/>
                    <w:left w:val="single" w:color="auto" w:sz="4" w:space="0"/>
                    <w:bottom w:val="single" w:color="auto" w:sz="12" w:space="0"/>
                    <w:right w:val="single" w:color="auto" w:sz="4" w:space="0"/>
                  </w:tcBorders>
                  <w:vAlign w:val="center"/>
                </w:tcPr>
                <w:p>
                  <w:pPr>
                    <w:widowControl/>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660" w:type="pct"/>
                  <w:tcBorders>
                    <w:top w:val="single" w:color="auto" w:sz="4" w:space="0"/>
                    <w:left w:val="single" w:color="auto" w:sz="4" w:space="0"/>
                    <w:bottom w:val="single" w:color="auto" w:sz="12" w:space="0"/>
                    <w:right w:val="single" w:color="auto" w:sz="4" w:space="0"/>
                  </w:tcBorders>
                  <w:vAlign w:val="center"/>
                </w:tcPr>
                <w:p>
                  <w:pPr>
                    <w:widowControl/>
                    <w:spacing w:line="36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3</w:t>
                  </w:r>
                </w:p>
              </w:tc>
            </w:tr>
          </w:tbl>
          <w:p>
            <w:pPr>
              <w:pStyle w:val="131"/>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5-9</w:t>
            </w:r>
            <w:r>
              <w:rPr>
                <w:rFonts w:hint="default" w:ascii="Times New Roman" w:hAnsi="Times New Roman" w:cs="Times New Roman"/>
                <w:b/>
                <w:bCs/>
                <w:color w:val="auto"/>
              </w:rPr>
              <w:t xml:space="preserve"> 噪声污染源源强核算结果及相关参数一览表</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1308"/>
              <w:gridCol w:w="1308"/>
              <w:gridCol w:w="1441"/>
              <w:gridCol w:w="887"/>
              <w:gridCol w:w="1083"/>
              <w:gridCol w:w="1671"/>
              <w:gridCol w:w="1102"/>
              <w:gridCol w:w="887"/>
              <w:gridCol w:w="1319"/>
              <w:gridCol w:w="9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77" w:type="pct"/>
                  <w:vMerge w:val="restart"/>
                  <w:noWrap w:val="0"/>
                  <w:vAlign w:val="center"/>
                </w:tcPr>
                <w:p>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装置</w:t>
                  </w:r>
                </w:p>
              </w:tc>
              <w:tc>
                <w:tcPr>
                  <w:tcW w:w="494" w:type="pct"/>
                  <w:vMerge w:val="restart"/>
                  <w:noWrap w:val="0"/>
                  <w:vAlign w:val="top"/>
                </w:tcPr>
                <w:p>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噪声源</w:t>
                  </w:r>
                </w:p>
              </w:tc>
              <w:tc>
                <w:tcPr>
                  <w:tcW w:w="494" w:type="pct"/>
                  <w:vMerge w:val="restart"/>
                  <w:noWrap w:val="0"/>
                  <w:vAlign w:val="center"/>
                </w:tcPr>
                <w:p>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台数</w:t>
                  </w:r>
                </w:p>
              </w:tc>
              <w:tc>
                <w:tcPr>
                  <w:tcW w:w="544" w:type="pct"/>
                  <w:vMerge w:val="restart"/>
                  <w:noWrap w:val="0"/>
                  <w:vAlign w:val="center"/>
                </w:tcPr>
                <w:p>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声源类型</w:t>
                  </w:r>
                </w:p>
              </w:tc>
              <w:tc>
                <w:tcPr>
                  <w:tcW w:w="744" w:type="pct"/>
                  <w:gridSpan w:val="2"/>
                  <w:noWrap w:val="0"/>
                  <w:vAlign w:val="center"/>
                </w:tcPr>
                <w:p>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噪声源强</w:t>
                  </w:r>
                </w:p>
              </w:tc>
              <w:tc>
                <w:tcPr>
                  <w:tcW w:w="1047" w:type="pct"/>
                  <w:gridSpan w:val="2"/>
                  <w:noWrap w:val="0"/>
                  <w:vAlign w:val="center"/>
                </w:tcPr>
                <w:p>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治理措施</w:t>
                  </w:r>
                </w:p>
              </w:tc>
              <w:tc>
                <w:tcPr>
                  <w:tcW w:w="833" w:type="pct"/>
                  <w:gridSpan w:val="2"/>
                  <w:noWrap w:val="0"/>
                  <w:vAlign w:val="center"/>
                </w:tcPr>
                <w:p>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噪声排放值</w:t>
                  </w:r>
                </w:p>
              </w:tc>
              <w:tc>
                <w:tcPr>
                  <w:tcW w:w="364" w:type="pct"/>
                  <w:vMerge w:val="restart"/>
                  <w:noWrap w:val="0"/>
                  <w:vAlign w:val="center"/>
                </w:tcPr>
                <w:p>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持续时间h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0" w:hRule="atLeast"/>
              </w:trPr>
              <w:tc>
                <w:tcPr>
                  <w:tcW w:w="477" w:type="pct"/>
                  <w:vMerge w:val="continue"/>
                  <w:noWrap w:val="0"/>
                  <w:vAlign w:val="center"/>
                </w:tcPr>
                <w:p>
                  <w:pPr>
                    <w:adjustRightInd w:val="0"/>
                    <w:snapToGrid w:val="0"/>
                    <w:spacing w:line="360" w:lineRule="auto"/>
                    <w:jc w:val="center"/>
                    <w:rPr>
                      <w:rFonts w:hint="default" w:ascii="Times New Roman" w:hAnsi="Times New Roman" w:cs="Times New Roman"/>
                      <w:color w:val="auto"/>
                      <w:szCs w:val="21"/>
                    </w:rPr>
                  </w:pPr>
                </w:p>
              </w:tc>
              <w:tc>
                <w:tcPr>
                  <w:tcW w:w="494" w:type="pct"/>
                  <w:vMerge w:val="continue"/>
                  <w:noWrap w:val="0"/>
                  <w:vAlign w:val="top"/>
                </w:tcPr>
                <w:p>
                  <w:pPr>
                    <w:adjustRightInd w:val="0"/>
                    <w:snapToGrid w:val="0"/>
                    <w:spacing w:line="360" w:lineRule="auto"/>
                    <w:jc w:val="center"/>
                    <w:rPr>
                      <w:rFonts w:hint="default" w:ascii="Times New Roman" w:hAnsi="Times New Roman" w:cs="Times New Roman"/>
                      <w:color w:val="auto"/>
                      <w:szCs w:val="21"/>
                    </w:rPr>
                  </w:pPr>
                </w:p>
              </w:tc>
              <w:tc>
                <w:tcPr>
                  <w:tcW w:w="494" w:type="pct"/>
                  <w:vMerge w:val="continue"/>
                  <w:noWrap w:val="0"/>
                  <w:vAlign w:val="center"/>
                </w:tcPr>
                <w:p>
                  <w:pPr>
                    <w:adjustRightInd w:val="0"/>
                    <w:snapToGrid w:val="0"/>
                    <w:spacing w:line="360" w:lineRule="auto"/>
                    <w:jc w:val="center"/>
                    <w:rPr>
                      <w:rFonts w:hint="default" w:ascii="Times New Roman" w:hAnsi="Times New Roman" w:cs="Times New Roman"/>
                      <w:color w:val="auto"/>
                      <w:szCs w:val="21"/>
                    </w:rPr>
                  </w:pPr>
                </w:p>
              </w:tc>
              <w:tc>
                <w:tcPr>
                  <w:tcW w:w="544" w:type="pct"/>
                  <w:vMerge w:val="continue"/>
                  <w:noWrap w:val="0"/>
                  <w:vAlign w:val="center"/>
                </w:tcPr>
                <w:p>
                  <w:pPr>
                    <w:adjustRightInd w:val="0"/>
                    <w:snapToGrid w:val="0"/>
                    <w:spacing w:line="360" w:lineRule="auto"/>
                    <w:jc w:val="center"/>
                    <w:rPr>
                      <w:rFonts w:hint="default" w:ascii="Times New Roman" w:hAnsi="Times New Roman" w:cs="Times New Roman"/>
                      <w:color w:val="auto"/>
                      <w:szCs w:val="21"/>
                    </w:rPr>
                  </w:pPr>
                </w:p>
              </w:tc>
              <w:tc>
                <w:tcPr>
                  <w:tcW w:w="335" w:type="pct"/>
                  <w:noWrap w:val="0"/>
                  <w:vAlign w:val="center"/>
                </w:tcPr>
                <w:p>
                  <w:pPr>
                    <w:pStyle w:val="130"/>
                    <w:adjustRightInd w:val="0"/>
                    <w:snapToGrid w:val="0"/>
                    <w:spacing w:line="360" w:lineRule="auto"/>
                    <w:rPr>
                      <w:rFonts w:hint="default" w:ascii="Times New Roman" w:hAnsi="Times New Roman" w:cs="Times New Roman"/>
                      <w:color w:val="auto"/>
                      <w:kern w:val="2"/>
                    </w:rPr>
                  </w:pPr>
                  <w:r>
                    <w:rPr>
                      <w:rFonts w:hint="default" w:ascii="Times New Roman" w:hAnsi="Times New Roman" w:cs="Times New Roman"/>
                      <w:color w:val="auto"/>
                      <w:kern w:val="2"/>
                    </w:rPr>
                    <w:t>核算方法</w:t>
                  </w:r>
                </w:p>
              </w:tc>
              <w:tc>
                <w:tcPr>
                  <w:tcW w:w="409" w:type="pct"/>
                  <w:noWrap w:val="0"/>
                  <w:vAlign w:val="center"/>
                </w:tcPr>
                <w:p>
                  <w:pPr>
                    <w:pStyle w:val="130"/>
                    <w:adjustRightInd w:val="0"/>
                    <w:snapToGrid w:val="0"/>
                    <w:spacing w:line="360" w:lineRule="auto"/>
                    <w:rPr>
                      <w:rFonts w:hint="default" w:ascii="Times New Roman" w:hAnsi="Times New Roman" w:cs="Times New Roman"/>
                      <w:color w:val="auto"/>
                      <w:kern w:val="2"/>
                    </w:rPr>
                  </w:pPr>
                  <w:r>
                    <w:rPr>
                      <w:rFonts w:hint="default" w:ascii="Times New Roman" w:hAnsi="Times New Roman" w:cs="Times New Roman"/>
                      <w:color w:val="auto"/>
                      <w:kern w:val="2"/>
                    </w:rPr>
                    <w:t>噪声值</w:t>
                  </w:r>
                </w:p>
              </w:tc>
              <w:tc>
                <w:tcPr>
                  <w:tcW w:w="631" w:type="pct"/>
                  <w:noWrap w:val="0"/>
                  <w:vAlign w:val="center"/>
                </w:tcPr>
                <w:p>
                  <w:pPr>
                    <w:pStyle w:val="130"/>
                    <w:adjustRightInd w:val="0"/>
                    <w:snapToGrid w:val="0"/>
                    <w:spacing w:line="360" w:lineRule="auto"/>
                    <w:rPr>
                      <w:rFonts w:hint="default" w:ascii="Times New Roman" w:hAnsi="Times New Roman" w:cs="Times New Roman"/>
                      <w:color w:val="auto"/>
                      <w:kern w:val="2"/>
                    </w:rPr>
                  </w:pPr>
                  <w:r>
                    <w:rPr>
                      <w:rFonts w:hint="default" w:ascii="Times New Roman" w:hAnsi="Times New Roman" w:cs="Times New Roman"/>
                      <w:color w:val="auto"/>
                      <w:kern w:val="2"/>
                    </w:rPr>
                    <w:t>工艺</w:t>
                  </w:r>
                </w:p>
              </w:tc>
              <w:tc>
                <w:tcPr>
                  <w:tcW w:w="416" w:type="pct"/>
                  <w:noWrap w:val="0"/>
                  <w:vAlign w:val="center"/>
                </w:tcPr>
                <w:p>
                  <w:pPr>
                    <w:pStyle w:val="130"/>
                    <w:adjustRightInd w:val="0"/>
                    <w:snapToGrid w:val="0"/>
                    <w:spacing w:line="360" w:lineRule="auto"/>
                    <w:rPr>
                      <w:rFonts w:hint="default" w:ascii="Times New Roman" w:hAnsi="Times New Roman" w:cs="Times New Roman"/>
                      <w:color w:val="auto"/>
                      <w:kern w:val="2"/>
                    </w:rPr>
                  </w:pPr>
                  <w:r>
                    <w:rPr>
                      <w:rFonts w:hint="default" w:ascii="Times New Roman" w:hAnsi="Times New Roman" w:cs="Times New Roman"/>
                      <w:color w:val="auto"/>
                      <w:kern w:val="2"/>
                    </w:rPr>
                    <w:t>降噪效果</w:t>
                  </w:r>
                </w:p>
              </w:tc>
              <w:tc>
                <w:tcPr>
                  <w:tcW w:w="335" w:type="pct"/>
                  <w:noWrap w:val="0"/>
                  <w:vAlign w:val="center"/>
                </w:tcPr>
                <w:p>
                  <w:pPr>
                    <w:pStyle w:val="130"/>
                    <w:adjustRightInd w:val="0"/>
                    <w:snapToGrid w:val="0"/>
                    <w:spacing w:line="360" w:lineRule="auto"/>
                    <w:rPr>
                      <w:rFonts w:hint="default" w:ascii="Times New Roman" w:hAnsi="Times New Roman" w:cs="Times New Roman"/>
                      <w:color w:val="auto"/>
                      <w:kern w:val="2"/>
                    </w:rPr>
                  </w:pPr>
                  <w:r>
                    <w:rPr>
                      <w:rFonts w:hint="default" w:ascii="Times New Roman" w:hAnsi="Times New Roman" w:cs="Times New Roman"/>
                      <w:color w:val="auto"/>
                      <w:kern w:val="2"/>
                    </w:rPr>
                    <w:t>核算方法</w:t>
                  </w:r>
                </w:p>
              </w:tc>
              <w:tc>
                <w:tcPr>
                  <w:tcW w:w="498" w:type="pct"/>
                  <w:noWrap w:val="0"/>
                  <w:vAlign w:val="center"/>
                </w:tcPr>
                <w:p>
                  <w:pPr>
                    <w:pStyle w:val="130"/>
                    <w:adjustRightInd w:val="0"/>
                    <w:snapToGrid w:val="0"/>
                    <w:spacing w:line="360" w:lineRule="auto"/>
                    <w:rPr>
                      <w:rFonts w:hint="default" w:ascii="Times New Roman" w:hAnsi="Times New Roman" w:cs="Times New Roman"/>
                      <w:color w:val="auto"/>
                      <w:kern w:val="2"/>
                    </w:rPr>
                  </w:pPr>
                  <w:r>
                    <w:rPr>
                      <w:rFonts w:hint="default" w:ascii="Times New Roman" w:hAnsi="Times New Roman" w:cs="Times New Roman"/>
                      <w:color w:val="auto"/>
                      <w:kern w:val="2"/>
                    </w:rPr>
                    <w:t>噪声值</w:t>
                  </w:r>
                </w:p>
              </w:tc>
              <w:tc>
                <w:tcPr>
                  <w:tcW w:w="364" w:type="pct"/>
                  <w:vMerge w:val="continue"/>
                  <w:noWrap w:val="0"/>
                  <w:vAlign w:val="center"/>
                </w:tcPr>
                <w:p>
                  <w:pPr>
                    <w:adjustRightInd w:val="0"/>
                    <w:snapToGrid w:val="0"/>
                    <w:spacing w:line="360" w:lineRule="auto"/>
                    <w:jc w:val="center"/>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477" w:type="pct"/>
                  <w:vMerge w:val="restart"/>
                  <w:noWrap w:val="0"/>
                  <w:vAlign w:val="center"/>
                </w:tcPr>
                <w:p>
                  <w:pPr>
                    <w:pStyle w:val="130"/>
                    <w:rPr>
                      <w:rFonts w:hint="default" w:ascii="Times New Roman" w:hAnsi="Times New Roman" w:eastAsia="宋体" w:cs="Times New Roman"/>
                      <w:color w:val="auto"/>
                      <w:lang w:val="en-US" w:eastAsia="zh-CN"/>
                    </w:rPr>
                  </w:pPr>
                  <w:r>
                    <w:rPr>
                      <w:rFonts w:hint="default" w:ascii="Times New Roman" w:hAnsi="Times New Roman" w:cs="Times New Roman"/>
                      <w:color w:val="auto"/>
                      <w:kern w:val="2"/>
                      <w:lang w:val="en-US" w:eastAsia="zh-CN"/>
                    </w:rPr>
                    <w:t>渗滤液处理车间</w:t>
                  </w:r>
                </w:p>
              </w:tc>
              <w:tc>
                <w:tcPr>
                  <w:tcW w:w="494" w:type="pct"/>
                  <w:noWrap w:val="0"/>
                  <w:vAlign w:val="center"/>
                </w:tcPr>
                <w:p>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水泵</w:t>
                  </w:r>
                </w:p>
              </w:tc>
              <w:tc>
                <w:tcPr>
                  <w:tcW w:w="494" w:type="pct"/>
                  <w:noWrap w:val="0"/>
                  <w:vAlign w:val="top"/>
                </w:tcPr>
                <w:p>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544" w:type="pct"/>
                  <w:noWrap w:val="0"/>
                  <w:vAlign w:val="center"/>
                </w:tcPr>
                <w:p>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频发</w:t>
                  </w:r>
                </w:p>
              </w:tc>
              <w:tc>
                <w:tcPr>
                  <w:tcW w:w="335" w:type="pct"/>
                  <w:vMerge w:val="restart"/>
                  <w:noWrap w:val="0"/>
                  <w:vAlign w:val="center"/>
                </w:tcPr>
                <w:p>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类比</w:t>
                  </w:r>
                </w:p>
              </w:tc>
              <w:tc>
                <w:tcPr>
                  <w:tcW w:w="409" w:type="pct"/>
                  <w:noWrap w:val="0"/>
                  <w:vAlign w:val="center"/>
                </w:tcPr>
                <w:p>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631" w:type="pct"/>
                  <w:vMerge w:val="restart"/>
                  <w:noWrap w:val="0"/>
                  <w:vAlign w:val="center"/>
                </w:tcPr>
                <w:p>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rPr>
                    <w:t>于车间内+选用低噪声设备+基础 减震设施</w:t>
                  </w:r>
                </w:p>
              </w:tc>
              <w:tc>
                <w:tcPr>
                  <w:tcW w:w="416" w:type="pct"/>
                  <w:noWrap w:val="0"/>
                  <w:vAlign w:val="center"/>
                </w:tcPr>
                <w:p>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25</w:t>
                  </w:r>
                </w:p>
              </w:tc>
              <w:tc>
                <w:tcPr>
                  <w:tcW w:w="335" w:type="pct"/>
                  <w:vMerge w:val="restart"/>
                  <w:noWrap w:val="0"/>
                  <w:vAlign w:val="center"/>
                </w:tcPr>
                <w:p>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类比</w:t>
                  </w:r>
                </w:p>
              </w:tc>
              <w:tc>
                <w:tcPr>
                  <w:tcW w:w="498" w:type="pct"/>
                  <w:noWrap w:val="0"/>
                  <w:vAlign w:val="center"/>
                </w:tcPr>
                <w:p>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60</w:t>
                  </w:r>
                </w:p>
              </w:tc>
              <w:tc>
                <w:tcPr>
                  <w:tcW w:w="364" w:type="pct"/>
                  <w:vMerge w:val="restart"/>
                  <w:noWrap w:val="0"/>
                  <w:vAlign w:val="center"/>
                </w:tcPr>
                <w:p>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8760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477" w:type="pct"/>
                  <w:vMerge w:val="continue"/>
                  <w:noWrap w:val="0"/>
                  <w:vAlign w:val="center"/>
                </w:tcPr>
                <w:p>
                  <w:pPr>
                    <w:pStyle w:val="130"/>
                    <w:rPr>
                      <w:rFonts w:hint="default" w:ascii="Times New Roman" w:hAnsi="Times New Roman" w:cs="Times New Roman"/>
                      <w:color w:val="auto"/>
                    </w:rPr>
                  </w:pPr>
                </w:p>
              </w:tc>
              <w:tc>
                <w:tcPr>
                  <w:tcW w:w="494" w:type="pct"/>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szCs w:val="21"/>
                      <w:lang w:val="en-US" w:eastAsia="zh-CN"/>
                    </w:rPr>
                    <w:t>气浮装置</w:t>
                  </w:r>
                </w:p>
              </w:tc>
              <w:tc>
                <w:tcPr>
                  <w:tcW w:w="494" w:type="pct"/>
                  <w:noWrap w:val="0"/>
                  <w:vAlign w:val="top"/>
                </w:tcPr>
                <w:p>
                  <w:pPr>
                    <w:jc w:val="center"/>
                    <w:rPr>
                      <w:rFonts w:hint="default" w:ascii="Times New Roman" w:hAnsi="Times New Roman" w:cs="Times New Roman"/>
                      <w:color w:val="auto"/>
                    </w:rPr>
                  </w:pPr>
                  <w:r>
                    <w:rPr>
                      <w:rFonts w:hint="default" w:ascii="Times New Roman" w:hAnsi="Times New Roman" w:cs="Times New Roman"/>
                      <w:color w:val="auto"/>
                      <w:szCs w:val="21"/>
                    </w:rPr>
                    <w:t>1</w:t>
                  </w:r>
                </w:p>
              </w:tc>
              <w:tc>
                <w:tcPr>
                  <w:tcW w:w="544" w:type="pct"/>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频发</w:t>
                  </w:r>
                </w:p>
              </w:tc>
              <w:tc>
                <w:tcPr>
                  <w:tcW w:w="335" w:type="pct"/>
                  <w:vMerge w:val="continue"/>
                  <w:noWrap w:val="0"/>
                  <w:vAlign w:val="center"/>
                </w:tcPr>
                <w:p>
                  <w:pPr>
                    <w:widowControl/>
                    <w:jc w:val="left"/>
                    <w:rPr>
                      <w:rFonts w:hint="default" w:ascii="Times New Roman" w:hAnsi="Times New Roman" w:cs="Times New Roman"/>
                      <w:color w:val="auto"/>
                      <w:kern w:val="0"/>
                      <w:szCs w:val="21"/>
                    </w:rPr>
                  </w:pPr>
                </w:p>
              </w:tc>
              <w:tc>
                <w:tcPr>
                  <w:tcW w:w="409" w:type="pct"/>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85</w:t>
                  </w:r>
                </w:p>
              </w:tc>
              <w:tc>
                <w:tcPr>
                  <w:tcW w:w="631" w:type="pct"/>
                  <w:vMerge w:val="continue"/>
                  <w:noWrap w:val="0"/>
                  <w:vAlign w:val="center"/>
                </w:tcPr>
                <w:p>
                  <w:pPr>
                    <w:widowControl/>
                    <w:jc w:val="left"/>
                    <w:rPr>
                      <w:rFonts w:hint="default" w:ascii="Times New Roman" w:hAnsi="Times New Roman" w:cs="Times New Roman"/>
                      <w:color w:val="auto"/>
                      <w:kern w:val="0"/>
                      <w:szCs w:val="21"/>
                    </w:rPr>
                  </w:pPr>
                </w:p>
              </w:tc>
              <w:tc>
                <w:tcPr>
                  <w:tcW w:w="416" w:type="pct"/>
                  <w:noWrap w:val="0"/>
                  <w:vAlign w:val="center"/>
                </w:tcPr>
                <w:p>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25</w:t>
                  </w:r>
                </w:p>
              </w:tc>
              <w:tc>
                <w:tcPr>
                  <w:tcW w:w="335" w:type="pct"/>
                  <w:vMerge w:val="continue"/>
                  <w:noWrap w:val="0"/>
                  <w:vAlign w:val="center"/>
                </w:tcPr>
                <w:p>
                  <w:pPr>
                    <w:widowControl/>
                    <w:jc w:val="left"/>
                    <w:rPr>
                      <w:rFonts w:hint="default" w:ascii="Times New Roman" w:hAnsi="Times New Roman" w:cs="Times New Roman"/>
                      <w:color w:val="auto"/>
                      <w:kern w:val="0"/>
                      <w:szCs w:val="21"/>
                    </w:rPr>
                  </w:pPr>
                </w:p>
              </w:tc>
              <w:tc>
                <w:tcPr>
                  <w:tcW w:w="498" w:type="pct"/>
                  <w:noWrap w:val="0"/>
                  <w:vAlign w:val="center"/>
                </w:tcPr>
                <w:p>
                  <w:pPr>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lang w:val="en-US" w:eastAsia="zh-CN"/>
                    </w:rPr>
                    <w:t>60</w:t>
                  </w:r>
                </w:p>
              </w:tc>
              <w:tc>
                <w:tcPr>
                  <w:tcW w:w="364" w:type="pct"/>
                  <w:vMerge w:val="continue"/>
                  <w:noWrap w:val="0"/>
                  <w:vAlign w:val="center"/>
                </w:tcPr>
                <w:p>
                  <w:pPr>
                    <w:widowControl/>
                    <w:jc w:val="left"/>
                    <w:rPr>
                      <w:rFonts w:hint="default" w:ascii="Times New Roman" w:hAnsi="Times New Roman" w:cs="Times New Roman"/>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477" w:type="pct"/>
                  <w:vMerge w:val="continue"/>
                  <w:noWrap w:val="0"/>
                  <w:vAlign w:val="center"/>
                </w:tcPr>
                <w:p>
                  <w:pPr>
                    <w:pStyle w:val="130"/>
                    <w:rPr>
                      <w:rFonts w:hint="default" w:ascii="Times New Roman" w:hAnsi="Times New Roman" w:cs="Times New Roman"/>
                      <w:color w:val="auto"/>
                    </w:rPr>
                  </w:pPr>
                </w:p>
              </w:tc>
              <w:tc>
                <w:tcPr>
                  <w:tcW w:w="494" w:type="pct"/>
                  <w:noWrap w:val="0"/>
                  <w:vAlign w:val="center"/>
                </w:tcPr>
                <w:p>
                  <w:pPr>
                    <w:pStyle w:val="13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轴流风机</w:t>
                  </w:r>
                </w:p>
              </w:tc>
              <w:tc>
                <w:tcPr>
                  <w:tcW w:w="494" w:type="pct"/>
                  <w:noWrap w:val="0"/>
                  <w:vAlign w:val="top"/>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w:t>
                  </w:r>
                </w:p>
              </w:tc>
              <w:tc>
                <w:tcPr>
                  <w:tcW w:w="544" w:type="pct"/>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频发</w:t>
                  </w:r>
                </w:p>
              </w:tc>
              <w:tc>
                <w:tcPr>
                  <w:tcW w:w="335" w:type="pct"/>
                  <w:vMerge w:val="continue"/>
                  <w:noWrap w:val="0"/>
                  <w:vAlign w:val="center"/>
                </w:tcPr>
                <w:p>
                  <w:pPr>
                    <w:widowControl/>
                    <w:jc w:val="left"/>
                    <w:rPr>
                      <w:rFonts w:hint="default" w:ascii="Times New Roman" w:hAnsi="Times New Roman" w:cs="Times New Roman"/>
                      <w:color w:val="auto"/>
                      <w:kern w:val="0"/>
                      <w:szCs w:val="21"/>
                    </w:rPr>
                  </w:pPr>
                </w:p>
              </w:tc>
              <w:tc>
                <w:tcPr>
                  <w:tcW w:w="409" w:type="pct"/>
                  <w:noWrap w:val="0"/>
                  <w:vAlign w:val="center"/>
                </w:tcPr>
                <w:p>
                  <w:pPr>
                    <w:pStyle w:val="13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90</w:t>
                  </w:r>
                </w:p>
              </w:tc>
              <w:tc>
                <w:tcPr>
                  <w:tcW w:w="631" w:type="pct"/>
                  <w:vMerge w:val="continue"/>
                  <w:noWrap w:val="0"/>
                  <w:vAlign w:val="center"/>
                </w:tcPr>
                <w:p>
                  <w:pPr>
                    <w:widowControl/>
                    <w:jc w:val="left"/>
                    <w:rPr>
                      <w:rFonts w:hint="default" w:ascii="Times New Roman" w:hAnsi="Times New Roman" w:cs="Times New Roman"/>
                      <w:color w:val="auto"/>
                      <w:kern w:val="0"/>
                      <w:szCs w:val="21"/>
                    </w:rPr>
                  </w:pPr>
                </w:p>
              </w:tc>
              <w:tc>
                <w:tcPr>
                  <w:tcW w:w="416" w:type="pct"/>
                  <w:noWrap w:val="0"/>
                  <w:vAlign w:val="center"/>
                </w:tcPr>
                <w:p>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25</w:t>
                  </w:r>
                </w:p>
              </w:tc>
              <w:tc>
                <w:tcPr>
                  <w:tcW w:w="335" w:type="pct"/>
                  <w:vMerge w:val="continue"/>
                  <w:noWrap w:val="0"/>
                  <w:vAlign w:val="center"/>
                </w:tcPr>
                <w:p>
                  <w:pPr>
                    <w:widowControl/>
                    <w:jc w:val="left"/>
                    <w:rPr>
                      <w:rFonts w:hint="default" w:ascii="Times New Roman" w:hAnsi="Times New Roman" w:cs="Times New Roman"/>
                      <w:color w:val="auto"/>
                      <w:kern w:val="0"/>
                      <w:szCs w:val="21"/>
                    </w:rPr>
                  </w:pPr>
                </w:p>
              </w:tc>
              <w:tc>
                <w:tcPr>
                  <w:tcW w:w="498" w:type="pct"/>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65</w:t>
                  </w:r>
                </w:p>
              </w:tc>
              <w:tc>
                <w:tcPr>
                  <w:tcW w:w="364" w:type="pct"/>
                  <w:vMerge w:val="continue"/>
                  <w:noWrap w:val="0"/>
                  <w:vAlign w:val="center"/>
                </w:tcPr>
                <w:p>
                  <w:pPr>
                    <w:widowControl/>
                    <w:jc w:val="left"/>
                    <w:rPr>
                      <w:rFonts w:hint="default" w:ascii="Times New Roman" w:hAnsi="Times New Roman" w:cs="Times New Roman"/>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477" w:type="pct"/>
                  <w:vMerge w:val="continue"/>
                  <w:noWrap w:val="0"/>
                  <w:vAlign w:val="center"/>
                </w:tcPr>
                <w:p>
                  <w:pPr>
                    <w:pStyle w:val="130"/>
                    <w:rPr>
                      <w:rFonts w:hint="default" w:ascii="Times New Roman" w:hAnsi="Times New Roman" w:cs="Times New Roman"/>
                      <w:color w:val="auto"/>
                    </w:rPr>
                  </w:pPr>
                </w:p>
              </w:tc>
              <w:tc>
                <w:tcPr>
                  <w:tcW w:w="494" w:type="pct"/>
                  <w:noWrap w:val="0"/>
                  <w:vAlign w:val="center"/>
                </w:tcPr>
                <w:p>
                  <w:pPr>
                    <w:pStyle w:val="13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离心风机</w:t>
                  </w:r>
                </w:p>
              </w:tc>
              <w:tc>
                <w:tcPr>
                  <w:tcW w:w="494" w:type="pct"/>
                  <w:noWrap w:val="0"/>
                  <w:vAlign w:val="top"/>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p>
              </w:tc>
              <w:tc>
                <w:tcPr>
                  <w:tcW w:w="544" w:type="pct"/>
                  <w:noWrap w:val="0"/>
                  <w:vAlign w:val="center"/>
                </w:tcPr>
                <w:p>
                  <w:pPr>
                    <w:pStyle w:val="130"/>
                    <w:rPr>
                      <w:rFonts w:hint="default" w:ascii="Times New Roman" w:hAnsi="Times New Roman" w:cs="Times New Roman"/>
                      <w:color w:val="auto"/>
                    </w:rPr>
                  </w:pPr>
                  <w:r>
                    <w:rPr>
                      <w:rFonts w:hint="default" w:ascii="Times New Roman" w:hAnsi="Times New Roman" w:cs="Times New Roman"/>
                      <w:color w:val="auto"/>
                    </w:rPr>
                    <w:t>频发</w:t>
                  </w:r>
                </w:p>
              </w:tc>
              <w:tc>
                <w:tcPr>
                  <w:tcW w:w="335" w:type="pct"/>
                  <w:vMerge w:val="continue"/>
                  <w:noWrap w:val="0"/>
                  <w:vAlign w:val="center"/>
                </w:tcPr>
                <w:p>
                  <w:pPr>
                    <w:widowControl/>
                    <w:jc w:val="left"/>
                    <w:rPr>
                      <w:rFonts w:hint="default" w:ascii="Times New Roman" w:hAnsi="Times New Roman" w:cs="Times New Roman"/>
                      <w:color w:val="auto"/>
                      <w:kern w:val="0"/>
                      <w:szCs w:val="21"/>
                    </w:rPr>
                  </w:pPr>
                </w:p>
              </w:tc>
              <w:tc>
                <w:tcPr>
                  <w:tcW w:w="409" w:type="pct"/>
                  <w:noWrap w:val="0"/>
                  <w:vAlign w:val="center"/>
                </w:tcPr>
                <w:p>
                  <w:pPr>
                    <w:pStyle w:val="13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85</w:t>
                  </w:r>
                </w:p>
              </w:tc>
              <w:tc>
                <w:tcPr>
                  <w:tcW w:w="631" w:type="pct"/>
                  <w:vMerge w:val="continue"/>
                  <w:noWrap w:val="0"/>
                  <w:vAlign w:val="center"/>
                </w:tcPr>
                <w:p>
                  <w:pPr>
                    <w:widowControl/>
                    <w:jc w:val="left"/>
                    <w:rPr>
                      <w:rFonts w:hint="default" w:ascii="Times New Roman" w:hAnsi="Times New Roman" w:cs="Times New Roman"/>
                      <w:color w:val="auto"/>
                      <w:kern w:val="0"/>
                      <w:szCs w:val="21"/>
                    </w:rPr>
                  </w:pPr>
                </w:p>
              </w:tc>
              <w:tc>
                <w:tcPr>
                  <w:tcW w:w="416" w:type="pct"/>
                  <w:noWrap w:val="0"/>
                  <w:vAlign w:val="center"/>
                </w:tcPr>
                <w:p>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25</w:t>
                  </w:r>
                </w:p>
              </w:tc>
              <w:tc>
                <w:tcPr>
                  <w:tcW w:w="335" w:type="pct"/>
                  <w:vMerge w:val="continue"/>
                  <w:noWrap w:val="0"/>
                  <w:vAlign w:val="center"/>
                </w:tcPr>
                <w:p>
                  <w:pPr>
                    <w:widowControl/>
                    <w:jc w:val="left"/>
                    <w:rPr>
                      <w:rFonts w:hint="default" w:ascii="Times New Roman" w:hAnsi="Times New Roman" w:cs="Times New Roman"/>
                      <w:color w:val="auto"/>
                      <w:kern w:val="0"/>
                      <w:szCs w:val="21"/>
                    </w:rPr>
                  </w:pPr>
                </w:p>
              </w:tc>
              <w:tc>
                <w:tcPr>
                  <w:tcW w:w="498" w:type="pct"/>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60</w:t>
                  </w:r>
                </w:p>
              </w:tc>
              <w:tc>
                <w:tcPr>
                  <w:tcW w:w="364" w:type="pct"/>
                  <w:vMerge w:val="continue"/>
                  <w:noWrap w:val="0"/>
                  <w:vAlign w:val="center"/>
                </w:tcPr>
                <w:p>
                  <w:pPr>
                    <w:widowControl/>
                    <w:jc w:val="left"/>
                    <w:rPr>
                      <w:rFonts w:hint="default" w:ascii="Times New Roman" w:hAnsi="Times New Roman" w:cs="Times New Roman"/>
                      <w:color w:val="auto"/>
                      <w:kern w:val="0"/>
                      <w:szCs w:val="21"/>
                    </w:rPr>
                  </w:pPr>
                </w:p>
              </w:tc>
            </w:tr>
          </w:tbl>
          <w:p>
            <w:pPr>
              <w:pStyle w:val="131"/>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5-11</w:t>
            </w:r>
            <w:r>
              <w:rPr>
                <w:rFonts w:hint="default" w:ascii="Times New Roman" w:hAnsi="Times New Roman" w:cs="Times New Roman"/>
                <w:b/>
                <w:bCs/>
                <w:color w:val="auto"/>
              </w:rPr>
              <w:t xml:space="preserve">  固体废物源强核算结果及相关参数一览表</w:t>
            </w:r>
          </w:p>
          <w:tbl>
            <w:tblPr>
              <w:tblStyle w:val="3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317"/>
              <w:gridCol w:w="1324"/>
              <w:gridCol w:w="1458"/>
              <w:gridCol w:w="1352"/>
              <w:gridCol w:w="1063"/>
              <w:gridCol w:w="1487"/>
              <w:gridCol w:w="1695"/>
              <w:gridCol w:w="2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restart"/>
                  <w:tcBorders>
                    <w:top w:val="single" w:color="auto" w:sz="12"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工序</w:t>
                  </w:r>
                </w:p>
              </w:tc>
              <w:tc>
                <w:tcPr>
                  <w:tcW w:w="1317" w:type="dxa"/>
                  <w:vMerge w:val="restart"/>
                  <w:tcBorders>
                    <w:top w:val="single" w:color="auto" w:sz="12"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装置</w:t>
                  </w:r>
                </w:p>
              </w:tc>
              <w:tc>
                <w:tcPr>
                  <w:tcW w:w="1324" w:type="dxa"/>
                  <w:vMerge w:val="restart"/>
                  <w:tcBorders>
                    <w:top w:val="single" w:color="auto" w:sz="12"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固体废物名称</w:t>
                  </w:r>
                </w:p>
              </w:tc>
              <w:tc>
                <w:tcPr>
                  <w:tcW w:w="1458" w:type="dxa"/>
                  <w:vMerge w:val="restart"/>
                  <w:tcBorders>
                    <w:top w:val="single" w:color="auto" w:sz="12"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固废属性</w:t>
                  </w:r>
                </w:p>
              </w:tc>
              <w:tc>
                <w:tcPr>
                  <w:tcW w:w="2415" w:type="dxa"/>
                  <w:gridSpan w:val="2"/>
                  <w:tcBorders>
                    <w:top w:val="single" w:color="auto" w:sz="12"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产生情况</w:t>
                  </w:r>
                </w:p>
              </w:tc>
              <w:tc>
                <w:tcPr>
                  <w:tcW w:w="3182" w:type="dxa"/>
                  <w:gridSpan w:val="2"/>
                  <w:tcBorders>
                    <w:top w:val="single" w:color="auto" w:sz="12"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处置措施</w:t>
                  </w:r>
                </w:p>
              </w:tc>
              <w:tc>
                <w:tcPr>
                  <w:tcW w:w="2372" w:type="dxa"/>
                  <w:vMerge w:val="restart"/>
                  <w:tcBorders>
                    <w:top w:val="single" w:color="auto" w:sz="12" w:space="0"/>
                    <w:left w:val="nil"/>
                    <w:bottom w:val="single" w:color="auto" w:sz="4" w:space="0"/>
                    <w:right w:val="nil"/>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1" w:type="dxa"/>
                  <w:vMerge w:val="continue"/>
                  <w:tcBorders>
                    <w:top w:val="single" w:color="auto" w:sz="12" w:space="0"/>
                    <w:left w:val="nil"/>
                    <w:bottom w:val="single" w:color="auto" w:sz="4"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1317" w:type="dxa"/>
                  <w:vMerge w:val="continue"/>
                  <w:tcBorders>
                    <w:top w:val="single" w:color="auto" w:sz="12" w:space="0"/>
                    <w:left w:val="nil"/>
                    <w:bottom w:val="single" w:color="auto" w:sz="4"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1324" w:type="dxa"/>
                  <w:vMerge w:val="continue"/>
                  <w:tcBorders>
                    <w:top w:val="single" w:color="auto" w:sz="12" w:space="0"/>
                    <w:left w:val="nil"/>
                    <w:bottom w:val="single" w:color="auto" w:sz="4"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1458" w:type="dxa"/>
                  <w:vMerge w:val="continue"/>
                  <w:tcBorders>
                    <w:top w:val="single" w:color="auto" w:sz="12" w:space="0"/>
                    <w:left w:val="nil"/>
                    <w:bottom w:val="single" w:color="auto" w:sz="4" w:space="0"/>
                    <w:right w:val="single" w:color="auto" w:sz="4" w:space="0"/>
                  </w:tcBorders>
                  <w:noWrap w:val="0"/>
                  <w:vAlign w:val="center"/>
                </w:tcPr>
                <w:p>
                  <w:pPr>
                    <w:widowControl/>
                    <w:jc w:val="left"/>
                    <w:rPr>
                      <w:rFonts w:hint="default" w:ascii="Times New Roman" w:hAnsi="Times New Roman" w:cs="Times New Roman"/>
                      <w:color w:val="auto"/>
                      <w:kern w:val="0"/>
                      <w:szCs w:val="21"/>
                    </w:rPr>
                  </w:pPr>
                </w:p>
              </w:tc>
              <w:tc>
                <w:tcPr>
                  <w:tcW w:w="1352"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核算方法</w:t>
                  </w:r>
                </w:p>
              </w:tc>
              <w:tc>
                <w:tcPr>
                  <w:tcW w:w="1063"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产生量t/a</w:t>
                  </w:r>
                </w:p>
              </w:tc>
              <w:tc>
                <w:tcPr>
                  <w:tcW w:w="1487"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工艺</w:t>
                  </w:r>
                </w:p>
              </w:tc>
              <w:tc>
                <w:tcPr>
                  <w:tcW w:w="1695"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处置量t/a</w:t>
                  </w:r>
                </w:p>
              </w:tc>
              <w:tc>
                <w:tcPr>
                  <w:tcW w:w="2372" w:type="dxa"/>
                  <w:vMerge w:val="continue"/>
                  <w:tcBorders>
                    <w:top w:val="single" w:color="auto" w:sz="12" w:space="0"/>
                    <w:left w:val="nil"/>
                    <w:bottom w:val="single" w:color="auto" w:sz="4" w:space="0"/>
                    <w:right w:val="nil"/>
                  </w:tcBorders>
                  <w:noWrap w:val="0"/>
                  <w:vAlign w:val="center"/>
                </w:tcPr>
                <w:p>
                  <w:pPr>
                    <w:widowControl/>
                    <w:jc w:val="left"/>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生活</w:t>
                  </w:r>
                </w:p>
              </w:tc>
              <w:tc>
                <w:tcPr>
                  <w:tcW w:w="1317"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垃圾箱</w:t>
                  </w:r>
                </w:p>
              </w:tc>
              <w:tc>
                <w:tcPr>
                  <w:tcW w:w="1324"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生活垃圾</w:t>
                  </w:r>
                </w:p>
              </w:tc>
              <w:tc>
                <w:tcPr>
                  <w:tcW w:w="1458"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生活垃圾</w:t>
                  </w:r>
                </w:p>
              </w:tc>
              <w:tc>
                <w:tcPr>
                  <w:tcW w:w="1352"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产污系数法</w:t>
                  </w:r>
                </w:p>
              </w:tc>
              <w:tc>
                <w:tcPr>
                  <w:tcW w:w="1063"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0.365</w:t>
                  </w:r>
                </w:p>
              </w:tc>
              <w:tc>
                <w:tcPr>
                  <w:tcW w:w="1487"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w:t>
                  </w:r>
                </w:p>
              </w:tc>
              <w:tc>
                <w:tcPr>
                  <w:tcW w:w="1695"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0.365</w:t>
                  </w:r>
                </w:p>
              </w:tc>
              <w:tc>
                <w:tcPr>
                  <w:tcW w:w="2372" w:type="dxa"/>
                  <w:tcBorders>
                    <w:top w:val="single" w:color="auto" w:sz="4" w:space="0"/>
                    <w:left w:val="nil"/>
                    <w:bottom w:val="single" w:color="auto" w:sz="4" w:space="0"/>
                    <w:right w:val="nil"/>
                  </w:tcBorders>
                  <w:noWrap w:val="0"/>
                  <w:vAlign w:val="center"/>
                </w:tcPr>
                <w:p>
                  <w:pPr>
                    <w:pStyle w:val="130"/>
                    <w:spacing w:line="260" w:lineRule="exact"/>
                    <w:contextualSpacing/>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卫生填埋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61"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车间</w:t>
                  </w:r>
                </w:p>
              </w:tc>
              <w:tc>
                <w:tcPr>
                  <w:tcW w:w="1317"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渗滤液处理车间</w:t>
                  </w:r>
                </w:p>
              </w:tc>
              <w:tc>
                <w:tcPr>
                  <w:tcW w:w="1324"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污泥</w:t>
                  </w:r>
                </w:p>
              </w:tc>
              <w:tc>
                <w:tcPr>
                  <w:tcW w:w="1458" w:type="dxa"/>
                  <w:tcBorders>
                    <w:top w:val="nil"/>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一般工业固废</w:t>
                  </w:r>
                </w:p>
              </w:tc>
              <w:tc>
                <w:tcPr>
                  <w:tcW w:w="1352" w:type="dxa"/>
                  <w:tcBorders>
                    <w:top w:val="nil"/>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kern w:val="0"/>
                      <w:szCs w:val="21"/>
                    </w:rPr>
                    <w:t>类比法</w:t>
                  </w:r>
                </w:p>
              </w:tc>
              <w:tc>
                <w:tcPr>
                  <w:tcW w:w="1063"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eastAsia="宋体" w:cs="Times New Roman"/>
                      <w:color w:val="auto"/>
                      <w:lang w:val="en-US" w:eastAsia="zh-CN"/>
                    </w:rPr>
                  </w:pPr>
                  <w:r>
                    <w:rPr>
                      <w:rFonts w:hint="eastAsia" w:cs="Times New Roman"/>
                      <w:color w:val="auto"/>
                      <w:lang w:val="en-US" w:eastAsia="zh-CN"/>
                    </w:rPr>
                    <w:t>18.62</w:t>
                  </w:r>
                </w:p>
              </w:tc>
              <w:tc>
                <w:tcPr>
                  <w:tcW w:w="1487"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w:t>
                  </w:r>
                </w:p>
              </w:tc>
              <w:tc>
                <w:tcPr>
                  <w:tcW w:w="1695"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eastAsia="宋体" w:cs="Times New Roman"/>
                      <w:color w:val="auto"/>
                      <w:lang w:val="en-US" w:eastAsia="zh-CN"/>
                    </w:rPr>
                  </w:pPr>
                  <w:r>
                    <w:rPr>
                      <w:rFonts w:hint="eastAsia" w:cs="Times New Roman"/>
                      <w:color w:val="auto"/>
                      <w:lang w:val="en-US" w:eastAsia="zh-CN"/>
                    </w:rPr>
                    <w:t>18.62</w:t>
                  </w:r>
                </w:p>
              </w:tc>
              <w:tc>
                <w:tcPr>
                  <w:tcW w:w="2372" w:type="dxa"/>
                  <w:tcBorders>
                    <w:top w:val="single" w:color="auto" w:sz="4" w:space="0"/>
                    <w:left w:val="nil"/>
                    <w:bottom w:val="single" w:color="auto" w:sz="4" w:space="0"/>
                    <w:right w:val="nil"/>
                  </w:tcBorders>
                  <w:noWrap w:val="0"/>
                  <w:vAlign w:val="center"/>
                </w:tcPr>
                <w:p>
                  <w:pPr>
                    <w:pStyle w:val="130"/>
                    <w:spacing w:line="260" w:lineRule="exact"/>
                    <w:contextualSpacing/>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卫生填埋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车间</w:t>
                  </w:r>
                </w:p>
              </w:tc>
              <w:tc>
                <w:tcPr>
                  <w:tcW w:w="1317"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设备</w:t>
                  </w:r>
                </w:p>
              </w:tc>
              <w:tc>
                <w:tcPr>
                  <w:tcW w:w="1324"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废机油</w:t>
                  </w:r>
                </w:p>
              </w:tc>
              <w:tc>
                <w:tcPr>
                  <w:tcW w:w="1458" w:type="dxa"/>
                  <w:tcBorders>
                    <w:top w:val="nil"/>
                    <w:left w:val="nil"/>
                    <w:bottom w:val="nil"/>
                    <w:right w:val="single" w:color="auto" w:sz="4" w:space="0"/>
                  </w:tcBorders>
                  <w:noWrap w:val="0"/>
                  <w:vAlign w:val="center"/>
                </w:tcPr>
                <w:p>
                  <w:pPr>
                    <w:widowControl/>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危险废物</w:t>
                  </w:r>
                </w:p>
              </w:tc>
              <w:tc>
                <w:tcPr>
                  <w:tcW w:w="1352" w:type="dxa"/>
                  <w:tcBorders>
                    <w:top w:val="single" w:color="auto" w:sz="4" w:space="0"/>
                    <w:left w:val="nil"/>
                    <w:bottom w:val="single" w:color="auto" w:sz="4" w:space="0"/>
                    <w:right w:val="single" w:color="auto" w:sz="4" w:space="0"/>
                  </w:tcBorders>
                  <w:noWrap w:val="0"/>
                  <w:vAlign w:val="center"/>
                </w:tcPr>
                <w:p>
                  <w:pPr>
                    <w:widowControl/>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类比法</w:t>
                  </w:r>
                </w:p>
              </w:tc>
              <w:tc>
                <w:tcPr>
                  <w:tcW w:w="1063"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0.016</w:t>
                  </w:r>
                </w:p>
              </w:tc>
              <w:tc>
                <w:tcPr>
                  <w:tcW w:w="1487"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w:t>
                  </w:r>
                </w:p>
              </w:tc>
              <w:tc>
                <w:tcPr>
                  <w:tcW w:w="1695"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0.016</w:t>
                  </w:r>
                </w:p>
              </w:tc>
              <w:tc>
                <w:tcPr>
                  <w:tcW w:w="2372" w:type="dxa"/>
                  <w:tcBorders>
                    <w:top w:val="single" w:color="auto" w:sz="4" w:space="0"/>
                    <w:left w:val="nil"/>
                    <w:bottom w:val="single" w:color="auto" w:sz="4" w:space="0"/>
                    <w:right w:val="nil"/>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车间</w:t>
                  </w:r>
                </w:p>
              </w:tc>
              <w:tc>
                <w:tcPr>
                  <w:tcW w:w="1317"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DTRO设备</w:t>
                  </w:r>
                </w:p>
              </w:tc>
              <w:tc>
                <w:tcPr>
                  <w:tcW w:w="1324"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废膜</w:t>
                  </w:r>
                </w:p>
              </w:tc>
              <w:tc>
                <w:tcPr>
                  <w:tcW w:w="1458" w:type="dxa"/>
                  <w:tcBorders>
                    <w:top w:val="nil"/>
                    <w:left w:val="nil"/>
                    <w:bottom w:val="nil"/>
                    <w:right w:val="single" w:color="auto" w:sz="4" w:space="0"/>
                  </w:tcBorders>
                  <w:noWrap w:val="0"/>
                  <w:vAlign w:val="center"/>
                </w:tcPr>
                <w:p>
                  <w:pPr>
                    <w:widowControl/>
                    <w:jc w:val="left"/>
                    <w:rPr>
                      <w:rFonts w:hint="default" w:ascii="Times New Roman" w:hAnsi="Times New Roman" w:cs="Times New Roman"/>
                      <w:color w:val="auto"/>
                      <w:kern w:val="0"/>
                      <w:szCs w:val="21"/>
                    </w:rPr>
                  </w:pPr>
                  <w:r>
                    <w:rPr>
                      <w:rFonts w:hint="default" w:ascii="Times New Roman" w:hAnsi="Times New Roman" w:cs="Times New Roman"/>
                      <w:color w:val="auto"/>
                    </w:rPr>
                    <w:t>一般工业固废</w:t>
                  </w:r>
                </w:p>
              </w:tc>
              <w:tc>
                <w:tcPr>
                  <w:tcW w:w="1352" w:type="dxa"/>
                  <w:tcBorders>
                    <w:top w:val="single" w:color="auto" w:sz="4" w:space="0"/>
                    <w:left w:val="nil"/>
                    <w:bottom w:val="single" w:color="auto" w:sz="4" w:space="0"/>
                    <w:right w:val="single" w:color="auto" w:sz="4" w:space="0"/>
                  </w:tcBorders>
                  <w:noWrap w:val="0"/>
                  <w:vAlign w:val="center"/>
                </w:tcPr>
                <w:p>
                  <w:pPr>
                    <w:widowControl/>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类比法</w:t>
                  </w:r>
                </w:p>
              </w:tc>
              <w:tc>
                <w:tcPr>
                  <w:tcW w:w="1063"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0.01t/3</w:t>
                  </w:r>
                  <w:r>
                    <w:rPr>
                      <w:rFonts w:hint="eastAsia" w:ascii="Times New Roman" w:hAnsi="Times New Roman" w:cs="Times New Roman"/>
                      <w:color w:val="auto"/>
                      <w:lang w:val="en-US" w:eastAsia="zh-CN"/>
                    </w:rPr>
                    <w:t>a</w:t>
                  </w:r>
                </w:p>
              </w:tc>
              <w:tc>
                <w:tcPr>
                  <w:tcW w:w="1487"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w:t>
                  </w:r>
                </w:p>
              </w:tc>
              <w:tc>
                <w:tcPr>
                  <w:tcW w:w="1695" w:type="dxa"/>
                  <w:tcBorders>
                    <w:top w:val="single" w:color="auto" w:sz="4" w:space="0"/>
                    <w:left w:val="nil"/>
                    <w:bottom w:val="single" w:color="auto" w:sz="4" w:space="0"/>
                    <w:right w:val="single" w:color="auto" w:sz="4" w:space="0"/>
                  </w:tcBorders>
                  <w:noWrap w:val="0"/>
                  <w:vAlign w:val="center"/>
                </w:tcPr>
                <w:p>
                  <w:pPr>
                    <w:pStyle w:val="130"/>
                    <w:spacing w:line="260" w:lineRule="exact"/>
                    <w:contextualSpacing/>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lang w:val="en-US" w:eastAsia="zh-CN"/>
                    </w:rPr>
                    <w:t>0.01t/3</w:t>
                  </w:r>
                  <w:r>
                    <w:rPr>
                      <w:rFonts w:hint="eastAsia" w:ascii="Times New Roman" w:hAnsi="Times New Roman" w:cs="Times New Roman"/>
                      <w:color w:val="auto"/>
                      <w:lang w:val="en-US" w:eastAsia="zh-CN"/>
                    </w:rPr>
                    <w:t>a</w:t>
                  </w:r>
                </w:p>
              </w:tc>
              <w:tc>
                <w:tcPr>
                  <w:tcW w:w="2372" w:type="dxa"/>
                  <w:tcBorders>
                    <w:top w:val="single" w:color="auto" w:sz="4" w:space="0"/>
                    <w:left w:val="nil"/>
                    <w:bottom w:val="single" w:color="auto" w:sz="4" w:space="0"/>
                    <w:right w:val="nil"/>
                  </w:tcBorders>
                  <w:noWrap w:val="0"/>
                  <w:vAlign w:val="center"/>
                </w:tcPr>
                <w:p>
                  <w:pPr>
                    <w:pStyle w:val="130"/>
                    <w:spacing w:line="260" w:lineRule="exact"/>
                    <w:contextualSpacing/>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Borders>
                    <w:top w:val="single" w:color="auto" w:sz="4" w:space="0"/>
                    <w:left w:val="nil"/>
                    <w:bottom w:val="single" w:color="auto" w:sz="12" w:space="0"/>
                    <w:right w:val="single" w:color="auto" w:sz="4" w:space="0"/>
                  </w:tcBorders>
                  <w:noWrap w:val="0"/>
                  <w:vAlign w:val="center"/>
                </w:tcPr>
                <w:p>
                  <w:pPr>
                    <w:pStyle w:val="130"/>
                    <w:spacing w:line="260" w:lineRule="exact"/>
                    <w:contextualSpacing/>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车间</w:t>
                  </w:r>
                </w:p>
              </w:tc>
              <w:tc>
                <w:tcPr>
                  <w:tcW w:w="1317" w:type="dxa"/>
                  <w:tcBorders>
                    <w:top w:val="single" w:color="auto" w:sz="4" w:space="0"/>
                    <w:left w:val="nil"/>
                    <w:bottom w:val="single" w:color="auto" w:sz="12"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安保系统</w:t>
                  </w:r>
                </w:p>
              </w:tc>
              <w:tc>
                <w:tcPr>
                  <w:tcW w:w="1324" w:type="dxa"/>
                  <w:tcBorders>
                    <w:top w:val="single" w:color="auto" w:sz="4" w:space="0"/>
                    <w:left w:val="nil"/>
                    <w:bottom w:val="single" w:color="auto" w:sz="12"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废离子交换树脂</w:t>
                  </w:r>
                </w:p>
              </w:tc>
              <w:tc>
                <w:tcPr>
                  <w:tcW w:w="1458" w:type="dxa"/>
                  <w:tcBorders>
                    <w:top w:val="nil"/>
                    <w:left w:val="nil"/>
                    <w:bottom w:val="single" w:color="auto" w:sz="12" w:space="0"/>
                    <w:right w:val="single" w:color="auto" w:sz="4" w:space="0"/>
                  </w:tcBorders>
                  <w:noWrap w:val="0"/>
                  <w:vAlign w:val="center"/>
                </w:tcPr>
                <w:p>
                  <w:pPr>
                    <w:widowControl/>
                    <w:jc w:val="left"/>
                    <w:rPr>
                      <w:rFonts w:hint="default" w:ascii="Times New Roman" w:hAnsi="Times New Roman" w:cs="Times New Roman"/>
                      <w:color w:val="auto"/>
                    </w:rPr>
                  </w:pPr>
                  <w:r>
                    <w:rPr>
                      <w:rFonts w:hint="default" w:ascii="Times New Roman" w:hAnsi="Times New Roman" w:cs="Times New Roman"/>
                      <w:color w:val="auto"/>
                      <w:kern w:val="0"/>
                      <w:szCs w:val="21"/>
                    </w:rPr>
                    <w:t>危险废物</w:t>
                  </w:r>
                </w:p>
              </w:tc>
              <w:tc>
                <w:tcPr>
                  <w:tcW w:w="1352" w:type="dxa"/>
                  <w:tcBorders>
                    <w:top w:val="single" w:color="auto" w:sz="4" w:space="0"/>
                    <w:left w:val="nil"/>
                    <w:bottom w:val="single" w:color="auto" w:sz="12" w:space="0"/>
                    <w:right w:val="single" w:color="auto" w:sz="4" w:space="0"/>
                  </w:tcBorders>
                  <w:noWrap w:val="0"/>
                  <w:vAlign w:val="center"/>
                </w:tcPr>
                <w:p>
                  <w:pPr>
                    <w:widowControl/>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类比法</w:t>
                  </w:r>
                </w:p>
              </w:tc>
              <w:tc>
                <w:tcPr>
                  <w:tcW w:w="1063" w:type="dxa"/>
                  <w:tcBorders>
                    <w:top w:val="single" w:color="auto" w:sz="4" w:space="0"/>
                    <w:left w:val="nil"/>
                    <w:bottom w:val="single" w:color="auto" w:sz="12"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w:t>
                  </w:r>
                  <w:r>
                    <w:rPr>
                      <w:rFonts w:hint="default" w:ascii="Times New Roman" w:hAnsi="Times New Roman" w:cs="Times New Roman"/>
                      <w:color w:val="auto"/>
                      <w:lang w:val="en-US" w:eastAsia="zh-CN"/>
                    </w:rPr>
                    <w:t>t/</w:t>
                  </w:r>
                  <w:r>
                    <w:rPr>
                      <w:rFonts w:hint="eastAsia" w:ascii="Times New Roman" w:hAnsi="Times New Roman" w:cs="Times New Roman"/>
                      <w:color w:val="auto"/>
                      <w:lang w:val="en-US" w:eastAsia="zh-CN"/>
                    </w:rPr>
                    <w:t>a</w:t>
                  </w:r>
                </w:p>
              </w:tc>
              <w:tc>
                <w:tcPr>
                  <w:tcW w:w="1487" w:type="dxa"/>
                  <w:tcBorders>
                    <w:top w:val="single" w:color="auto" w:sz="4" w:space="0"/>
                    <w:left w:val="nil"/>
                    <w:bottom w:val="single" w:color="auto" w:sz="12"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rPr>
                  </w:pPr>
                  <w:r>
                    <w:rPr>
                      <w:rFonts w:hint="default" w:ascii="Times New Roman" w:hAnsi="Times New Roman" w:cs="Times New Roman"/>
                      <w:color w:val="auto"/>
                    </w:rPr>
                    <w:t>/</w:t>
                  </w:r>
                </w:p>
              </w:tc>
              <w:tc>
                <w:tcPr>
                  <w:tcW w:w="1695" w:type="dxa"/>
                  <w:tcBorders>
                    <w:top w:val="single" w:color="auto" w:sz="4" w:space="0"/>
                    <w:left w:val="nil"/>
                    <w:bottom w:val="single" w:color="auto" w:sz="12" w:space="0"/>
                    <w:right w:val="single" w:color="auto" w:sz="4" w:space="0"/>
                  </w:tcBorders>
                  <w:noWrap w:val="0"/>
                  <w:vAlign w:val="center"/>
                </w:tcPr>
                <w:p>
                  <w:pPr>
                    <w:pStyle w:val="130"/>
                    <w:spacing w:line="260" w:lineRule="exact"/>
                    <w:contextualSpacing/>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w:t>
                  </w:r>
                  <w:r>
                    <w:rPr>
                      <w:rFonts w:hint="default" w:ascii="Times New Roman" w:hAnsi="Times New Roman" w:cs="Times New Roman"/>
                      <w:color w:val="auto"/>
                      <w:lang w:val="en-US" w:eastAsia="zh-CN"/>
                    </w:rPr>
                    <w:t>t/</w:t>
                  </w:r>
                  <w:r>
                    <w:rPr>
                      <w:rFonts w:hint="eastAsia" w:ascii="Times New Roman" w:hAnsi="Times New Roman" w:cs="Times New Roman"/>
                      <w:color w:val="auto"/>
                      <w:lang w:val="en-US" w:eastAsia="zh-CN"/>
                    </w:rPr>
                    <w:t>a</w:t>
                  </w:r>
                </w:p>
              </w:tc>
              <w:tc>
                <w:tcPr>
                  <w:tcW w:w="2372" w:type="dxa"/>
                  <w:tcBorders>
                    <w:top w:val="single" w:color="auto" w:sz="4" w:space="0"/>
                    <w:left w:val="nil"/>
                    <w:bottom w:val="single" w:color="auto" w:sz="12" w:space="0"/>
                    <w:right w:val="nil"/>
                  </w:tcBorders>
                  <w:noWrap w:val="0"/>
                  <w:vAlign w:val="center"/>
                </w:tcPr>
                <w:p>
                  <w:pPr>
                    <w:pStyle w:val="130"/>
                    <w:spacing w:line="260" w:lineRule="exact"/>
                    <w:contextualSpacing/>
                    <w:rPr>
                      <w:rFonts w:hint="default" w:ascii="Times New Roman" w:hAnsi="Times New Roman" w:cs="Times New Roman"/>
                      <w:color w:val="auto"/>
                      <w:lang w:val="en-US" w:eastAsia="zh-CN"/>
                    </w:rPr>
                  </w:pPr>
                  <w:r>
                    <w:rPr>
                      <w:rFonts w:hint="default" w:ascii="Times New Roman" w:hAnsi="Times New Roman" w:cs="Times New Roman"/>
                      <w:color w:val="auto"/>
                    </w:rPr>
                    <w:t>委托有资质单位处置</w:t>
                  </w:r>
                </w:p>
              </w:tc>
            </w:tr>
          </w:tbl>
          <w:p>
            <w:pPr>
              <w:pStyle w:val="41"/>
              <w:spacing w:line="360" w:lineRule="auto"/>
              <w:ind w:firstLine="480" w:firstLineChars="200"/>
              <w:rPr>
                <w:rFonts w:hint="default" w:ascii="Times New Roman" w:hAnsi="Times New Roman" w:cs="Times New Roman"/>
                <w:b/>
                <w:color w:val="auto"/>
              </w:rPr>
            </w:pPr>
          </w:p>
        </w:tc>
      </w:tr>
    </w:tbl>
    <w:p>
      <w:pPr>
        <w:pStyle w:val="41"/>
        <w:rPr>
          <w:rFonts w:hint="default" w:ascii="Times New Roman" w:hAnsi="Times New Roman" w:cs="Times New Roman"/>
          <w:color w:val="auto"/>
        </w:rPr>
        <w:sectPr>
          <w:pgSz w:w="16839" w:h="11907" w:orient="landscape"/>
          <w:pgMar w:top="1440" w:right="1800" w:bottom="1440" w:left="1800" w:header="851" w:footer="992" w:gutter="0"/>
          <w:pgBorders>
            <w:top w:val="none" w:sz="0" w:space="0"/>
            <w:left w:val="none" w:sz="0" w:space="0"/>
            <w:bottom w:val="none" w:sz="0" w:space="0"/>
            <w:right w:val="none" w:sz="0" w:space="0"/>
          </w:pgBorders>
          <w:cols w:space="720" w:num="1"/>
          <w:docGrid w:type="linesAndChars" w:linePitch="312" w:charSpace="0"/>
        </w:sectPr>
      </w:pPr>
    </w:p>
    <w:p>
      <w:pPr>
        <w:pStyle w:val="3"/>
        <w:keepNext w:val="0"/>
        <w:keepLines w:val="0"/>
        <w:spacing w:after="0" w:line="240" w:lineRule="auto"/>
        <w:jc w:val="left"/>
        <w:rPr>
          <w:rFonts w:hint="default" w:ascii="Times New Roman" w:hAnsi="Times New Roman" w:cs="Times New Roman"/>
          <w:color w:val="auto"/>
        </w:rPr>
      </w:pPr>
      <w:bookmarkStart w:id="10" w:name="_Toc25154385"/>
      <w:r>
        <w:rPr>
          <w:rFonts w:hint="default" w:ascii="Times New Roman" w:hAnsi="Times New Roman" w:cs="Times New Roman"/>
          <w:color w:val="auto"/>
        </w:rPr>
        <w:t>项目主要污染物产生及预计排放情况</w:t>
      </w:r>
      <w:bookmarkEnd w:id="10"/>
    </w:p>
    <w:tbl>
      <w:tblPr>
        <w:tblStyle w:val="33"/>
        <w:tblW w:w="894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14"/>
        <w:gridCol w:w="695"/>
        <w:gridCol w:w="940"/>
        <w:gridCol w:w="903"/>
        <w:gridCol w:w="2525"/>
        <w:gridCol w:w="277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14" w:type="dxa"/>
            <w:vAlign w:val="center"/>
          </w:tcPr>
          <w:p>
            <w:pPr>
              <w:spacing w:before="240"/>
              <w:jc w:val="right"/>
              <w:rPr>
                <w:rFonts w:hint="default" w:ascii="Times New Roman" w:hAnsi="Times New Roman" w:cs="Times New Roman"/>
                <w:color w:val="auto"/>
                <w:szCs w:val="21"/>
              </w:rPr>
            </w:pPr>
            <w:r>
              <w:rPr>
                <w:rFonts w:hint="default" w:ascii="Times New Roman" w:hAnsi="Times New Roman" w:cs="Times New Roman"/>
                <w:color w:val="auto"/>
                <w:szCs w:val="21"/>
              </w:rPr>
              <mc:AlternateContent>
                <mc:Choice Requires="wps">
                  <w:drawing>
                    <wp:anchor distT="0" distB="0" distL="114300" distR="114300" simplePos="0" relativeHeight="251648000" behindDoc="0" locked="0" layoutInCell="1" allowOverlap="1">
                      <wp:simplePos x="0" y="0"/>
                      <wp:positionH relativeFrom="column">
                        <wp:posOffset>-45085</wp:posOffset>
                      </wp:positionH>
                      <wp:positionV relativeFrom="paragraph">
                        <wp:posOffset>3175</wp:posOffset>
                      </wp:positionV>
                      <wp:extent cx="647065" cy="678815"/>
                      <wp:effectExtent l="3175" t="3175" r="16510" b="3810"/>
                      <wp:wrapNone/>
                      <wp:docPr id="898" name="自选图形 698"/>
                      <wp:cNvGraphicFramePr/>
                      <a:graphic xmlns:a="http://schemas.openxmlformats.org/drawingml/2006/main">
                        <a:graphicData uri="http://schemas.microsoft.com/office/word/2010/wordprocessingShape">
                          <wps:wsp>
                            <wps:cNvCnPr>
                              <a:cxnSpLocks noChangeShapeType="1"/>
                            </wps:cNvCnPr>
                            <wps:spPr bwMode="auto">
                              <a:xfrm>
                                <a:off x="0" y="0"/>
                                <a:ext cx="647065" cy="678815"/>
                              </a:xfrm>
                              <a:prstGeom prst="straightConnector1">
                                <a:avLst/>
                              </a:prstGeom>
                              <a:noFill/>
                              <a:ln w="9525">
                                <a:solidFill>
                                  <a:srgbClr val="000000"/>
                                </a:solidFill>
                                <a:round/>
                              </a:ln>
                              <a:effectLst/>
                            </wps:spPr>
                            <wps:bodyPr/>
                          </wps:wsp>
                        </a:graphicData>
                      </a:graphic>
                    </wp:anchor>
                  </w:drawing>
                </mc:Choice>
                <mc:Fallback>
                  <w:pict>
                    <v:shape id="自选图形 698" o:spid="_x0000_s1026" o:spt="32" type="#_x0000_t32" style="position:absolute;left:0pt;margin-left:-3.55pt;margin-top:0.25pt;height:53.45pt;width:50.95pt;z-index:251648000;mso-width-relative:page;mso-height-relative:page;" filled="f" stroked="t" coordsize="21600,21600" o:gfxdata="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YfGbrVAAAABgEAAA8AAAAAAAAAAQAgAAAAIgAAAGRycy9kb3ducmV2LnhtbFBL&#10;AQIUABQAAAAIAIdO4kDx4mTH+QEAAMsDAAAOAAAAAAAAAAEAIAAAACQBAABkcnMvZTJvRG9jLnht&#10;bFBLBQYAAAAABgAGAFkBAACPBQAAAAA=&#10;">
                      <v:fill on="f" focussize="0,0"/>
                      <v:stroke color="#000000" joinstyle="round"/>
                      <v:imagedata o:title=""/>
                      <o:lock v:ext="edit" aspectratio="f"/>
                    </v:shape>
                  </w:pict>
                </mc:Fallback>
              </mc:AlternateContent>
            </w:r>
            <w:r>
              <w:rPr>
                <w:rFonts w:hint="default" w:ascii="Times New Roman" w:hAnsi="Times New Roman" w:cs="Times New Roman"/>
                <w:color w:val="auto"/>
                <w:szCs w:val="21"/>
              </w:rPr>
              <w:t xml:space="preserve">   内容</w:t>
            </w:r>
          </w:p>
          <w:p>
            <w:pPr>
              <w:spacing w:before="240"/>
              <w:rPr>
                <w:rFonts w:hint="default" w:ascii="Times New Roman" w:hAnsi="Times New Roman" w:cs="Times New Roman"/>
                <w:color w:val="auto"/>
                <w:szCs w:val="21"/>
              </w:rPr>
            </w:pPr>
            <w:r>
              <w:rPr>
                <w:rFonts w:hint="default" w:ascii="Times New Roman" w:hAnsi="Times New Roman" w:cs="Times New Roman"/>
                <w:color w:val="auto"/>
                <w:szCs w:val="21"/>
              </w:rPr>
              <w:t>类型</w:t>
            </w:r>
          </w:p>
        </w:tc>
        <w:tc>
          <w:tcPr>
            <w:tcW w:w="1635" w:type="dxa"/>
            <w:gridSpan w:val="2"/>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排放源</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(编号)</w:t>
            </w:r>
          </w:p>
        </w:tc>
        <w:tc>
          <w:tcPr>
            <w:tcW w:w="903" w:type="dxa"/>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2525" w:type="dxa"/>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处理前产生浓度及产生量(单位)</w:t>
            </w:r>
          </w:p>
        </w:tc>
        <w:tc>
          <w:tcPr>
            <w:tcW w:w="2770" w:type="dxa"/>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排放浓度及排放量(单位)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14" w:type="dxa"/>
            <w:vMerge w:val="restart"/>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大</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气</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污</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染</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物</w:t>
            </w:r>
          </w:p>
        </w:tc>
        <w:tc>
          <w:tcPr>
            <w:tcW w:w="695" w:type="dxa"/>
            <w:vMerge w:val="restart"/>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w:t>
            </w:r>
          </w:p>
        </w:tc>
        <w:tc>
          <w:tcPr>
            <w:tcW w:w="940" w:type="dxa"/>
            <w:vMerge w:val="restart"/>
            <w:vAlign w:val="center"/>
          </w:tcPr>
          <w:p>
            <w:pPr>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渗滤液处理车间</w:t>
            </w:r>
          </w:p>
        </w:tc>
        <w:tc>
          <w:tcPr>
            <w:tcW w:w="903" w:type="dxa"/>
            <w:vAlign w:val="center"/>
          </w:tcPr>
          <w:p>
            <w:pPr>
              <w:spacing w:line="240"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p>
        </w:tc>
        <w:tc>
          <w:tcPr>
            <w:tcW w:w="2525"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lang w:val="en-US" w:eastAsia="zh-CN"/>
              </w:rPr>
              <w:t>17.33</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default" w:ascii="Times New Roman" w:hAnsi="Times New Roman" w:cs="Times New Roman"/>
                <w:color w:val="auto"/>
                <w:lang w:val="en-US" w:eastAsia="zh-CN"/>
              </w:rPr>
              <w:t>0.456</w:t>
            </w:r>
            <w:r>
              <w:rPr>
                <w:rFonts w:hint="default" w:ascii="Times New Roman" w:hAnsi="Times New Roman" w:cs="Times New Roman"/>
                <w:color w:val="auto"/>
                <w:szCs w:val="21"/>
              </w:rPr>
              <w:t>t/a</w:t>
            </w:r>
          </w:p>
        </w:tc>
        <w:tc>
          <w:tcPr>
            <w:tcW w:w="2770"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lang w:val="en-US" w:eastAsia="zh-CN"/>
              </w:rPr>
              <w:t>1.39</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default" w:ascii="Times New Roman" w:hAnsi="Times New Roman" w:cs="Times New Roman"/>
                <w:color w:val="auto"/>
                <w:lang w:val="en-US" w:eastAsia="zh-CN"/>
              </w:rPr>
              <w:t>0.036</w:t>
            </w:r>
            <w:r>
              <w:rPr>
                <w:rFonts w:hint="default" w:ascii="Times New Roman" w:hAnsi="Times New Roman" w:cs="Times New Roman"/>
                <w:color w:val="auto"/>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14" w:type="dxa"/>
            <w:vMerge w:val="continue"/>
            <w:vAlign w:val="center"/>
          </w:tcPr>
          <w:p>
            <w:pPr>
              <w:spacing w:line="240" w:lineRule="auto"/>
              <w:jc w:val="center"/>
              <w:rPr>
                <w:rFonts w:hint="default" w:ascii="Times New Roman" w:hAnsi="Times New Roman" w:cs="Times New Roman"/>
                <w:color w:val="auto"/>
                <w:szCs w:val="21"/>
              </w:rPr>
            </w:pPr>
          </w:p>
        </w:tc>
        <w:tc>
          <w:tcPr>
            <w:tcW w:w="695" w:type="dxa"/>
            <w:vMerge w:val="continue"/>
            <w:vAlign w:val="center"/>
          </w:tcPr>
          <w:p>
            <w:pPr>
              <w:spacing w:line="240" w:lineRule="auto"/>
              <w:jc w:val="center"/>
              <w:rPr>
                <w:rFonts w:hint="default" w:ascii="Times New Roman" w:hAnsi="Times New Roman" w:cs="Times New Roman"/>
                <w:color w:val="auto"/>
                <w:szCs w:val="21"/>
              </w:rPr>
            </w:pPr>
          </w:p>
        </w:tc>
        <w:tc>
          <w:tcPr>
            <w:tcW w:w="940" w:type="dxa"/>
            <w:vMerge w:val="continue"/>
            <w:vAlign w:val="center"/>
          </w:tcPr>
          <w:p>
            <w:pPr>
              <w:snapToGrid w:val="0"/>
              <w:spacing w:line="240" w:lineRule="auto"/>
              <w:ind w:left="-105" w:leftChars="-50" w:right="-105" w:rightChars="-50"/>
              <w:jc w:val="center"/>
              <w:rPr>
                <w:rFonts w:hint="default" w:ascii="Times New Roman" w:hAnsi="Times New Roman" w:cs="Times New Roman"/>
                <w:color w:val="auto"/>
                <w:szCs w:val="21"/>
              </w:rPr>
            </w:pPr>
          </w:p>
        </w:tc>
        <w:tc>
          <w:tcPr>
            <w:tcW w:w="903" w:type="dxa"/>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p>
        </w:tc>
        <w:tc>
          <w:tcPr>
            <w:tcW w:w="2525"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lang w:val="en-US" w:eastAsia="zh-CN"/>
              </w:rPr>
              <w:t>0.47</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default" w:ascii="Times New Roman" w:hAnsi="Times New Roman" w:cs="Times New Roman"/>
                <w:color w:val="auto"/>
                <w:lang w:val="en-US" w:eastAsia="zh-CN"/>
              </w:rPr>
              <w:t>0.012</w:t>
            </w:r>
            <w:r>
              <w:rPr>
                <w:rFonts w:hint="default" w:ascii="Times New Roman" w:hAnsi="Times New Roman" w:cs="Times New Roman"/>
                <w:color w:val="auto"/>
                <w:szCs w:val="21"/>
              </w:rPr>
              <w:t>t/a</w:t>
            </w:r>
          </w:p>
        </w:tc>
        <w:tc>
          <w:tcPr>
            <w:tcW w:w="2770"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lang w:val="en-US" w:eastAsia="zh-CN"/>
              </w:rPr>
              <w:t>0.04</w:t>
            </w:r>
            <w:r>
              <w:rPr>
                <w:rFonts w:hint="default" w:ascii="Times New Roman" w:hAnsi="Times New Roman" w:cs="Times New Roman"/>
                <w:color w:val="auto"/>
              </w:rPr>
              <w:t xml:space="preserve"> 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default" w:ascii="Times New Roman" w:hAnsi="Times New Roman" w:cs="Times New Roman"/>
                <w:color w:val="auto"/>
                <w:lang w:val="en-US" w:eastAsia="zh-CN"/>
              </w:rPr>
              <w:t>0.001</w:t>
            </w:r>
            <w:r>
              <w:rPr>
                <w:rFonts w:hint="default" w:ascii="Times New Roman" w:hAnsi="Times New Roman" w:cs="Times New Roman"/>
                <w:color w:val="auto"/>
                <w:szCs w:val="21"/>
              </w:rPr>
              <w:t>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14" w:type="dxa"/>
            <w:vMerge w:val="continue"/>
            <w:vAlign w:val="center"/>
          </w:tcPr>
          <w:p>
            <w:pPr>
              <w:spacing w:line="240" w:lineRule="auto"/>
              <w:jc w:val="center"/>
              <w:rPr>
                <w:rFonts w:hint="default" w:ascii="Times New Roman" w:hAnsi="Times New Roman" w:cs="Times New Roman"/>
                <w:color w:val="auto"/>
                <w:szCs w:val="21"/>
              </w:rPr>
            </w:pPr>
          </w:p>
        </w:tc>
        <w:tc>
          <w:tcPr>
            <w:tcW w:w="695" w:type="dxa"/>
            <w:vMerge w:val="restart"/>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w:t>
            </w:r>
          </w:p>
        </w:tc>
        <w:tc>
          <w:tcPr>
            <w:tcW w:w="940" w:type="dxa"/>
            <w:vMerge w:val="restart"/>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lang w:val="en-US" w:eastAsia="zh-CN"/>
              </w:rPr>
              <w:t>渗滤液处理车间</w:t>
            </w:r>
          </w:p>
        </w:tc>
        <w:tc>
          <w:tcPr>
            <w:tcW w:w="903" w:type="dxa"/>
            <w:vAlign w:val="center"/>
          </w:tcPr>
          <w:p>
            <w:pPr>
              <w:spacing w:line="240"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p>
        </w:tc>
        <w:tc>
          <w:tcPr>
            <w:tcW w:w="2525"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lang w:val="en-US" w:eastAsia="zh-CN"/>
              </w:rPr>
              <w:t>0.091</w:t>
            </w:r>
            <w:r>
              <w:rPr>
                <w:rFonts w:hint="default" w:ascii="Times New Roman" w:hAnsi="Times New Roman" w:cs="Times New Roman"/>
                <w:color w:val="auto"/>
                <w:szCs w:val="21"/>
              </w:rPr>
              <w:t xml:space="preserve"> t/a</w:t>
            </w:r>
          </w:p>
        </w:tc>
        <w:tc>
          <w:tcPr>
            <w:tcW w:w="2770"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lang w:val="en-US" w:eastAsia="zh-CN"/>
              </w:rPr>
              <w:t>0.091</w:t>
            </w:r>
            <w:r>
              <w:rPr>
                <w:rFonts w:hint="default" w:ascii="Times New Roman" w:hAnsi="Times New Roman" w:cs="Times New Roman"/>
                <w:color w:val="auto"/>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14" w:type="dxa"/>
            <w:vMerge w:val="continue"/>
            <w:vAlign w:val="center"/>
          </w:tcPr>
          <w:p>
            <w:pPr>
              <w:spacing w:line="240" w:lineRule="auto"/>
              <w:jc w:val="center"/>
              <w:rPr>
                <w:rFonts w:hint="default" w:ascii="Times New Roman" w:hAnsi="Times New Roman" w:cs="Times New Roman"/>
                <w:color w:val="auto"/>
                <w:szCs w:val="21"/>
              </w:rPr>
            </w:pPr>
          </w:p>
        </w:tc>
        <w:tc>
          <w:tcPr>
            <w:tcW w:w="695" w:type="dxa"/>
            <w:vMerge w:val="continue"/>
            <w:vAlign w:val="center"/>
          </w:tcPr>
          <w:p>
            <w:pPr>
              <w:spacing w:line="240" w:lineRule="auto"/>
              <w:jc w:val="center"/>
              <w:rPr>
                <w:rFonts w:hint="default" w:ascii="Times New Roman" w:hAnsi="Times New Roman" w:cs="Times New Roman"/>
                <w:color w:val="auto"/>
                <w:szCs w:val="21"/>
              </w:rPr>
            </w:pPr>
          </w:p>
        </w:tc>
        <w:tc>
          <w:tcPr>
            <w:tcW w:w="940" w:type="dxa"/>
            <w:vMerge w:val="continue"/>
            <w:tcBorders>
              <w:bottom w:val="single" w:color="auto" w:sz="6" w:space="0"/>
            </w:tcBorders>
            <w:vAlign w:val="center"/>
          </w:tcPr>
          <w:p>
            <w:pPr>
              <w:spacing w:line="240" w:lineRule="auto"/>
              <w:jc w:val="center"/>
              <w:rPr>
                <w:rFonts w:hint="default" w:ascii="Times New Roman" w:hAnsi="Times New Roman" w:cs="Times New Roman"/>
                <w:color w:val="auto"/>
                <w:szCs w:val="21"/>
              </w:rPr>
            </w:pPr>
          </w:p>
        </w:tc>
        <w:tc>
          <w:tcPr>
            <w:tcW w:w="903" w:type="dxa"/>
            <w:tcBorders>
              <w:bottom w:val="single" w:color="auto" w:sz="6" w:space="0"/>
            </w:tcBorders>
            <w:vAlign w:val="center"/>
          </w:tcPr>
          <w:p>
            <w:pPr>
              <w:spacing w:line="240"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p>
        </w:tc>
        <w:tc>
          <w:tcPr>
            <w:tcW w:w="2525" w:type="dxa"/>
            <w:tcBorders>
              <w:bottom w:val="single" w:color="auto" w:sz="6" w:space="0"/>
            </w:tcBorders>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lang w:val="en-US" w:eastAsia="zh-CN"/>
              </w:rPr>
              <w:t>0.0025</w:t>
            </w:r>
            <w:r>
              <w:rPr>
                <w:rFonts w:hint="default" w:ascii="Times New Roman" w:hAnsi="Times New Roman" w:cs="Times New Roman"/>
                <w:color w:val="auto"/>
                <w:szCs w:val="21"/>
              </w:rPr>
              <w:t xml:space="preserve"> t/a</w:t>
            </w:r>
          </w:p>
        </w:tc>
        <w:tc>
          <w:tcPr>
            <w:tcW w:w="2770" w:type="dxa"/>
            <w:tcBorders>
              <w:bottom w:val="single" w:color="auto" w:sz="6" w:space="0"/>
            </w:tcBorders>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lang w:val="en-US" w:eastAsia="zh-CN"/>
              </w:rPr>
              <w:t>0.0025</w:t>
            </w:r>
            <w:r>
              <w:rPr>
                <w:rFonts w:hint="default" w:ascii="Times New Roman" w:hAnsi="Times New Roman" w:cs="Times New Roman"/>
                <w:color w:val="auto"/>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14" w:type="dxa"/>
            <w:vMerge w:val="restart"/>
            <w:tcBorders>
              <w:top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水</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污</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染</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物</w:t>
            </w:r>
          </w:p>
        </w:tc>
        <w:tc>
          <w:tcPr>
            <w:tcW w:w="1635" w:type="dxa"/>
            <w:gridSpan w:val="2"/>
            <w:vMerge w:val="restart"/>
            <w:tcBorders>
              <w:top w:val="single" w:color="auto" w:sz="6" w:space="0"/>
            </w:tcBorders>
            <w:vAlign w:val="center"/>
          </w:tcPr>
          <w:p>
            <w:pPr>
              <w:spacing w:line="240" w:lineRule="auto"/>
              <w:ind w:right="-105" w:rightChars="-50"/>
              <w:jc w:val="center"/>
              <w:rPr>
                <w:rFonts w:hint="default" w:ascii="Times New Roman" w:hAnsi="Times New Roman" w:cs="Times New Roman"/>
                <w:color w:val="auto"/>
                <w:szCs w:val="21"/>
              </w:rPr>
            </w:pPr>
            <w:r>
              <w:rPr>
                <w:rFonts w:hint="default" w:ascii="Times New Roman" w:hAnsi="Times New Roman" w:cs="Times New Roman"/>
                <w:color w:val="auto"/>
                <w:lang w:val="en-US" w:eastAsia="zh-CN"/>
              </w:rPr>
              <w:t>渗滤液处理车间</w:t>
            </w:r>
          </w:p>
        </w:tc>
        <w:tc>
          <w:tcPr>
            <w:tcW w:w="903" w:type="dxa"/>
            <w:tcBorders>
              <w:top w:val="single" w:color="auto" w:sz="6" w:space="0"/>
              <w:bottom w:val="single" w:color="auto" w:sz="6"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2525" w:type="dxa"/>
            <w:tcBorders>
              <w:top w:val="single" w:color="auto" w:sz="6" w:space="0"/>
              <w:bottom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20000</w:t>
            </w:r>
            <w:r>
              <w:rPr>
                <w:rFonts w:hint="default" w:ascii="Times New Roman" w:hAnsi="Times New Roman" w:cs="Times New Roman"/>
                <w:color w:val="auto"/>
                <w:szCs w:val="21"/>
              </w:rPr>
              <w:t>mg/L，</w:t>
            </w:r>
            <w:r>
              <w:rPr>
                <w:rFonts w:hint="eastAsia" w:cs="Times New Roman"/>
                <w:color w:val="auto"/>
                <w:szCs w:val="21"/>
                <w:lang w:val="en-US" w:eastAsia="zh-CN"/>
              </w:rPr>
              <w:t>1095</w:t>
            </w:r>
            <w:r>
              <w:rPr>
                <w:rFonts w:hint="default" w:ascii="Times New Roman" w:hAnsi="Times New Roman" w:cs="Times New Roman"/>
                <w:color w:val="auto"/>
                <w:szCs w:val="21"/>
              </w:rPr>
              <w:t>t/a</w:t>
            </w:r>
          </w:p>
        </w:tc>
        <w:tc>
          <w:tcPr>
            <w:tcW w:w="2770" w:type="dxa"/>
            <w:tcBorders>
              <w:top w:val="single" w:color="auto" w:sz="6" w:space="0"/>
              <w:bottom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47.83</w:t>
            </w:r>
            <w:r>
              <w:rPr>
                <w:rFonts w:hint="default" w:ascii="Times New Roman" w:hAnsi="Times New Roman" w:cs="Times New Roman"/>
                <w:color w:val="auto"/>
                <w:szCs w:val="21"/>
              </w:rPr>
              <w:t>mg/L，</w:t>
            </w:r>
            <w:r>
              <w:rPr>
                <w:rFonts w:hint="eastAsia" w:cs="Times New Roman"/>
                <w:color w:val="auto"/>
                <w:szCs w:val="21"/>
                <w:lang w:val="en-US" w:eastAsia="zh-CN"/>
              </w:rPr>
              <w:t>2.62</w:t>
            </w:r>
            <w:r>
              <w:rPr>
                <w:rFonts w:hint="default" w:ascii="Times New Roman" w:hAnsi="Times New Roman" w:cs="Times New Roman"/>
                <w:color w:val="auto"/>
                <w:szCs w:val="21"/>
              </w:rPr>
              <w:t>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14" w:type="dxa"/>
            <w:vMerge w:val="continue"/>
            <w:vAlign w:val="center"/>
          </w:tcPr>
          <w:p>
            <w:pPr>
              <w:spacing w:line="240" w:lineRule="auto"/>
              <w:jc w:val="center"/>
              <w:rPr>
                <w:rFonts w:hint="default" w:ascii="Times New Roman" w:hAnsi="Times New Roman" w:cs="Times New Roman"/>
                <w:color w:val="auto"/>
                <w:szCs w:val="21"/>
              </w:rPr>
            </w:pPr>
          </w:p>
        </w:tc>
        <w:tc>
          <w:tcPr>
            <w:tcW w:w="1635" w:type="dxa"/>
            <w:gridSpan w:val="2"/>
            <w:vMerge w:val="continue"/>
            <w:vAlign w:val="center"/>
          </w:tcPr>
          <w:p>
            <w:pPr>
              <w:spacing w:line="240" w:lineRule="auto"/>
              <w:jc w:val="center"/>
              <w:rPr>
                <w:rFonts w:hint="default" w:ascii="Times New Roman" w:hAnsi="Times New Roman" w:cs="Times New Roman"/>
                <w:color w:val="auto"/>
                <w:szCs w:val="21"/>
              </w:rPr>
            </w:pPr>
          </w:p>
        </w:tc>
        <w:tc>
          <w:tcPr>
            <w:tcW w:w="903" w:type="dxa"/>
            <w:tcBorders>
              <w:top w:val="single" w:color="auto" w:sz="6" w:space="0"/>
              <w:bottom w:val="single" w:color="auto" w:sz="6"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2525" w:type="dxa"/>
            <w:tcBorders>
              <w:top w:val="single" w:color="auto" w:sz="6" w:space="0"/>
              <w:bottom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876</w:t>
            </w:r>
            <w:r>
              <w:rPr>
                <w:rFonts w:hint="default" w:ascii="Times New Roman" w:hAnsi="Times New Roman" w:cs="Times New Roman"/>
                <w:color w:val="auto"/>
                <w:szCs w:val="21"/>
              </w:rPr>
              <w:t>mg/L，</w:t>
            </w:r>
            <w:r>
              <w:rPr>
                <w:rFonts w:hint="eastAsia" w:cs="Times New Roman"/>
                <w:color w:val="auto"/>
                <w:szCs w:val="21"/>
                <w:lang w:val="en-US" w:eastAsia="zh-CN"/>
              </w:rPr>
              <w:t>657</w:t>
            </w:r>
            <w:r>
              <w:rPr>
                <w:rFonts w:hint="default" w:ascii="Times New Roman" w:hAnsi="Times New Roman" w:cs="Times New Roman"/>
                <w:color w:val="auto"/>
                <w:szCs w:val="21"/>
              </w:rPr>
              <w:t>t/a</w:t>
            </w:r>
          </w:p>
        </w:tc>
        <w:tc>
          <w:tcPr>
            <w:tcW w:w="2770" w:type="dxa"/>
            <w:tcBorders>
              <w:top w:val="single" w:color="auto" w:sz="6" w:space="0"/>
              <w:bottom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14.35</w:t>
            </w:r>
            <w:r>
              <w:rPr>
                <w:rFonts w:hint="default" w:ascii="Times New Roman" w:hAnsi="Times New Roman" w:cs="Times New Roman"/>
                <w:color w:val="auto"/>
                <w:szCs w:val="21"/>
              </w:rPr>
              <w:t>mg/L，</w:t>
            </w:r>
            <w:r>
              <w:rPr>
                <w:rFonts w:hint="eastAsia" w:cs="Times New Roman"/>
                <w:color w:val="auto"/>
                <w:szCs w:val="21"/>
                <w:lang w:val="en-US" w:eastAsia="zh-CN"/>
              </w:rPr>
              <w:t>0.79</w:t>
            </w:r>
            <w:r>
              <w:rPr>
                <w:rFonts w:hint="default" w:ascii="Times New Roman" w:hAnsi="Times New Roman" w:cs="Times New Roman"/>
                <w:color w:val="auto"/>
                <w:szCs w:val="21"/>
              </w:rPr>
              <w:t>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14" w:type="dxa"/>
            <w:vMerge w:val="continue"/>
            <w:vAlign w:val="center"/>
          </w:tcPr>
          <w:p>
            <w:pPr>
              <w:spacing w:line="240" w:lineRule="auto"/>
              <w:jc w:val="center"/>
              <w:rPr>
                <w:rFonts w:hint="default" w:ascii="Times New Roman" w:hAnsi="Times New Roman" w:cs="Times New Roman"/>
                <w:color w:val="auto"/>
                <w:szCs w:val="21"/>
              </w:rPr>
            </w:pPr>
          </w:p>
        </w:tc>
        <w:tc>
          <w:tcPr>
            <w:tcW w:w="1635" w:type="dxa"/>
            <w:gridSpan w:val="2"/>
            <w:vMerge w:val="continue"/>
            <w:vAlign w:val="center"/>
          </w:tcPr>
          <w:p>
            <w:pPr>
              <w:spacing w:line="240" w:lineRule="auto"/>
              <w:jc w:val="center"/>
              <w:rPr>
                <w:rFonts w:hint="default" w:ascii="Times New Roman" w:hAnsi="Times New Roman" w:cs="Times New Roman"/>
                <w:color w:val="auto"/>
                <w:szCs w:val="21"/>
              </w:rPr>
            </w:pPr>
          </w:p>
        </w:tc>
        <w:tc>
          <w:tcPr>
            <w:tcW w:w="903" w:type="dxa"/>
            <w:tcBorders>
              <w:top w:val="single" w:color="auto" w:sz="6" w:space="0"/>
              <w:bottom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2525" w:type="dxa"/>
            <w:tcBorders>
              <w:top w:val="single" w:color="auto" w:sz="6" w:space="0"/>
              <w:bottom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1500</w:t>
            </w:r>
            <w:r>
              <w:rPr>
                <w:rFonts w:hint="default" w:ascii="Times New Roman" w:hAnsi="Times New Roman" w:cs="Times New Roman"/>
                <w:color w:val="auto"/>
                <w:szCs w:val="21"/>
              </w:rPr>
              <w:t>mg/L，</w:t>
            </w:r>
            <w:r>
              <w:rPr>
                <w:rFonts w:hint="eastAsia" w:cs="Times New Roman"/>
                <w:color w:val="auto"/>
                <w:szCs w:val="21"/>
                <w:lang w:val="en-US" w:eastAsia="zh-CN"/>
              </w:rPr>
              <w:t>82.13</w:t>
            </w:r>
            <w:r>
              <w:rPr>
                <w:rFonts w:hint="default" w:ascii="Times New Roman" w:hAnsi="Times New Roman" w:cs="Times New Roman"/>
                <w:color w:val="auto"/>
                <w:szCs w:val="21"/>
              </w:rPr>
              <w:t>t/a</w:t>
            </w:r>
          </w:p>
        </w:tc>
        <w:tc>
          <w:tcPr>
            <w:tcW w:w="2770" w:type="dxa"/>
            <w:tcBorders>
              <w:top w:val="single" w:color="auto" w:sz="6" w:space="0"/>
              <w:bottom w:val="single" w:color="auto" w:sz="4" w:space="0"/>
            </w:tcBorders>
            <w:vAlign w:val="center"/>
          </w:tcPr>
          <w:p>
            <w:pPr>
              <w:pStyle w:val="75"/>
              <w:shd w:val="clear" w:color="auto" w:fill="auto"/>
              <w:adjustRightInd w:val="0"/>
              <w:snapToGrid w:val="0"/>
              <w:spacing w:after="0"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4.96</w:t>
            </w:r>
            <w:r>
              <w:rPr>
                <w:rFonts w:hint="default" w:ascii="Times New Roman" w:hAnsi="Times New Roman" w:eastAsia="宋体" w:cs="Times New Roman"/>
                <w:color w:val="auto"/>
                <w:sz w:val="21"/>
                <w:szCs w:val="21"/>
              </w:rPr>
              <w:t>mg/L，</w:t>
            </w:r>
            <w:r>
              <w:rPr>
                <w:rFonts w:hint="eastAsia" w:ascii="Times New Roman" w:hAnsi="Times New Roman" w:eastAsia="宋体" w:cs="Times New Roman"/>
                <w:color w:val="auto"/>
                <w:sz w:val="21"/>
                <w:szCs w:val="21"/>
                <w:lang w:val="en-US" w:eastAsia="zh-CN"/>
              </w:rPr>
              <w:t>0.27</w:t>
            </w:r>
            <w:r>
              <w:rPr>
                <w:rFonts w:hint="default" w:ascii="Times New Roman" w:hAnsi="Times New Roman" w:eastAsia="宋体" w:cs="Times New Roman"/>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14" w:type="dxa"/>
            <w:vMerge w:val="continue"/>
            <w:vAlign w:val="center"/>
          </w:tcPr>
          <w:p>
            <w:pPr>
              <w:spacing w:line="240" w:lineRule="auto"/>
              <w:jc w:val="center"/>
              <w:rPr>
                <w:rFonts w:hint="default" w:ascii="Times New Roman" w:hAnsi="Times New Roman" w:cs="Times New Roman"/>
                <w:color w:val="auto"/>
                <w:szCs w:val="21"/>
              </w:rPr>
            </w:pPr>
          </w:p>
        </w:tc>
        <w:tc>
          <w:tcPr>
            <w:tcW w:w="1635" w:type="dxa"/>
            <w:gridSpan w:val="2"/>
            <w:vMerge w:val="continue"/>
            <w:vAlign w:val="center"/>
          </w:tcPr>
          <w:p>
            <w:pPr>
              <w:spacing w:line="240" w:lineRule="auto"/>
              <w:jc w:val="center"/>
              <w:rPr>
                <w:rFonts w:hint="default" w:ascii="Times New Roman" w:hAnsi="Times New Roman" w:cs="Times New Roman"/>
                <w:color w:val="auto"/>
                <w:szCs w:val="21"/>
              </w:rPr>
            </w:pPr>
          </w:p>
        </w:tc>
        <w:tc>
          <w:tcPr>
            <w:tcW w:w="903" w:type="dxa"/>
            <w:tcBorders>
              <w:top w:val="single" w:color="auto" w:sz="4" w:space="0"/>
              <w:bottom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TN</w:t>
            </w:r>
          </w:p>
        </w:tc>
        <w:tc>
          <w:tcPr>
            <w:tcW w:w="2525"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2000</w:t>
            </w:r>
            <w:r>
              <w:rPr>
                <w:rFonts w:hint="default" w:ascii="Times New Roman" w:hAnsi="Times New Roman" w:cs="Times New Roman"/>
                <w:color w:val="auto"/>
                <w:szCs w:val="21"/>
              </w:rPr>
              <w:t>mg/L，</w:t>
            </w:r>
            <w:r>
              <w:rPr>
                <w:rFonts w:hint="eastAsia" w:cs="Times New Roman"/>
                <w:color w:val="auto"/>
                <w:szCs w:val="21"/>
                <w:lang w:val="en-US" w:eastAsia="zh-CN"/>
              </w:rPr>
              <w:t>109.5</w:t>
            </w:r>
            <w:r>
              <w:rPr>
                <w:rFonts w:hint="default" w:ascii="Times New Roman" w:hAnsi="Times New Roman" w:cs="Times New Roman"/>
                <w:color w:val="auto"/>
                <w:szCs w:val="21"/>
              </w:rPr>
              <w:t>t/a</w:t>
            </w:r>
          </w:p>
        </w:tc>
        <w:tc>
          <w:tcPr>
            <w:tcW w:w="2770"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7.44</w:t>
            </w:r>
            <w:r>
              <w:rPr>
                <w:rFonts w:hint="default" w:ascii="Times New Roman" w:hAnsi="Times New Roman" w:cs="Times New Roman"/>
                <w:color w:val="auto"/>
                <w:szCs w:val="21"/>
              </w:rPr>
              <w:t>mg/L，</w:t>
            </w:r>
            <w:r>
              <w:rPr>
                <w:rFonts w:hint="default" w:ascii="Times New Roman" w:hAnsi="Times New Roman" w:cs="Times New Roman"/>
                <w:color w:val="auto"/>
                <w:szCs w:val="21"/>
                <w:lang w:val="en-US" w:eastAsia="zh-CN"/>
              </w:rPr>
              <w:t>0.</w:t>
            </w:r>
            <w:r>
              <w:rPr>
                <w:rFonts w:hint="eastAsia" w:cs="Times New Roman"/>
                <w:color w:val="auto"/>
                <w:szCs w:val="21"/>
                <w:lang w:val="en-US" w:eastAsia="zh-CN"/>
              </w:rPr>
              <w:t>41</w:t>
            </w:r>
            <w:r>
              <w:rPr>
                <w:rFonts w:hint="default" w:ascii="Times New Roman" w:hAnsi="Times New Roman" w:cs="Times New Roman"/>
                <w:color w:val="auto"/>
                <w:szCs w:val="21"/>
              </w:rPr>
              <w:t>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14" w:type="dxa"/>
            <w:vMerge w:val="continue"/>
            <w:tcBorders>
              <w:bottom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635" w:type="dxa"/>
            <w:gridSpan w:val="2"/>
            <w:vMerge w:val="continue"/>
            <w:tcBorders>
              <w:bottom w:val="single" w:color="auto" w:sz="4" w:space="0"/>
            </w:tcBorders>
            <w:vAlign w:val="center"/>
          </w:tcPr>
          <w:p>
            <w:pPr>
              <w:spacing w:line="240" w:lineRule="auto"/>
              <w:jc w:val="center"/>
              <w:rPr>
                <w:rFonts w:hint="default" w:ascii="Times New Roman" w:hAnsi="Times New Roman" w:cs="Times New Roman"/>
                <w:color w:val="auto"/>
                <w:szCs w:val="21"/>
              </w:rPr>
            </w:pPr>
          </w:p>
        </w:tc>
        <w:tc>
          <w:tcPr>
            <w:tcW w:w="903" w:type="dxa"/>
            <w:tcBorders>
              <w:top w:val="single" w:color="auto" w:sz="4" w:space="0"/>
              <w:bottom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TP</w:t>
            </w:r>
          </w:p>
        </w:tc>
        <w:tc>
          <w:tcPr>
            <w:tcW w:w="2525"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20</w:t>
            </w:r>
            <w:r>
              <w:rPr>
                <w:rFonts w:hint="default" w:ascii="Times New Roman" w:hAnsi="Times New Roman" w:cs="Times New Roman"/>
                <w:color w:val="auto"/>
                <w:szCs w:val="21"/>
              </w:rPr>
              <w:t>mg/L，</w:t>
            </w:r>
            <w:r>
              <w:rPr>
                <w:rFonts w:hint="default" w:ascii="Times New Roman" w:hAnsi="Times New Roman" w:cs="Times New Roman"/>
                <w:color w:val="auto"/>
                <w:szCs w:val="21"/>
                <w:lang w:val="en-US" w:eastAsia="zh-CN"/>
              </w:rPr>
              <w:t>1.</w:t>
            </w:r>
            <w:r>
              <w:rPr>
                <w:rFonts w:hint="eastAsia" w:cs="Times New Roman"/>
                <w:color w:val="auto"/>
                <w:szCs w:val="21"/>
                <w:lang w:val="en-US" w:eastAsia="zh-CN"/>
              </w:rPr>
              <w:t>1</w:t>
            </w:r>
            <w:r>
              <w:rPr>
                <w:rFonts w:hint="default" w:ascii="Times New Roman" w:hAnsi="Times New Roman" w:cs="Times New Roman"/>
                <w:color w:val="auto"/>
                <w:szCs w:val="21"/>
              </w:rPr>
              <w:t>t/a</w:t>
            </w:r>
          </w:p>
        </w:tc>
        <w:tc>
          <w:tcPr>
            <w:tcW w:w="2770"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mg/L，</w:t>
            </w:r>
            <w:r>
              <w:rPr>
                <w:rFonts w:hint="default" w:ascii="Times New Roman" w:hAnsi="Times New Roman" w:cs="Times New Roman"/>
                <w:color w:val="auto"/>
                <w:szCs w:val="21"/>
                <w:lang w:val="en-US" w:eastAsia="zh-CN"/>
              </w:rPr>
              <w:t>0.1</w:t>
            </w:r>
            <w:r>
              <w:rPr>
                <w:rFonts w:hint="eastAsia" w:cs="Times New Roman"/>
                <w:color w:val="auto"/>
                <w:szCs w:val="21"/>
                <w:lang w:val="en-US" w:eastAsia="zh-CN"/>
              </w:rPr>
              <w:t>1</w:t>
            </w:r>
            <w:r>
              <w:rPr>
                <w:rFonts w:hint="default" w:ascii="Times New Roman" w:hAnsi="Times New Roman" w:cs="Times New Roman"/>
                <w:color w:val="auto"/>
                <w:szCs w:val="21"/>
              </w:rPr>
              <w:t>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2" w:hRule="atLeast"/>
          <w:jc w:val="center"/>
        </w:trPr>
        <w:tc>
          <w:tcPr>
            <w:tcW w:w="1114" w:type="dxa"/>
            <w:vMerge w:val="restart"/>
            <w:tcBorders>
              <w:top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固</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体</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废</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物</w:t>
            </w:r>
          </w:p>
        </w:tc>
        <w:tc>
          <w:tcPr>
            <w:tcW w:w="1635" w:type="dxa"/>
            <w:gridSpan w:val="2"/>
            <w:tcBorders>
              <w:top w:val="single" w:color="auto" w:sz="4" w:space="0"/>
            </w:tcBorders>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DTRO系统</w:t>
            </w:r>
          </w:p>
        </w:tc>
        <w:tc>
          <w:tcPr>
            <w:tcW w:w="903" w:type="dxa"/>
            <w:tcBorders>
              <w:top w:val="single" w:color="auto" w:sz="4" w:space="0"/>
            </w:tcBorders>
            <w:vAlign w:val="center"/>
          </w:tcPr>
          <w:p>
            <w:pPr>
              <w:snapToGrid w:val="0"/>
              <w:spacing w:line="240"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废膜</w:t>
            </w:r>
          </w:p>
        </w:tc>
        <w:tc>
          <w:tcPr>
            <w:tcW w:w="2525" w:type="dxa"/>
            <w:tcBorders>
              <w:top w:val="single" w:color="auto" w:sz="4" w:space="0"/>
            </w:tcBorders>
            <w:vAlign w:val="center"/>
          </w:tcPr>
          <w:p>
            <w:pPr>
              <w:pStyle w:val="41"/>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0.01t/3</w:t>
            </w:r>
            <w:r>
              <w:rPr>
                <w:rFonts w:hint="eastAsia" w:ascii="Times New Roman" w:hAnsi="Times New Roman" w:cs="Times New Roman"/>
                <w:color w:val="auto"/>
                <w:sz w:val="21"/>
                <w:szCs w:val="21"/>
                <w:lang w:val="en-US" w:eastAsia="zh-CN"/>
              </w:rPr>
              <w:t>a</w:t>
            </w:r>
          </w:p>
        </w:tc>
        <w:tc>
          <w:tcPr>
            <w:tcW w:w="2770" w:type="dxa"/>
            <w:tcBorders>
              <w:top w:val="single" w:color="auto" w:sz="4" w:space="0"/>
            </w:tcBorders>
            <w:vAlign w:val="center"/>
          </w:tcPr>
          <w:p>
            <w:pPr>
              <w:pStyle w:val="41"/>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厂家回收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14" w:type="dxa"/>
            <w:vMerge w:val="continue"/>
            <w:vAlign w:val="center"/>
          </w:tcPr>
          <w:p>
            <w:pPr>
              <w:spacing w:line="240" w:lineRule="auto"/>
              <w:jc w:val="center"/>
              <w:rPr>
                <w:rFonts w:hint="default" w:ascii="Times New Roman" w:hAnsi="Times New Roman" w:cs="Times New Roman"/>
                <w:color w:val="auto"/>
                <w:szCs w:val="21"/>
              </w:rPr>
            </w:pPr>
          </w:p>
        </w:tc>
        <w:tc>
          <w:tcPr>
            <w:tcW w:w="1635" w:type="dxa"/>
            <w:gridSpan w:val="2"/>
            <w:tcBorders>
              <w:top w:val="single" w:color="auto" w:sz="4" w:space="0"/>
            </w:tcBorders>
            <w:vAlign w:val="center"/>
          </w:tcPr>
          <w:p>
            <w:pPr>
              <w:spacing w:line="240" w:lineRule="auto"/>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安保系统</w:t>
            </w:r>
          </w:p>
        </w:tc>
        <w:tc>
          <w:tcPr>
            <w:tcW w:w="903" w:type="dxa"/>
            <w:tcBorders>
              <w:top w:val="single" w:color="auto" w:sz="4" w:space="0"/>
            </w:tcBorders>
            <w:vAlign w:val="center"/>
          </w:tcPr>
          <w:p>
            <w:pPr>
              <w:snapToGrid w:val="0"/>
              <w:spacing w:line="240" w:lineRule="auto"/>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废离子交换树脂</w:t>
            </w:r>
          </w:p>
        </w:tc>
        <w:tc>
          <w:tcPr>
            <w:tcW w:w="2525" w:type="dxa"/>
            <w:tcBorders>
              <w:top w:val="single" w:color="auto" w:sz="4" w:space="0"/>
            </w:tcBorders>
            <w:vAlign w:val="center"/>
          </w:tcPr>
          <w:p>
            <w:pPr>
              <w:pStyle w:val="41"/>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0.002</w:t>
            </w:r>
            <w:r>
              <w:rPr>
                <w:rFonts w:hint="default" w:ascii="Times New Roman" w:hAnsi="Times New Roman" w:cs="Times New Roman"/>
                <w:color w:val="auto"/>
                <w:sz w:val="21"/>
                <w:szCs w:val="21"/>
                <w:lang w:val="en-US" w:eastAsia="zh-CN"/>
              </w:rPr>
              <w:t>t/</w:t>
            </w:r>
            <w:r>
              <w:rPr>
                <w:rFonts w:hint="eastAsia" w:ascii="Times New Roman" w:hAnsi="Times New Roman" w:cs="Times New Roman"/>
                <w:color w:val="auto"/>
                <w:sz w:val="21"/>
                <w:szCs w:val="21"/>
                <w:lang w:val="en-US" w:eastAsia="zh-CN"/>
              </w:rPr>
              <w:t>a</w:t>
            </w:r>
          </w:p>
        </w:tc>
        <w:tc>
          <w:tcPr>
            <w:tcW w:w="2770" w:type="dxa"/>
            <w:tcBorders>
              <w:top w:val="single" w:color="auto" w:sz="4" w:space="0"/>
            </w:tcBorders>
            <w:vAlign w:val="center"/>
          </w:tcPr>
          <w:p>
            <w:pPr>
              <w:pStyle w:val="41"/>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14" w:type="dxa"/>
            <w:vMerge w:val="continue"/>
            <w:vAlign w:val="center"/>
          </w:tcPr>
          <w:p>
            <w:pPr>
              <w:spacing w:line="240" w:lineRule="auto"/>
              <w:jc w:val="center"/>
              <w:rPr>
                <w:rFonts w:hint="default" w:ascii="Times New Roman" w:hAnsi="Times New Roman" w:cs="Times New Roman"/>
                <w:color w:val="auto"/>
                <w:szCs w:val="21"/>
              </w:rPr>
            </w:pPr>
          </w:p>
        </w:tc>
        <w:tc>
          <w:tcPr>
            <w:tcW w:w="1635" w:type="dxa"/>
            <w:gridSpan w:val="2"/>
            <w:tcBorders>
              <w:top w:val="single" w:color="auto" w:sz="4" w:space="0"/>
            </w:tcBorders>
            <w:vAlign w:val="center"/>
          </w:tcPr>
          <w:p>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设备维修</w:t>
            </w:r>
          </w:p>
        </w:tc>
        <w:tc>
          <w:tcPr>
            <w:tcW w:w="903" w:type="dxa"/>
            <w:tcBorders>
              <w:top w:val="single" w:color="auto" w:sz="4" w:space="0"/>
            </w:tcBorders>
            <w:vAlign w:val="center"/>
          </w:tcPr>
          <w:p>
            <w:pPr>
              <w:snapToGrid w:val="0"/>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废机油</w:t>
            </w:r>
          </w:p>
        </w:tc>
        <w:tc>
          <w:tcPr>
            <w:tcW w:w="2525" w:type="dxa"/>
            <w:tcBorders>
              <w:top w:val="single" w:color="auto" w:sz="4" w:space="0"/>
            </w:tcBorders>
            <w:vAlign w:val="center"/>
          </w:tcPr>
          <w:p>
            <w:pPr>
              <w:pStyle w:val="41"/>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0.016t/a</w:t>
            </w:r>
          </w:p>
        </w:tc>
        <w:tc>
          <w:tcPr>
            <w:tcW w:w="2770" w:type="dxa"/>
            <w:tcBorders>
              <w:top w:val="single" w:color="auto" w:sz="4" w:space="0"/>
            </w:tcBorders>
            <w:vAlign w:val="center"/>
          </w:tcPr>
          <w:p>
            <w:pPr>
              <w:pStyle w:val="41"/>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14" w:type="dxa"/>
            <w:vMerge w:val="continue"/>
            <w:vAlign w:val="center"/>
          </w:tcPr>
          <w:p>
            <w:pPr>
              <w:spacing w:line="240" w:lineRule="auto"/>
              <w:jc w:val="center"/>
              <w:rPr>
                <w:rFonts w:hint="default" w:ascii="Times New Roman" w:hAnsi="Times New Roman" w:cs="Times New Roman"/>
                <w:color w:val="auto"/>
                <w:szCs w:val="21"/>
              </w:rPr>
            </w:pPr>
          </w:p>
        </w:tc>
        <w:tc>
          <w:tcPr>
            <w:tcW w:w="1635" w:type="dxa"/>
            <w:gridSpan w:val="2"/>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lang w:val="en-US" w:eastAsia="zh-CN"/>
              </w:rPr>
              <w:t>渗滤液处理车间</w:t>
            </w:r>
          </w:p>
        </w:tc>
        <w:tc>
          <w:tcPr>
            <w:tcW w:w="903" w:type="dxa"/>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污泥</w:t>
            </w:r>
          </w:p>
        </w:tc>
        <w:tc>
          <w:tcPr>
            <w:tcW w:w="2525" w:type="dxa"/>
            <w:vAlign w:val="center"/>
          </w:tcPr>
          <w:p>
            <w:pPr>
              <w:pStyle w:val="41"/>
              <w:jc w:val="center"/>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18.62</w:t>
            </w:r>
            <w:r>
              <w:rPr>
                <w:rFonts w:hint="default" w:ascii="Times New Roman" w:hAnsi="Times New Roman" w:cs="Times New Roman"/>
                <w:color w:val="auto"/>
                <w:sz w:val="21"/>
                <w:szCs w:val="21"/>
              </w:rPr>
              <w:t>t/a</w:t>
            </w:r>
          </w:p>
        </w:tc>
        <w:tc>
          <w:tcPr>
            <w:tcW w:w="2770" w:type="dxa"/>
            <w:vAlign w:val="center"/>
          </w:tcPr>
          <w:p>
            <w:pPr>
              <w:pStyle w:val="41"/>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垃圾填埋场填埋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14" w:type="dxa"/>
            <w:vMerge w:val="continue"/>
            <w:vAlign w:val="center"/>
          </w:tcPr>
          <w:p>
            <w:pPr>
              <w:spacing w:line="240" w:lineRule="auto"/>
              <w:jc w:val="center"/>
              <w:rPr>
                <w:rFonts w:hint="default" w:ascii="Times New Roman" w:hAnsi="Times New Roman" w:cs="Times New Roman"/>
                <w:color w:val="auto"/>
                <w:szCs w:val="21"/>
              </w:rPr>
            </w:pPr>
          </w:p>
        </w:tc>
        <w:tc>
          <w:tcPr>
            <w:tcW w:w="1635" w:type="dxa"/>
            <w:gridSpan w:val="2"/>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职工生活</w:t>
            </w:r>
          </w:p>
        </w:tc>
        <w:tc>
          <w:tcPr>
            <w:tcW w:w="903" w:type="dxa"/>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2525" w:type="dxa"/>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0.365</w:t>
            </w:r>
            <w:r>
              <w:rPr>
                <w:rFonts w:hint="default" w:ascii="Times New Roman" w:hAnsi="Times New Roman" w:cs="Times New Roman"/>
                <w:color w:val="auto"/>
                <w:sz w:val="21"/>
                <w:szCs w:val="21"/>
              </w:rPr>
              <w:t>t/a</w:t>
            </w:r>
          </w:p>
        </w:tc>
        <w:tc>
          <w:tcPr>
            <w:tcW w:w="2770" w:type="dxa"/>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垃圾填埋场填埋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14" w:type="dxa"/>
            <w:vAlign w:val="center"/>
          </w:tcPr>
          <w:p>
            <w:pPr>
              <w:ind w:right="100" w:rightChars="48" w:firstLine="180"/>
              <w:jc w:val="center"/>
              <w:rPr>
                <w:rFonts w:hint="default" w:ascii="Times New Roman" w:hAnsi="Times New Roman" w:cs="Times New Roman"/>
                <w:color w:val="auto"/>
                <w:szCs w:val="21"/>
              </w:rPr>
            </w:pPr>
            <w:r>
              <w:rPr>
                <w:rFonts w:hint="default" w:ascii="Times New Roman" w:hAnsi="Times New Roman" w:cs="Times New Roman"/>
                <w:color w:val="auto"/>
                <w:szCs w:val="21"/>
              </w:rPr>
              <w:t>其</w:t>
            </w:r>
          </w:p>
          <w:p>
            <w:pPr>
              <w:ind w:right="100" w:rightChars="48" w:firstLine="180"/>
              <w:jc w:val="center"/>
              <w:rPr>
                <w:rFonts w:hint="default" w:ascii="Times New Roman" w:hAnsi="Times New Roman" w:cs="Times New Roman"/>
                <w:color w:val="auto"/>
                <w:szCs w:val="21"/>
              </w:rPr>
            </w:pPr>
            <w:r>
              <w:rPr>
                <w:rFonts w:hint="default" w:ascii="Times New Roman" w:hAnsi="Times New Roman" w:cs="Times New Roman"/>
                <w:color w:val="auto"/>
                <w:szCs w:val="21"/>
              </w:rPr>
              <w:t>他</w:t>
            </w:r>
          </w:p>
        </w:tc>
        <w:tc>
          <w:tcPr>
            <w:tcW w:w="7833" w:type="dxa"/>
            <w:gridSpan w:val="5"/>
            <w:vAlign w:val="center"/>
          </w:tcPr>
          <w:p>
            <w:pPr>
              <w:spacing w:line="312" w:lineRule="auto"/>
              <w:rPr>
                <w:rFonts w:hint="default" w:ascii="Times New Roman" w:hAnsi="Times New Roman" w:cs="Times New Roman"/>
                <w:color w:val="auto"/>
                <w:szCs w:val="21"/>
              </w:rPr>
            </w:pPr>
            <w:r>
              <w:rPr>
                <w:rFonts w:hint="default" w:ascii="Times New Roman" w:hAnsi="Times New Roman" w:cs="Times New Roman"/>
                <w:color w:val="auto"/>
                <w:szCs w:val="21"/>
              </w:rPr>
              <w:t>本项目主要噪声源设备包括风机、水泵等，噪声级在</w:t>
            </w:r>
            <w:r>
              <w:rPr>
                <w:rFonts w:hint="default" w:ascii="Times New Roman" w:hAnsi="Times New Roman" w:cs="Times New Roman"/>
                <w:color w:val="auto"/>
                <w:szCs w:val="21"/>
                <w:lang w:val="en-US" w:eastAsia="zh-CN"/>
              </w:rPr>
              <w:t>85</w:t>
            </w:r>
            <w:r>
              <w:rPr>
                <w:rFonts w:hint="default" w:ascii="Times New Roman" w:hAnsi="Times New Roman" w:cs="Times New Roman"/>
                <w:color w:val="auto"/>
                <w:szCs w:val="21"/>
              </w:rPr>
              <w:t>~9</w:t>
            </w: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dB(A)之间。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8947" w:type="dxa"/>
            <w:gridSpan w:val="6"/>
            <w:vAlign w:val="center"/>
          </w:tcPr>
          <w:p>
            <w:pPr>
              <w:spacing w:before="120" w:line="312" w:lineRule="auto"/>
              <w:rPr>
                <w:rFonts w:hint="default" w:ascii="Times New Roman" w:hAnsi="Times New Roman" w:cs="Times New Roman"/>
                <w:b/>
                <w:color w:val="auto"/>
                <w:szCs w:val="21"/>
              </w:rPr>
            </w:pPr>
            <w:r>
              <w:rPr>
                <w:rFonts w:hint="default" w:ascii="Times New Roman" w:hAnsi="Times New Roman" w:cs="Times New Roman"/>
                <w:b/>
                <w:color w:val="auto"/>
                <w:szCs w:val="21"/>
              </w:rPr>
              <w:t>主要生态影响(不够时可附另页)</w:t>
            </w:r>
          </w:p>
          <w:p>
            <w:pPr>
              <w:pStyle w:val="75"/>
              <w:adjustRightInd w:val="0"/>
              <w:snapToGrid w:val="0"/>
              <w:spacing w:after="0" w:line="360" w:lineRule="auto"/>
              <w:ind w:firstLine="482"/>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本项目在施工期的占地、开挖土方石等问题，对生态环境是有一定的影响，主要表现为对水土流失的影响，随着本项目完全竣工后这些影响随之消失。营运期对生态环境不会产生明显影响。该区域人类活动频繁，无珍稀保护动植物，项目的建设对生态环境不会产生不利影响。</w:t>
            </w:r>
          </w:p>
          <w:p>
            <w:pPr>
              <w:pStyle w:val="75"/>
              <w:shd w:val="clear" w:color="auto" w:fill="auto"/>
              <w:spacing w:after="0" w:line="360" w:lineRule="auto"/>
              <w:ind w:firstLine="0"/>
              <w:jc w:val="both"/>
              <w:rPr>
                <w:rFonts w:hint="default" w:ascii="Times New Roman" w:hAnsi="Times New Roman" w:eastAsia="宋体" w:cs="Times New Roman"/>
                <w:color w:val="auto"/>
                <w:sz w:val="21"/>
                <w:szCs w:val="21"/>
              </w:rPr>
            </w:pPr>
          </w:p>
          <w:p>
            <w:pPr>
              <w:pStyle w:val="75"/>
              <w:shd w:val="clear" w:color="auto" w:fill="auto"/>
              <w:spacing w:after="0" w:line="360" w:lineRule="auto"/>
              <w:ind w:firstLine="0"/>
              <w:jc w:val="both"/>
              <w:rPr>
                <w:rFonts w:hint="default" w:ascii="Times New Roman" w:hAnsi="Times New Roman" w:eastAsia="宋体" w:cs="Times New Roman"/>
                <w:color w:val="auto"/>
                <w:sz w:val="21"/>
                <w:szCs w:val="21"/>
              </w:rPr>
            </w:pPr>
          </w:p>
          <w:p>
            <w:pPr>
              <w:pStyle w:val="75"/>
              <w:shd w:val="clear" w:color="auto" w:fill="auto"/>
              <w:spacing w:after="0" w:line="360" w:lineRule="auto"/>
              <w:ind w:firstLine="0"/>
              <w:jc w:val="both"/>
              <w:rPr>
                <w:rFonts w:hint="default" w:ascii="Times New Roman" w:hAnsi="Times New Roman" w:eastAsia="宋体" w:cs="Times New Roman"/>
                <w:color w:val="auto"/>
                <w:sz w:val="21"/>
                <w:szCs w:val="21"/>
              </w:rPr>
            </w:pPr>
          </w:p>
          <w:p>
            <w:pPr>
              <w:pStyle w:val="75"/>
              <w:shd w:val="clear" w:color="auto" w:fill="auto"/>
              <w:spacing w:after="0" w:line="360" w:lineRule="auto"/>
              <w:ind w:firstLine="0"/>
              <w:jc w:val="both"/>
              <w:rPr>
                <w:rFonts w:hint="default" w:ascii="Times New Roman" w:hAnsi="Times New Roman" w:eastAsia="宋体" w:cs="Times New Roman"/>
                <w:color w:val="auto"/>
                <w:sz w:val="21"/>
                <w:szCs w:val="21"/>
              </w:rPr>
            </w:pPr>
          </w:p>
          <w:p>
            <w:pPr>
              <w:pStyle w:val="75"/>
              <w:shd w:val="clear" w:color="auto" w:fill="auto"/>
              <w:spacing w:after="0" w:line="360" w:lineRule="auto"/>
              <w:ind w:firstLine="0"/>
              <w:jc w:val="both"/>
              <w:rPr>
                <w:rFonts w:hint="default" w:ascii="Times New Roman" w:hAnsi="Times New Roman" w:eastAsia="宋体" w:cs="Times New Roman"/>
                <w:color w:val="auto"/>
                <w:sz w:val="21"/>
                <w:szCs w:val="21"/>
              </w:rPr>
            </w:pPr>
          </w:p>
          <w:p>
            <w:pPr>
              <w:pStyle w:val="75"/>
              <w:shd w:val="clear" w:color="auto" w:fill="auto"/>
              <w:spacing w:after="0" w:line="360" w:lineRule="auto"/>
              <w:ind w:firstLine="0"/>
              <w:jc w:val="both"/>
              <w:rPr>
                <w:rFonts w:hint="default" w:ascii="Times New Roman" w:hAnsi="Times New Roman" w:eastAsia="宋体" w:cs="Times New Roman"/>
                <w:color w:val="auto"/>
                <w:sz w:val="21"/>
                <w:szCs w:val="21"/>
              </w:rPr>
            </w:pPr>
          </w:p>
          <w:p>
            <w:pPr>
              <w:pStyle w:val="75"/>
              <w:shd w:val="clear" w:color="auto" w:fill="auto"/>
              <w:spacing w:after="0" w:line="360" w:lineRule="auto"/>
              <w:ind w:firstLine="0"/>
              <w:jc w:val="both"/>
              <w:rPr>
                <w:rFonts w:hint="default" w:ascii="Times New Roman" w:hAnsi="Times New Roman" w:eastAsia="宋体" w:cs="Times New Roman"/>
                <w:color w:val="auto"/>
                <w:sz w:val="21"/>
                <w:szCs w:val="21"/>
              </w:rPr>
            </w:pPr>
          </w:p>
          <w:p>
            <w:pPr>
              <w:pStyle w:val="75"/>
              <w:shd w:val="clear" w:color="auto" w:fill="auto"/>
              <w:spacing w:after="0" w:line="360" w:lineRule="auto"/>
              <w:ind w:firstLine="0"/>
              <w:jc w:val="both"/>
              <w:rPr>
                <w:rFonts w:hint="default" w:ascii="Times New Roman" w:hAnsi="Times New Roman" w:eastAsia="宋体" w:cs="Times New Roman"/>
                <w:color w:val="auto"/>
                <w:sz w:val="21"/>
                <w:szCs w:val="21"/>
              </w:rPr>
            </w:pPr>
          </w:p>
          <w:p>
            <w:pPr>
              <w:pStyle w:val="75"/>
              <w:shd w:val="clear" w:color="auto" w:fill="auto"/>
              <w:spacing w:after="0" w:line="360" w:lineRule="auto"/>
              <w:ind w:firstLine="0"/>
              <w:jc w:val="both"/>
              <w:rPr>
                <w:rFonts w:hint="default" w:ascii="Times New Roman" w:hAnsi="Times New Roman" w:eastAsia="宋体" w:cs="Times New Roman"/>
                <w:color w:val="auto"/>
                <w:sz w:val="24"/>
                <w:szCs w:val="24"/>
              </w:rPr>
            </w:pPr>
          </w:p>
        </w:tc>
      </w:tr>
    </w:tbl>
    <w:p>
      <w:pPr>
        <w:pStyle w:val="3"/>
        <w:keepNext w:val="0"/>
        <w:keepLines w:val="0"/>
        <w:spacing w:after="0" w:line="240" w:lineRule="auto"/>
        <w:jc w:val="left"/>
        <w:rPr>
          <w:rFonts w:hint="default" w:ascii="Times New Roman" w:hAnsi="Times New Roman" w:cs="Times New Roman"/>
          <w:color w:val="auto"/>
          <w:szCs w:val="22"/>
        </w:rPr>
      </w:pPr>
      <w:bookmarkStart w:id="11" w:name="_Toc25154386"/>
      <w:r>
        <w:rPr>
          <w:rFonts w:hint="default" w:ascii="Times New Roman" w:hAnsi="Times New Roman" w:cs="Times New Roman"/>
          <w:color w:val="auto"/>
          <w:szCs w:val="22"/>
        </w:rPr>
        <w:t>环境影响分析</w:t>
      </w:r>
      <w:bookmarkEnd w:id="11"/>
    </w:p>
    <w:tbl>
      <w:tblPr>
        <w:tblStyle w:val="33"/>
        <w:tblW w:w="917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89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248" w:hRule="atLeast"/>
          <w:jc w:val="center"/>
        </w:trPr>
        <w:tc>
          <w:tcPr>
            <w:tcW w:w="9176" w:type="dxa"/>
          </w:tcPr>
          <w:p>
            <w:pPr>
              <w:spacing w:before="156" w:beforeLines="50" w:line="360" w:lineRule="auto"/>
              <w:rPr>
                <w:rFonts w:hint="default" w:ascii="Times New Roman" w:hAnsi="Times New Roman" w:cs="Times New Roman"/>
                <w:b/>
                <w:color w:val="auto"/>
                <w:sz w:val="24"/>
              </w:rPr>
            </w:pPr>
            <w:bookmarkStart w:id="12" w:name="_Toc526596731"/>
            <w:bookmarkStart w:id="13" w:name="_Toc525899417"/>
            <w:bookmarkStart w:id="14" w:name="_Toc530820053"/>
            <w:bookmarkStart w:id="15" w:name="_Toc526164319"/>
            <w:bookmarkStart w:id="16" w:name="_Toc527204344"/>
            <w:bookmarkStart w:id="17" w:name="_Toc532442789"/>
            <w:bookmarkStart w:id="18" w:name="_Toc530819681"/>
            <w:bookmarkStart w:id="19" w:name="_Toc10817655"/>
            <w:bookmarkStart w:id="20" w:name="_Toc526598096"/>
            <w:bookmarkStart w:id="21" w:name="_Toc526952240"/>
            <w:bookmarkStart w:id="22" w:name="_Toc10816039"/>
            <w:bookmarkStart w:id="23" w:name="_Toc526174971"/>
            <w:r>
              <w:rPr>
                <w:rFonts w:hint="default" w:ascii="Times New Roman" w:hAnsi="Times New Roman" w:cs="Times New Roman"/>
                <w:b/>
                <w:color w:val="auto"/>
                <w:sz w:val="24"/>
              </w:rPr>
              <w:t>1施工期环境影响分析</w:t>
            </w:r>
          </w:p>
          <w:p>
            <w:pPr>
              <w:pStyle w:val="41"/>
              <w:snapToGrid w:val="0"/>
              <w:spacing w:line="360" w:lineRule="auto"/>
              <w:ind w:firstLine="482"/>
              <w:rPr>
                <w:rFonts w:hint="default" w:ascii="Times New Roman" w:hAnsi="Times New Roman" w:cs="Times New Roman"/>
                <w:color w:val="auto"/>
                <w:lang w:val="zh-TW"/>
              </w:rPr>
            </w:pPr>
            <w:r>
              <w:rPr>
                <w:rFonts w:hint="default" w:ascii="Times New Roman" w:hAnsi="Times New Roman" w:cs="Times New Roman"/>
                <w:color w:val="auto"/>
                <w:lang w:val="zh-TW"/>
              </w:rPr>
              <w:t>项目施工期环境影响主要来施工期的扬尘、噪声和废水排放等造成的环境影响。</w:t>
            </w:r>
          </w:p>
          <w:p>
            <w:pPr>
              <w:pStyle w:val="41"/>
              <w:snapToGrid w:val="0"/>
              <w:spacing w:line="360" w:lineRule="auto"/>
              <w:rPr>
                <w:rFonts w:hint="default" w:ascii="Times New Roman" w:hAnsi="Times New Roman" w:cs="Times New Roman"/>
                <w:b/>
                <w:color w:val="auto"/>
                <w:lang w:val="zh-TW"/>
              </w:rPr>
            </w:pPr>
            <w:r>
              <w:rPr>
                <w:rFonts w:hint="default" w:ascii="Times New Roman" w:hAnsi="Times New Roman" w:cs="Times New Roman"/>
                <w:b/>
                <w:color w:val="auto"/>
                <w:lang w:val="zh-TW"/>
              </w:rPr>
              <w:t>1.1施工期大气环境影响分析</w:t>
            </w:r>
          </w:p>
          <w:p>
            <w:pPr>
              <w:pStyle w:val="41"/>
              <w:snapToGrid w:val="0"/>
              <w:spacing w:line="360" w:lineRule="auto"/>
              <w:ind w:firstLine="482"/>
              <w:rPr>
                <w:rFonts w:hint="default" w:ascii="Times New Roman" w:hAnsi="Times New Roman" w:cs="Times New Roman"/>
                <w:color w:val="auto"/>
                <w:lang w:val="zh-TW"/>
              </w:rPr>
            </w:pPr>
            <w:r>
              <w:rPr>
                <w:rFonts w:hint="default" w:ascii="Times New Roman" w:hAnsi="Times New Roman" w:cs="Times New Roman"/>
                <w:color w:val="auto"/>
                <w:lang w:val="zh-TW"/>
              </w:rPr>
              <w:t>本项目施工期废气主要为施工扬尘、施工机械与施工车辆废气。</w:t>
            </w:r>
          </w:p>
          <w:p>
            <w:pPr>
              <w:pStyle w:val="41"/>
              <w:snapToGrid w:val="0"/>
              <w:spacing w:line="360" w:lineRule="auto"/>
              <w:ind w:firstLine="482"/>
              <w:rPr>
                <w:rFonts w:hint="default" w:ascii="Times New Roman" w:hAnsi="Times New Roman" w:cs="Times New Roman"/>
                <w:color w:val="auto"/>
                <w:lang w:val="zh-TW"/>
              </w:rPr>
            </w:pPr>
            <w:r>
              <w:rPr>
                <w:rFonts w:hint="default" w:ascii="Times New Roman" w:hAnsi="Times New Roman" w:cs="Times New Roman"/>
                <w:color w:val="auto"/>
                <w:lang w:val="zh-TW"/>
              </w:rPr>
              <w:t>（1）施工扬尘</w:t>
            </w:r>
          </w:p>
          <w:p>
            <w:pPr>
              <w:pStyle w:val="41"/>
              <w:snapToGrid w:val="0"/>
              <w:spacing w:line="360" w:lineRule="auto"/>
              <w:ind w:firstLine="482"/>
              <w:rPr>
                <w:rFonts w:hint="default" w:ascii="Times New Roman" w:hAnsi="Times New Roman" w:cs="Times New Roman"/>
                <w:color w:val="auto"/>
                <w:lang w:val="zh-TW"/>
              </w:rPr>
            </w:pPr>
            <w:r>
              <w:rPr>
                <w:rFonts w:hint="default" w:ascii="Times New Roman" w:hAnsi="Times New Roman" w:cs="Times New Roman"/>
                <w:color w:val="auto"/>
                <w:lang w:val="zh-TW"/>
              </w:rPr>
              <w:t>由于土石方工程破坏了地表结构，会造成地面扬尘污染，其扬尘量的大小与施工现场条件、管理水平、机械化程度、施工季节、土质及天气等诸多因素有关。本工程施工期大气污染源主要来源于以下几个方面：建筑材料的搬运及堆放；土方填挖及现场堆放；施工材料的堆放及清理；开挖及回填；施工期运输车辆运行。</w:t>
            </w:r>
          </w:p>
          <w:p>
            <w:pPr>
              <w:pStyle w:val="41"/>
              <w:snapToGrid w:val="0"/>
              <w:spacing w:line="360" w:lineRule="auto"/>
              <w:ind w:firstLine="482"/>
              <w:rPr>
                <w:rFonts w:hint="default" w:ascii="Times New Roman" w:hAnsi="Times New Roman" w:cs="Times New Roman"/>
                <w:color w:val="auto"/>
                <w:lang w:val="zh-TW"/>
              </w:rPr>
            </w:pPr>
            <w:r>
              <w:rPr>
                <w:rFonts w:hint="default" w:ascii="Times New Roman" w:hAnsi="Times New Roman" w:cs="Times New Roman"/>
                <w:color w:val="auto"/>
                <w:lang w:val="zh-TW"/>
              </w:rPr>
              <w:t>根据《大气污染防治行动计划》和《</w:t>
            </w:r>
            <w:r>
              <w:rPr>
                <w:rFonts w:hint="default" w:ascii="Times New Roman" w:hAnsi="Times New Roman" w:cs="Times New Roman"/>
                <w:color w:val="auto"/>
              </w:rPr>
              <w:t>黑龙江省建筑施工现场扬尘专项治理工作方案</w:t>
            </w:r>
            <w:r>
              <w:rPr>
                <w:rFonts w:hint="default" w:ascii="Times New Roman" w:hAnsi="Times New Roman" w:cs="Times New Roman"/>
                <w:color w:val="auto"/>
                <w:lang w:val="zh-TW"/>
              </w:rPr>
              <w:t>》，建设工程施工应当遵守下列防尘规定：</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lang w:val="zh-TW"/>
              </w:rPr>
              <w:t>①</w:t>
            </w:r>
            <w:r>
              <w:rPr>
                <w:rFonts w:hint="default" w:ascii="Times New Roman" w:hAnsi="Times New Roman" w:cs="Times New Roman"/>
                <w:color w:val="auto"/>
              </w:rPr>
              <w:t>施工单位应在施工现场连续设置牢固、美丽的全封闭硬质围挡，围挡顶端应连续设置喷淋装置。现场内各区域地面、道路应全部硬化，其它裸露地面应进行绿化、固化或覆盖。出口处应设置车辆清洗设施，并对驶出车辆进行清洗；</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lang w:val="zh-TW"/>
              </w:rPr>
              <w:t>②</w:t>
            </w:r>
            <w:r>
              <w:rPr>
                <w:rFonts w:hint="default" w:ascii="Times New Roman" w:hAnsi="Times New Roman" w:cs="Times New Roman"/>
                <w:color w:val="auto"/>
              </w:rPr>
              <w:t>施工单位应配备扬尘监测设备（PM</w:t>
            </w:r>
            <w:r>
              <w:rPr>
                <w:rFonts w:hint="default" w:ascii="Times New Roman" w:hAnsi="Times New Roman" w:cs="Times New Roman"/>
                <w:color w:val="auto"/>
                <w:vertAlign w:val="subscript"/>
              </w:rPr>
              <w:t>2.5</w:t>
            </w:r>
            <w:r>
              <w:rPr>
                <w:rFonts w:hint="default" w:ascii="Times New Roman" w:hAnsi="Times New Roman" w:cs="Times New Roman"/>
                <w:color w:val="auto"/>
              </w:rPr>
              <w:t>检测仪）、洒水车、吸尘车、移动雾炮车等。现场内运输道路沿线、易产生扬尘作业的场所，应设置围挡式或地埋式喷淋装置，脚手架的悬挑层和塔吊起重臂上应设置喷淋装置；</w:t>
            </w:r>
          </w:p>
          <w:p>
            <w:pPr>
              <w:pStyle w:val="41"/>
              <w:snapToGrid w:val="0"/>
              <w:spacing w:line="360" w:lineRule="auto"/>
              <w:ind w:firstLine="482"/>
              <w:rPr>
                <w:rFonts w:hint="default" w:ascii="Times New Roman" w:hAnsi="Times New Roman" w:cs="Times New Roman"/>
                <w:color w:val="auto"/>
                <w:lang w:val="zh-TW"/>
              </w:rPr>
            </w:pPr>
            <w:r>
              <w:rPr>
                <w:rFonts w:hint="default" w:ascii="Times New Roman" w:hAnsi="Times New Roman" w:cs="Times New Roman"/>
                <w:color w:val="auto"/>
                <w:lang w:val="zh-TW"/>
              </w:rPr>
              <w:t>③</w:t>
            </w:r>
            <w:r>
              <w:rPr>
                <w:rFonts w:hint="default" w:ascii="Times New Roman" w:hAnsi="Times New Roman" w:cs="Times New Roman"/>
                <w:color w:val="auto"/>
              </w:rPr>
              <w:t>土石方作业区域内扬尘目测高度应小于1.5m，其他施工作业区域内扬尘目测高度应小于0.5m，超过时应采取洒水降尘措施，否则停止作业。按设计要求放坡的基坑边坡，在确保施工安全的前提下，应采取覆盖或硬化处理</w:t>
            </w:r>
            <w:r>
              <w:rPr>
                <w:rFonts w:hint="default" w:ascii="Times New Roman" w:hAnsi="Times New Roman" w:cs="Times New Roman"/>
                <w:color w:val="auto"/>
                <w:lang w:val="zh-TW"/>
              </w:rPr>
              <w:t>；</w:t>
            </w:r>
          </w:p>
          <w:p>
            <w:pPr>
              <w:pStyle w:val="41"/>
              <w:snapToGrid w:val="0"/>
              <w:spacing w:line="360" w:lineRule="auto"/>
              <w:ind w:firstLine="482"/>
              <w:rPr>
                <w:rFonts w:hint="default" w:ascii="Times New Roman" w:hAnsi="Times New Roman" w:cs="Times New Roman"/>
                <w:color w:val="auto"/>
                <w:lang w:val="zh-TW"/>
              </w:rPr>
            </w:pPr>
            <w:r>
              <w:rPr>
                <w:rFonts w:hint="default" w:ascii="Times New Roman" w:hAnsi="Times New Roman" w:cs="Times New Roman"/>
                <w:color w:val="auto"/>
                <w:lang w:val="zh-TW"/>
              </w:rPr>
              <w:t>④</w:t>
            </w:r>
            <w:r>
              <w:rPr>
                <w:rFonts w:hint="default" w:ascii="Times New Roman" w:hAnsi="Times New Roman" w:cs="Times New Roman"/>
                <w:color w:val="auto"/>
              </w:rPr>
              <w:t>施工现场超过24小时不能及时清运的渣土、垃圾等，应集中存放并覆盖。建筑主体内垃圾转运时，应通过封闭式垃圾通道或封闭容器运送至指定地点，严禁凌空抛撒。土方、渣土、垃圾清运时，应采取封闭式运输方式。施工现场严禁焚烧各类废弃物</w:t>
            </w:r>
            <w:r>
              <w:rPr>
                <w:rFonts w:hint="default" w:ascii="Times New Roman" w:hAnsi="Times New Roman" w:cs="Times New Roman"/>
                <w:color w:val="auto"/>
                <w:lang w:val="zh-TW"/>
              </w:rPr>
              <w:t>；</w:t>
            </w:r>
          </w:p>
          <w:p>
            <w:pPr>
              <w:pStyle w:val="41"/>
              <w:snapToGrid w:val="0"/>
              <w:spacing w:line="360" w:lineRule="auto"/>
              <w:ind w:firstLine="482"/>
              <w:rPr>
                <w:rFonts w:hint="default" w:ascii="Times New Roman" w:hAnsi="Times New Roman" w:cs="Times New Roman"/>
                <w:color w:val="auto"/>
                <w:lang w:val="zh-TW"/>
              </w:rPr>
            </w:pPr>
            <w:r>
              <w:rPr>
                <w:rFonts w:hint="default" w:ascii="Times New Roman" w:hAnsi="Times New Roman" w:cs="Times New Roman"/>
                <w:color w:val="auto"/>
                <w:lang w:val="zh-TW"/>
              </w:rPr>
              <w:t>⑤</w:t>
            </w:r>
            <w:r>
              <w:rPr>
                <w:rFonts w:hint="default" w:ascii="Times New Roman" w:hAnsi="Times New Roman" w:cs="Times New Roman"/>
                <w:color w:val="auto"/>
              </w:rPr>
              <w:t>在规定区域内施工现场应使用预拌混凝土与预拌砂浆。采用现场搅拌混凝土或砂浆的，应设置全封闭的硬质搅拌设备操作间。水泥、砂石和其他易飞扬的细小颗粒建筑材料，应密闭存放</w:t>
            </w:r>
            <w:r>
              <w:rPr>
                <w:rFonts w:hint="default" w:ascii="Times New Roman" w:hAnsi="Times New Roman" w:cs="Times New Roman"/>
                <w:color w:val="auto"/>
                <w:lang w:val="zh-TW"/>
              </w:rPr>
              <w:t>；</w:t>
            </w:r>
          </w:p>
          <w:p>
            <w:pPr>
              <w:pStyle w:val="41"/>
              <w:snapToGrid w:val="0"/>
              <w:spacing w:line="360" w:lineRule="auto"/>
              <w:ind w:firstLine="482"/>
              <w:rPr>
                <w:rFonts w:hint="default" w:ascii="Times New Roman" w:hAnsi="Times New Roman" w:cs="Times New Roman"/>
                <w:color w:val="auto"/>
                <w:lang w:val="zh-TW"/>
              </w:rPr>
            </w:pPr>
            <w:r>
              <w:rPr>
                <w:rFonts w:hint="default" w:ascii="Times New Roman" w:hAnsi="Times New Roman" w:cs="Times New Roman"/>
                <w:color w:val="auto"/>
                <w:lang w:val="zh-TW"/>
              </w:rPr>
              <w:t>⑥</w:t>
            </w:r>
            <w:r>
              <w:rPr>
                <w:rFonts w:hint="default" w:ascii="Times New Roman" w:hAnsi="Times New Roman" w:cs="Times New Roman"/>
                <w:color w:val="auto"/>
              </w:rPr>
              <w:t>建筑物或构筑物拆除时，应采取围挡隔离、持续洒水等降尘措施，并及时清理废弃物</w:t>
            </w:r>
            <w:r>
              <w:rPr>
                <w:rFonts w:hint="default" w:ascii="Times New Roman" w:hAnsi="Times New Roman" w:cs="Times New Roman"/>
                <w:color w:val="auto"/>
                <w:lang w:val="zh-TW"/>
              </w:rPr>
              <w:t>；</w:t>
            </w:r>
          </w:p>
          <w:p>
            <w:pPr>
              <w:pStyle w:val="41"/>
              <w:snapToGrid w:val="0"/>
              <w:spacing w:line="360" w:lineRule="auto"/>
              <w:ind w:firstLine="482"/>
              <w:rPr>
                <w:rFonts w:hint="default" w:ascii="Times New Roman" w:hAnsi="Times New Roman" w:cs="Times New Roman"/>
                <w:color w:val="auto"/>
                <w:lang w:val="zh-TW"/>
              </w:rPr>
            </w:pPr>
            <w:r>
              <w:rPr>
                <w:rFonts w:hint="default" w:ascii="Times New Roman" w:hAnsi="Times New Roman" w:cs="Times New Roman"/>
                <w:color w:val="auto"/>
                <w:lang w:val="zh-TW"/>
              </w:rPr>
              <w:t>⑦</w:t>
            </w:r>
            <w:r>
              <w:rPr>
                <w:rFonts w:hint="default" w:ascii="Times New Roman" w:hAnsi="Times New Roman" w:cs="Times New Roman"/>
                <w:color w:val="auto"/>
              </w:rPr>
              <w:t>暂时不能开工的建设用地，建设单位应对裸露地面进行覆盖。超过三个月的空地周边应设置硬质围挡，空地应当进行绿化、铺装或者覆盖</w:t>
            </w:r>
            <w:r>
              <w:rPr>
                <w:rFonts w:hint="default" w:ascii="Times New Roman" w:hAnsi="Times New Roman" w:cs="Times New Roman"/>
                <w:color w:val="auto"/>
                <w:lang w:val="zh-TW"/>
              </w:rPr>
              <w:t>；</w:t>
            </w:r>
          </w:p>
          <w:p>
            <w:pPr>
              <w:pStyle w:val="41"/>
              <w:snapToGrid w:val="0"/>
              <w:spacing w:line="360" w:lineRule="auto"/>
              <w:ind w:firstLine="482"/>
              <w:rPr>
                <w:rFonts w:hint="default" w:ascii="Times New Roman" w:hAnsi="Times New Roman" w:cs="Times New Roman"/>
                <w:color w:val="auto"/>
                <w:lang w:val="zh-TW"/>
              </w:rPr>
            </w:pPr>
            <w:r>
              <w:rPr>
                <w:rFonts w:hint="default" w:ascii="Times New Roman" w:hAnsi="Times New Roman" w:cs="Times New Roman"/>
                <w:color w:val="auto"/>
                <w:lang w:val="zh-TW"/>
              </w:rPr>
              <w:t>此外，在建筑材料运输、装卸、使用过程中做好文明施工、文明管理、尽量避免或减少扬尘的产生，防止区域环境空气中粉尘污染。经过以上措施后，施工期扬尘对大气环境影响较小。</w:t>
            </w:r>
          </w:p>
          <w:p>
            <w:pPr>
              <w:pStyle w:val="41"/>
              <w:snapToGrid w:val="0"/>
              <w:spacing w:line="360" w:lineRule="auto"/>
              <w:ind w:firstLine="482"/>
              <w:rPr>
                <w:rFonts w:hint="default" w:ascii="Times New Roman" w:hAnsi="Times New Roman" w:cs="Times New Roman"/>
                <w:color w:val="auto"/>
                <w:lang w:val="zh-TW"/>
              </w:rPr>
            </w:pPr>
            <w:r>
              <w:rPr>
                <w:rFonts w:hint="default" w:ascii="Times New Roman" w:hAnsi="Times New Roman" w:cs="Times New Roman"/>
                <w:color w:val="auto"/>
                <w:lang w:val="zh-TW"/>
              </w:rPr>
              <w:t>（2）施工机械与施工车辆废气</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项目施工作业过程中，施工机械和运输车辆会产生废气，其产生量与燃料种类、机械性能、作业方式和风力有关。其中，运输车辆和部分施工机械的怠速、减速和加速时产生的污染最为严重。根据类比资料，在一般气象条件下，平均风速2.5m/s时，建设场地的NOx、CO和烃类物质的影响范围在其下风向可达50m。本项目下风向无住户，没有明显大气敏感点，且车辆和机械的燃油废气排放量不大，为间歇排放，通过大气稀释扩散后，施工期车辆的NOx、CO和烃类物质对周围大气环境影响不大。</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为尽可能减少施工废气污染，降低其对施工区局部环境的影响，应采取以下措施：</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①加强对车辆的检修和维护，严禁使用超期服役和尾气超标的车辆 。</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②尽可能使用电动、气动设备或使用优质燃油以减少设备、车辆有害气体的排放。</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经以上措施处理后，项目施工机械和运输车辆废气不会对大气环境造成明显影响。</w:t>
            </w:r>
          </w:p>
          <w:p>
            <w:pPr>
              <w:pStyle w:val="41"/>
              <w:snapToGrid w:val="0"/>
              <w:spacing w:line="360" w:lineRule="auto"/>
              <w:rPr>
                <w:rFonts w:hint="default" w:ascii="Times New Roman" w:hAnsi="Times New Roman" w:cs="Times New Roman"/>
                <w:b/>
                <w:color w:val="auto"/>
                <w:lang w:val="zh-TW"/>
              </w:rPr>
            </w:pPr>
            <w:r>
              <w:rPr>
                <w:rFonts w:hint="default" w:ascii="Times New Roman" w:hAnsi="Times New Roman" w:cs="Times New Roman"/>
                <w:b/>
                <w:color w:val="auto"/>
                <w:lang w:val="zh-TW"/>
              </w:rPr>
              <w:t>1.</w:t>
            </w:r>
            <w:r>
              <w:rPr>
                <w:rFonts w:hint="default" w:ascii="Times New Roman" w:hAnsi="Times New Roman" w:eastAsia="PMingLiU" w:cs="Times New Roman"/>
                <w:b/>
                <w:color w:val="auto"/>
                <w:lang w:val="zh-TW" w:eastAsia="zh-TW"/>
              </w:rPr>
              <w:t>2</w:t>
            </w:r>
            <w:r>
              <w:rPr>
                <w:rFonts w:hint="default" w:ascii="Times New Roman" w:hAnsi="Times New Roman" w:cs="Times New Roman"/>
                <w:b/>
                <w:color w:val="auto"/>
                <w:lang w:val="zh-TW"/>
              </w:rPr>
              <w:t>施工期水环境影响分析</w:t>
            </w:r>
          </w:p>
          <w:p>
            <w:pPr>
              <w:pStyle w:val="41"/>
              <w:snapToGrid w:val="0"/>
              <w:spacing w:line="360" w:lineRule="auto"/>
              <w:ind w:firstLine="482"/>
              <w:rPr>
                <w:rFonts w:hint="default" w:ascii="Times New Roman" w:hAnsi="Times New Roman" w:cs="Times New Roman"/>
                <w:color w:val="auto"/>
                <w:lang w:eastAsia="zh-TW"/>
              </w:rPr>
            </w:pPr>
            <w:r>
              <w:rPr>
                <w:rFonts w:hint="default" w:ascii="Times New Roman" w:hAnsi="Times New Roman" w:cs="Times New Roman"/>
                <w:color w:val="auto"/>
                <w:lang w:eastAsia="zh-TW"/>
              </w:rPr>
              <w:t>本项目施工期废水主要为施工废水，施工人员为附近居民，晚间回自家居住，施工餐食采用配餐制，施工现场不设置食堂和宿舍，施工人员使用厂区内办公区内卫生间，因此， 施工期生活污水对地表水影响较小 。</w:t>
            </w:r>
          </w:p>
          <w:p>
            <w:pPr>
              <w:pStyle w:val="41"/>
              <w:snapToGrid w:val="0"/>
              <w:spacing w:line="360" w:lineRule="auto"/>
              <w:ind w:firstLine="482"/>
              <w:rPr>
                <w:rFonts w:hint="default" w:ascii="Times New Roman" w:hAnsi="Times New Roman" w:cs="Times New Roman"/>
                <w:color w:val="auto"/>
                <w:lang w:eastAsia="zh-TW"/>
              </w:rPr>
            </w:pPr>
            <w:r>
              <w:rPr>
                <w:rFonts w:hint="default" w:ascii="Times New Roman" w:hAnsi="Times New Roman" w:cs="Times New Roman"/>
                <w:color w:val="auto"/>
                <w:lang w:eastAsia="zh-TW"/>
              </w:rPr>
              <w:t>施工废水主要是冲洗施工车辆和设备产生的含泥沙、悬浮颗粒物等废水，以及施工场地打桩泥浆水和场地积水，施工期间废水经收集后排入临时沉淀池，经过沉淀处理后回用水泥沙浆拌料和场地降尘，不外排。</w:t>
            </w:r>
          </w:p>
          <w:p>
            <w:pPr>
              <w:pStyle w:val="41"/>
              <w:snapToGrid w:val="0"/>
              <w:spacing w:line="360" w:lineRule="auto"/>
              <w:ind w:firstLine="482"/>
              <w:rPr>
                <w:rFonts w:hint="default" w:ascii="Times New Roman" w:hAnsi="Times New Roman" w:eastAsia="PMingLiU" w:cs="Times New Roman"/>
                <w:color w:val="auto"/>
                <w:lang w:eastAsia="zh-TW"/>
              </w:rPr>
            </w:pPr>
            <w:r>
              <w:rPr>
                <w:rFonts w:hint="default" w:ascii="Times New Roman" w:hAnsi="Times New Roman" w:cs="Times New Roman"/>
                <w:color w:val="auto"/>
                <w:lang w:eastAsia="zh-TW"/>
              </w:rPr>
              <w:t>建设单位必须施工规范、落实各种污染防治措施，在此基础上，建设项目施工一般不会对地表水环境造成明显的不利影响。</w:t>
            </w:r>
          </w:p>
          <w:p>
            <w:pPr>
              <w:pStyle w:val="41"/>
              <w:snapToGrid w:val="0"/>
              <w:spacing w:line="360" w:lineRule="auto"/>
              <w:rPr>
                <w:rFonts w:hint="default" w:ascii="Times New Roman" w:hAnsi="Times New Roman" w:cs="Times New Roman"/>
                <w:b/>
                <w:color w:val="auto"/>
                <w:lang w:val="zh-TW"/>
              </w:rPr>
            </w:pPr>
            <w:r>
              <w:rPr>
                <w:rFonts w:hint="default" w:ascii="Times New Roman" w:hAnsi="Times New Roman" w:cs="Times New Roman"/>
                <w:b/>
                <w:color w:val="auto"/>
                <w:lang w:val="zh-TW"/>
              </w:rPr>
              <w:t>1.</w:t>
            </w:r>
            <w:r>
              <w:rPr>
                <w:rFonts w:hint="default" w:ascii="Times New Roman" w:hAnsi="Times New Roman" w:eastAsia="PMingLiU" w:cs="Times New Roman"/>
                <w:b/>
                <w:color w:val="auto"/>
                <w:lang w:val="zh-TW" w:eastAsia="zh-TW"/>
              </w:rPr>
              <w:t>3</w:t>
            </w:r>
            <w:r>
              <w:rPr>
                <w:rFonts w:hint="default" w:ascii="Times New Roman" w:hAnsi="Times New Roman" w:cs="Times New Roman"/>
                <w:b/>
                <w:color w:val="auto"/>
                <w:lang w:val="zh-TW"/>
              </w:rPr>
              <w:t>施工期声环境影响分析</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施工设备噪声主要是铲车、装载车及敲击声等，建设项目各施工阶段的噪声对环境都会造成不同程度的影响。相对来说基础施工阶段噪声较大，对周围环境影响较大，但基础施工阶段周期短，占整个建筑施工期的比例较小，而结构施工阶段工期较长，应是重点控制噪声的施工阶段，土石方阶段由于使用的各种施工机械，绝大部分为移动式声源（推土机、运输车辆等），其噪声影响范围广。</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根据有关类比监测资料表明，施工现场边界噪声值为85~100dB A）。按点声源衰减模式和叠加公示进行预测，其公示为：</w:t>
            </w:r>
          </w:p>
          <w:p>
            <w:pPr>
              <w:spacing w:line="360" w:lineRule="auto"/>
              <w:ind w:firstLine="480" w:firstLineChars="200"/>
              <w:rPr>
                <w:rFonts w:hint="default" w:ascii="Times New Roman" w:hAnsi="Times New Roman" w:cs="Times New Roman"/>
                <w:color w:val="auto"/>
                <w:sz w:val="24"/>
                <w:szCs w:val="28"/>
              </w:rPr>
            </w:pPr>
            <w:r>
              <w:rPr>
                <w:rFonts w:hint="default" w:ascii="Times New Roman" w:hAnsi="Times New Roman" w:cs="Times New Roman"/>
                <w:color w:val="auto"/>
                <w:sz w:val="24"/>
                <w:szCs w:val="28"/>
              </w:rPr>
              <w:t>点声源衰减计算公式：</w:t>
            </w:r>
          </w:p>
          <w:p>
            <w:pPr>
              <w:snapToGrid w:val="0"/>
              <w:spacing w:line="360" w:lineRule="auto"/>
              <w:jc w:val="center"/>
              <w:rPr>
                <w:rFonts w:hint="default" w:ascii="Times New Roman" w:hAnsi="Times New Roman" w:cs="Times New Roman"/>
                <w:color w:val="auto"/>
                <w:sz w:val="24"/>
                <w:szCs w:val="28"/>
              </w:rPr>
            </w:pPr>
            <w:r>
              <w:rPr>
                <w:rFonts w:hint="default" w:ascii="Times New Roman" w:hAnsi="Times New Roman" w:cs="Times New Roman"/>
                <w:color w:val="auto"/>
                <w:sz w:val="24"/>
                <w:szCs w:val="28"/>
              </w:rPr>
              <w:object>
                <v:shape id="_x0000_i1026" o:spt="75" alt="" type="#_x0000_t75" style="height:48.25pt;width:152.85pt;" o:ole="t" filled="f" o:preferrelative="t" stroked="f" coordsize="21600,21600">
                  <v:path/>
                  <v:fill on="f" focussize="0,0"/>
                  <v:stroke on="f"/>
                  <v:imagedata r:id="rId25" o:title=""/>
                  <o:lock v:ext="edit" aspectratio="t"/>
                  <w10:wrap type="none"/>
                  <w10:anchorlock/>
                </v:shape>
                <o:OLEObject Type="Embed" ProgID="Equation.3" ShapeID="_x0000_i1026" DrawAspect="Content" ObjectID="_1468075726" r:id="rId24">
                  <o:LockedField>false</o:LockedField>
                </o:OLEObject>
              </w:object>
            </w:r>
          </w:p>
          <w:p>
            <w:pPr>
              <w:spacing w:line="360" w:lineRule="auto"/>
              <w:ind w:firstLine="480" w:firstLineChars="200"/>
              <w:rPr>
                <w:rFonts w:hint="default" w:ascii="Times New Roman" w:hAnsi="Times New Roman" w:cs="Times New Roman"/>
                <w:color w:val="auto"/>
                <w:sz w:val="24"/>
                <w:szCs w:val="28"/>
              </w:rPr>
            </w:pPr>
            <w:r>
              <w:rPr>
                <w:rFonts w:hint="default" w:ascii="Times New Roman" w:hAnsi="Times New Roman" w:cs="Times New Roman"/>
                <w:color w:val="auto"/>
                <w:sz w:val="24"/>
                <w:szCs w:val="28"/>
              </w:rPr>
              <w:t>式中：L（r）——r处的声级；</w:t>
            </w:r>
          </w:p>
          <w:p>
            <w:pPr>
              <w:spacing w:line="360" w:lineRule="auto"/>
              <w:ind w:firstLine="1200" w:firstLineChars="500"/>
              <w:rPr>
                <w:rFonts w:hint="default" w:ascii="Times New Roman" w:hAnsi="Times New Roman" w:cs="Times New Roman"/>
                <w:color w:val="auto"/>
                <w:sz w:val="24"/>
                <w:szCs w:val="28"/>
              </w:rPr>
            </w:pPr>
            <w:r>
              <w:rPr>
                <w:rFonts w:hint="default" w:ascii="Times New Roman" w:hAnsi="Times New Roman" w:cs="Times New Roman"/>
                <w:color w:val="auto"/>
                <w:sz w:val="24"/>
                <w:szCs w:val="28"/>
              </w:rPr>
              <w:t>L（r</w:t>
            </w:r>
            <w:r>
              <w:rPr>
                <w:rFonts w:hint="default" w:ascii="Times New Roman" w:hAnsi="Times New Roman" w:cs="Times New Roman"/>
                <w:color w:val="auto"/>
                <w:sz w:val="24"/>
                <w:szCs w:val="28"/>
                <w:vertAlign w:val="subscript"/>
              </w:rPr>
              <w:t>0</w:t>
            </w:r>
            <w:r>
              <w:rPr>
                <w:rFonts w:hint="default" w:ascii="Times New Roman" w:hAnsi="Times New Roman" w:cs="Times New Roman"/>
                <w:color w:val="auto"/>
                <w:sz w:val="24"/>
                <w:szCs w:val="28"/>
              </w:rPr>
              <w:t>）——r</w:t>
            </w:r>
            <w:r>
              <w:rPr>
                <w:rFonts w:hint="default" w:ascii="Times New Roman" w:hAnsi="Times New Roman" w:cs="Times New Roman"/>
                <w:color w:val="auto"/>
                <w:sz w:val="24"/>
                <w:szCs w:val="28"/>
                <w:vertAlign w:val="subscript"/>
              </w:rPr>
              <w:t>0</w:t>
            </w:r>
            <w:r>
              <w:rPr>
                <w:rFonts w:hint="default" w:ascii="Times New Roman" w:hAnsi="Times New Roman" w:cs="Times New Roman"/>
                <w:color w:val="auto"/>
                <w:sz w:val="24"/>
                <w:szCs w:val="28"/>
              </w:rPr>
              <w:t>处的声级；</w:t>
            </w:r>
          </w:p>
          <w:p>
            <w:pPr>
              <w:spacing w:line="360" w:lineRule="auto"/>
              <w:ind w:firstLine="1200" w:firstLineChars="500"/>
              <w:rPr>
                <w:rFonts w:hint="default" w:ascii="Times New Roman" w:hAnsi="Times New Roman" w:cs="Times New Roman"/>
                <w:color w:val="auto"/>
                <w:sz w:val="24"/>
                <w:szCs w:val="28"/>
              </w:rPr>
            </w:pPr>
            <w:r>
              <w:rPr>
                <w:rFonts w:hint="default" w:ascii="Times New Roman" w:hAnsi="Times New Roman" w:cs="Times New Roman"/>
                <w:color w:val="auto"/>
                <w:sz w:val="24"/>
                <w:szCs w:val="28"/>
              </w:rPr>
              <w:t>r——点声源至受声点的距离。</w:t>
            </w:r>
          </w:p>
          <w:p>
            <w:pPr>
              <w:spacing w:line="360" w:lineRule="auto"/>
              <w:ind w:firstLine="480" w:firstLineChars="200"/>
              <w:rPr>
                <w:rFonts w:hint="default" w:ascii="Times New Roman" w:hAnsi="Times New Roman" w:cs="Times New Roman"/>
                <w:snapToGrid w:val="0"/>
                <w:color w:val="auto"/>
                <w:sz w:val="24"/>
              </w:rPr>
            </w:pPr>
            <w:r>
              <w:rPr>
                <w:rFonts w:hint="default" w:ascii="Times New Roman" w:hAnsi="Times New Roman" w:cs="Times New Roman"/>
                <w:snapToGrid w:val="0"/>
                <w:color w:val="auto"/>
                <w:sz w:val="24"/>
              </w:rPr>
              <w:t>噪声叠加公式</w:t>
            </w:r>
          </w:p>
          <w:p>
            <w:pPr>
              <w:spacing w:line="360" w:lineRule="auto"/>
              <w:ind w:firstLine="480" w:firstLineChars="200"/>
              <w:rPr>
                <w:rFonts w:hint="default" w:ascii="Times New Roman" w:hAnsi="Times New Roman" w:cs="Times New Roman"/>
                <w:snapToGrid w:val="0"/>
                <w:color w:val="auto"/>
                <w:sz w:val="24"/>
              </w:rPr>
            </w:pPr>
            <w:r>
              <w:rPr>
                <w:rFonts w:hint="default" w:ascii="Times New Roman" w:hAnsi="Times New Roman" w:cs="Times New Roman"/>
                <w:snapToGrid w:val="0"/>
                <w:color w:val="auto"/>
                <w:sz w:val="24"/>
              </w:rPr>
              <w:t>对同一阶段的多个噪声源，采用以下公式进行叠加：</w:t>
            </w:r>
          </w:p>
          <w:p>
            <w:pPr>
              <w:snapToGrid w:val="0"/>
              <w:spacing w:line="360" w:lineRule="auto"/>
              <w:ind w:firstLine="960" w:firstLineChars="400"/>
              <w:rPr>
                <w:rFonts w:hint="default" w:ascii="Times New Roman" w:hAnsi="Times New Roman" w:cs="Times New Roman"/>
                <w:snapToGrid w:val="0"/>
                <w:color w:val="auto"/>
                <w:sz w:val="24"/>
              </w:rPr>
            </w:pPr>
            <w:r>
              <w:rPr>
                <w:rFonts w:hint="default" w:ascii="Times New Roman" w:hAnsi="Times New Roman" w:cs="Times New Roman"/>
                <w:color w:val="auto"/>
                <w:sz w:val="24"/>
              </w:rPr>
              <w:drawing>
                <wp:inline distT="0" distB="0" distL="0" distR="0">
                  <wp:extent cx="1828800" cy="612775"/>
                  <wp:effectExtent l="0" t="0" r="0" b="15875"/>
                  <wp:docPr id="3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28800" cy="612775"/>
                          </a:xfrm>
                          <a:prstGeom prst="rect">
                            <a:avLst/>
                          </a:prstGeom>
                          <a:noFill/>
                          <a:ln>
                            <a:noFill/>
                          </a:ln>
                        </pic:spPr>
                      </pic:pic>
                    </a:graphicData>
                  </a:graphic>
                </wp:inline>
              </w:drawing>
            </w:r>
          </w:p>
          <w:p>
            <w:pPr>
              <w:snapToGrid w:val="0"/>
              <w:spacing w:line="360" w:lineRule="auto"/>
              <w:ind w:firstLine="480" w:firstLineChars="200"/>
              <w:rPr>
                <w:rFonts w:hint="default" w:ascii="Times New Roman" w:hAnsi="Times New Roman" w:cs="Times New Roman"/>
                <w:iCs/>
                <w:snapToGrid w:val="0"/>
                <w:color w:val="auto"/>
                <w:sz w:val="24"/>
              </w:rPr>
            </w:pPr>
            <w:r>
              <w:rPr>
                <w:rFonts w:hint="default" w:ascii="Times New Roman" w:hAnsi="Times New Roman" w:cs="Times New Roman"/>
                <w:snapToGrid w:val="0"/>
                <w:color w:val="auto"/>
                <w:sz w:val="24"/>
              </w:rPr>
              <w:t>式中：</w:t>
            </w:r>
            <w:r>
              <w:rPr>
                <w:rFonts w:hint="default" w:ascii="Times New Roman" w:hAnsi="Times New Roman" w:cs="Times New Roman"/>
                <w:iCs/>
                <w:snapToGrid w:val="0"/>
                <w:color w:val="auto"/>
                <w:sz w:val="24"/>
              </w:rPr>
              <w:t>L</w:t>
            </w:r>
            <w:r>
              <w:rPr>
                <w:rFonts w:hint="default" w:ascii="Times New Roman" w:hAnsi="Times New Roman" w:cs="Times New Roman"/>
                <w:iCs/>
                <w:snapToGrid w:val="0"/>
                <w:color w:val="auto"/>
                <w:sz w:val="24"/>
                <w:vertAlign w:val="subscript"/>
              </w:rPr>
              <w:t>TP</w:t>
            </w:r>
            <w:r>
              <w:rPr>
                <w:rFonts w:hint="default" w:ascii="Times New Roman" w:hAnsi="Times New Roman" w:cs="Times New Roman"/>
                <w:iCs/>
                <w:snapToGrid w:val="0"/>
                <w:color w:val="auto"/>
                <w:sz w:val="24"/>
              </w:rPr>
              <w:t>——总噪声级dB(A)；</w:t>
            </w:r>
          </w:p>
          <w:p>
            <w:pPr>
              <w:pStyle w:val="41"/>
              <w:snapToGrid w:val="0"/>
              <w:spacing w:line="360" w:lineRule="auto"/>
              <w:ind w:firstLine="1200" w:firstLineChars="500"/>
              <w:rPr>
                <w:rFonts w:hint="default" w:ascii="Times New Roman" w:hAnsi="Times New Roman" w:cs="Times New Roman"/>
                <w:color w:val="auto"/>
              </w:rPr>
            </w:pPr>
            <w:r>
              <w:rPr>
                <w:rFonts w:hint="default" w:ascii="Times New Roman" w:hAnsi="Times New Roman" w:cs="Times New Roman"/>
                <w:iCs/>
                <w:color w:val="auto"/>
              </w:rPr>
              <w:t>Lⅈ</w:t>
            </w:r>
            <w:r>
              <w:rPr>
                <w:rFonts w:hint="default" w:ascii="Times New Roman" w:hAnsi="Times New Roman" w:cs="Times New Roman"/>
                <w:color w:val="auto"/>
              </w:rPr>
              <w:t>——各噪声噪声级</w:t>
            </w:r>
            <w:r>
              <w:rPr>
                <w:rFonts w:hint="default" w:ascii="Times New Roman" w:hAnsi="Times New Roman" w:cs="Times New Roman"/>
                <w:snapToGrid w:val="0"/>
                <w:color w:val="auto"/>
              </w:rPr>
              <w:t>dB(A)。</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经计算，施工机械产生的噪声强度在100m 内施工噪声影响值见表43。</w:t>
            </w:r>
          </w:p>
          <w:p>
            <w:pPr>
              <w:adjustRightInd/>
              <w:spacing w:before="156" w:beforeLines="50" w:line="240" w:lineRule="auto"/>
              <w:jc w:val="center"/>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表7-1 施工噪声影响值单位：dB（A）</w:t>
            </w:r>
          </w:p>
          <w:tbl>
            <w:tblPr>
              <w:tblStyle w:val="33"/>
              <w:tblW w:w="896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08"/>
              <w:gridCol w:w="1701"/>
              <w:gridCol w:w="992"/>
              <w:gridCol w:w="1031"/>
              <w:gridCol w:w="1031"/>
              <w:gridCol w:w="1031"/>
              <w:gridCol w:w="1031"/>
              <w:gridCol w:w="103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8" w:type="dxa"/>
                  <w:vMerge w:val="restart"/>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施工阶段</w:t>
                  </w:r>
                </w:p>
              </w:tc>
              <w:tc>
                <w:tcPr>
                  <w:tcW w:w="1701" w:type="dxa"/>
                  <w:vMerge w:val="restart"/>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主要噪声源</w:t>
                  </w:r>
                </w:p>
              </w:tc>
              <w:tc>
                <w:tcPr>
                  <w:tcW w:w="992" w:type="dxa"/>
                  <w:vMerge w:val="restart"/>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声级</w:t>
                  </w:r>
                </w:p>
              </w:tc>
              <w:tc>
                <w:tcPr>
                  <w:tcW w:w="5159" w:type="dxa"/>
                  <w:gridSpan w:val="5"/>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距声源距离（m）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8" w:type="dxa"/>
                  <w:vMerge w:val="continue"/>
                  <w:vAlign w:val="center"/>
                </w:tcPr>
                <w:p>
                  <w:pPr>
                    <w:snapToGrid w:val="0"/>
                    <w:spacing w:line="240" w:lineRule="auto"/>
                    <w:jc w:val="center"/>
                    <w:textAlignment w:val="auto"/>
                    <w:rPr>
                      <w:rFonts w:hint="default" w:ascii="Times New Roman" w:hAnsi="Times New Roman" w:cs="Times New Roman"/>
                      <w:color w:val="auto"/>
                      <w:szCs w:val="21"/>
                    </w:rPr>
                  </w:pPr>
                </w:p>
              </w:tc>
              <w:tc>
                <w:tcPr>
                  <w:tcW w:w="1701" w:type="dxa"/>
                  <w:vMerge w:val="continue"/>
                  <w:vAlign w:val="center"/>
                </w:tcPr>
                <w:p>
                  <w:pPr>
                    <w:snapToGrid w:val="0"/>
                    <w:spacing w:line="240" w:lineRule="auto"/>
                    <w:jc w:val="center"/>
                    <w:textAlignment w:val="auto"/>
                    <w:rPr>
                      <w:rFonts w:hint="default" w:ascii="Times New Roman" w:hAnsi="Times New Roman" w:cs="Times New Roman"/>
                      <w:color w:val="auto"/>
                      <w:szCs w:val="21"/>
                    </w:rPr>
                  </w:pPr>
                </w:p>
              </w:tc>
              <w:tc>
                <w:tcPr>
                  <w:tcW w:w="992" w:type="dxa"/>
                  <w:vMerge w:val="continue"/>
                  <w:vAlign w:val="center"/>
                </w:tcPr>
                <w:p>
                  <w:pPr>
                    <w:snapToGrid w:val="0"/>
                    <w:spacing w:line="240" w:lineRule="auto"/>
                    <w:jc w:val="center"/>
                    <w:textAlignment w:val="auto"/>
                    <w:rPr>
                      <w:rFonts w:hint="default" w:ascii="Times New Roman" w:hAnsi="Times New Roman" w:cs="Times New Roman"/>
                      <w:color w:val="auto"/>
                      <w:szCs w:val="21"/>
                    </w:rPr>
                  </w:pPr>
                </w:p>
              </w:tc>
              <w:tc>
                <w:tcPr>
                  <w:tcW w:w="1031" w:type="dxa"/>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1031" w:type="dxa"/>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1031" w:type="dxa"/>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1031" w:type="dxa"/>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1035" w:type="dxa"/>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8" w:type="dxa"/>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土石方</w:t>
                  </w:r>
                </w:p>
              </w:tc>
              <w:tc>
                <w:tcPr>
                  <w:tcW w:w="1701" w:type="dxa"/>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挖土机等</w:t>
                  </w:r>
                </w:p>
              </w:tc>
              <w:tc>
                <w:tcPr>
                  <w:tcW w:w="992" w:type="dxa"/>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90～100</w:t>
                  </w:r>
                </w:p>
              </w:tc>
              <w:tc>
                <w:tcPr>
                  <w:tcW w:w="1031" w:type="dxa"/>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65-～74</w:t>
                  </w:r>
                </w:p>
              </w:tc>
              <w:tc>
                <w:tcPr>
                  <w:tcW w:w="1031" w:type="dxa"/>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58～68</w:t>
                  </w:r>
                </w:p>
              </w:tc>
              <w:tc>
                <w:tcPr>
                  <w:tcW w:w="1031" w:type="dxa"/>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54～64</w:t>
                  </w:r>
                </w:p>
              </w:tc>
              <w:tc>
                <w:tcPr>
                  <w:tcW w:w="1031" w:type="dxa"/>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52～62</w:t>
                  </w:r>
                </w:p>
              </w:tc>
              <w:tc>
                <w:tcPr>
                  <w:tcW w:w="1035" w:type="dxa"/>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50～60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8" w:type="dxa"/>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结构</w:t>
                  </w:r>
                </w:p>
              </w:tc>
              <w:tc>
                <w:tcPr>
                  <w:tcW w:w="1701" w:type="dxa"/>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混凝土搅拌车、振捣棒等</w:t>
                  </w:r>
                </w:p>
              </w:tc>
              <w:tc>
                <w:tcPr>
                  <w:tcW w:w="992" w:type="dxa"/>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85～95</w:t>
                  </w:r>
                </w:p>
              </w:tc>
              <w:tc>
                <w:tcPr>
                  <w:tcW w:w="1031" w:type="dxa"/>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59～69</w:t>
                  </w:r>
                </w:p>
              </w:tc>
              <w:tc>
                <w:tcPr>
                  <w:tcW w:w="1031" w:type="dxa"/>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53～63</w:t>
                  </w:r>
                </w:p>
              </w:tc>
              <w:tc>
                <w:tcPr>
                  <w:tcW w:w="1031" w:type="dxa"/>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49～59</w:t>
                  </w:r>
                </w:p>
              </w:tc>
              <w:tc>
                <w:tcPr>
                  <w:tcW w:w="1031" w:type="dxa"/>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47～57</w:t>
                  </w:r>
                </w:p>
              </w:tc>
              <w:tc>
                <w:tcPr>
                  <w:tcW w:w="1035" w:type="dxa"/>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45～55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09" w:type="dxa"/>
                  <w:gridSpan w:val="2"/>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《建筑施工场界环境噪声排放标准》（GB12523-2011）</w:t>
                  </w:r>
                </w:p>
              </w:tc>
              <w:tc>
                <w:tcPr>
                  <w:tcW w:w="6151" w:type="dxa"/>
                  <w:gridSpan w:val="6"/>
                  <w:vAlign w:val="center"/>
                </w:tcPr>
                <w:p>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昼间70 夜间55</w:t>
                  </w:r>
                </w:p>
              </w:tc>
            </w:tr>
          </w:tbl>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由表7-1可见，对照《建筑施工场界环境噪声排放标准》标准，该项目昼间施工噪声对40m 范围内的影响较大，夜间施工将对工地100m范围内造成影响。</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施工期噪声影响虽然是暂时的，但是施工过程中采用的施工机械一般都具有噪声高、无规则等特点，如对施工期噪声不加以控制，将会对周围声环境产生影响。为减小施工噪声对周边环境的影响，建议：</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①合理安排施工时间，应尽可能避免大量高噪声设备同时施工，除施工工艺上要求必须连续作业或者特殊需要外，禁止夜间（晚22:00~早6:00 ）和午休时间（12:00~14:00）进行打桩等高噪声设备施工，并对环境敏感点采用移动式声屏障措施；</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②施工设备选型时尽量采用低噪声设备；</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③施工单位应注意施工机械保养，维持施工机械低声级水平，避免因松动部件振动或消声器损坏而加大设备工作时的声级。</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项目在采取上述措施后，昼间施工噪声对周围环境的影响范围为40m，且随着项目施工结束，影响将消失。</w:t>
            </w:r>
          </w:p>
          <w:p>
            <w:pPr>
              <w:pStyle w:val="41"/>
              <w:snapToGrid w:val="0"/>
              <w:spacing w:line="360" w:lineRule="auto"/>
              <w:rPr>
                <w:rFonts w:hint="default" w:ascii="Times New Roman" w:hAnsi="Times New Roman" w:cs="Times New Roman"/>
                <w:b/>
                <w:color w:val="auto"/>
                <w:lang w:val="zh-TW"/>
              </w:rPr>
            </w:pPr>
            <w:r>
              <w:rPr>
                <w:rFonts w:hint="default" w:ascii="Times New Roman" w:hAnsi="Times New Roman" w:cs="Times New Roman"/>
                <w:b/>
                <w:color w:val="auto"/>
                <w:lang w:val="zh-TW"/>
              </w:rPr>
              <w:t>1.</w:t>
            </w:r>
            <w:r>
              <w:rPr>
                <w:rFonts w:hint="default" w:ascii="Times New Roman" w:hAnsi="Times New Roman" w:eastAsia="PMingLiU" w:cs="Times New Roman"/>
                <w:b/>
                <w:color w:val="auto"/>
                <w:lang w:val="zh-TW" w:eastAsia="zh-TW"/>
              </w:rPr>
              <w:t>4</w:t>
            </w:r>
            <w:r>
              <w:rPr>
                <w:rFonts w:hint="default" w:ascii="Times New Roman" w:hAnsi="Times New Roman" w:cs="Times New Roman"/>
                <w:b/>
                <w:color w:val="auto"/>
                <w:lang w:val="zh-TW"/>
              </w:rPr>
              <w:t>施工期固体废物环境影响分析</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施工期间的固体废物主要为建筑垃圾和施工人员生活垃圾。</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本项目基础工程挖土方量与回填土方量在场内周转，就地平衡。建筑垃圾主要包括砂石、石块、废木料、废金属、废钢筋等杂物，收集后堆放于指定地点，统一送往管理部门指定的弃渣场地处理。</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施工期产生的生活垃圾主要为餐盒、塑料袋等，经收集后，由环卫部门统一清运处理 。</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为了避免施工期间固体废物对周围环境造成影响，拟采取以下污染防治措施：</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①对场地挖掘产生的土方应切实按照规划要求用于场地回填及绿地铺设，并尽快利用以减少堆存时间，项目施工期无弃土产生；</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②生活垃圾应集中收集，及时清运出场，以免孳生蚊蝇；</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③建设单位应要求施工单位规范运输，不要随路散落，也不要随意倾倒建筑垃圾，</w:t>
            </w:r>
          </w:p>
          <w:p>
            <w:pPr>
              <w:pStyle w:val="41"/>
              <w:snapToGrid w:val="0"/>
              <w:spacing w:line="360" w:lineRule="auto"/>
              <w:rPr>
                <w:rFonts w:hint="default" w:ascii="Times New Roman" w:hAnsi="Times New Roman" w:cs="Times New Roman"/>
                <w:color w:val="auto"/>
              </w:rPr>
            </w:pPr>
            <w:r>
              <w:rPr>
                <w:rFonts w:hint="default" w:ascii="Times New Roman" w:hAnsi="Times New Roman" w:cs="Times New Roman"/>
                <w:color w:val="auto"/>
              </w:rPr>
              <w:t>制造新的垃圾堆场；</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④有关施工现场固体废弃物处置的其他措施按照《建设工程施工现场环境保护工作基本标准》执行。</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在严格采取以上防治措施以后，施工期的环境影响可大大降低。</w:t>
            </w:r>
          </w:p>
          <w:p>
            <w:pPr>
              <w:pStyle w:val="41"/>
              <w:snapToGrid w:val="0"/>
              <w:spacing w:line="360" w:lineRule="auto"/>
              <w:rPr>
                <w:rFonts w:hint="default" w:ascii="Times New Roman" w:hAnsi="Times New Roman" w:cs="Times New Roman"/>
                <w:b/>
                <w:color w:val="auto"/>
                <w:lang w:val="zh-TW"/>
              </w:rPr>
            </w:pPr>
            <w:r>
              <w:rPr>
                <w:rFonts w:hint="default" w:ascii="Times New Roman" w:hAnsi="Times New Roman" w:cs="Times New Roman"/>
                <w:b/>
                <w:color w:val="auto"/>
                <w:lang w:val="zh-TW"/>
              </w:rPr>
              <w:t>1.</w:t>
            </w:r>
            <w:r>
              <w:rPr>
                <w:rFonts w:hint="default" w:ascii="Times New Roman" w:hAnsi="Times New Roman" w:eastAsia="PMingLiU" w:cs="Times New Roman"/>
                <w:b/>
                <w:color w:val="auto"/>
                <w:lang w:val="zh-TW" w:eastAsia="zh-TW"/>
              </w:rPr>
              <w:t>4</w:t>
            </w:r>
            <w:r>
              <w:rPr>
                <w:rFonts w:hint="default" w:ascii="Times New Roman" w:hAnsi="Times New Roman" w:cs="Times New Roman"/>
                <w:b/>
                <w:color w:val="auto"/>
                <w:lang w:val="zh-TW"/>
              </w:rPr>
              <w:t>施工期生态环境影响分析</w:t>
            </w:r>
          </w:p>
          <w:p>
            <w:pPr>
              <w:pStyle w:val="41"/>
              <w:snapToGrid w:val="0"/>
              <w:spacing w:line="360" w:lineRule="auto"/>
              <w:ind w:firstLine="482"/>
              <w:rPr>
                <w:rFonts w:hint="default" w:ascii="Times New Roman" w:hAnsi="Times New Roman" w:cs="Times New Roman"/>
                <w:color w:val="auto"/>
                <w:lang w:eastAsia="zh-TW"/>
              </w:rPr>
            </w:pPr>
            <w:r>
              <w:rPr>
                <w:rFonts w:hint="default" w:ascii="Times New Roman" w:hAnsi="Times New Roman" w:cs="Times New Roman"/>
                <w:color w:val="auto"/>
                <w:lang w:eastAsia="zh-TW"/>
              </w:rPr>
              <w:t>本项目在施工期的占地、开挖土方石等问题，对生态环境是有一定的影响，主要表现为对水土流失的影响，随着本项目完全竣工后这些影响随之消失。营运期对生态环境不会产生明显影响。该区域人类活动频繁，无珍稀保护动植物，项目的建设对生态环境不会产生不利影响。</w:t>
            </w:r>
          </w:p>
          <w:p>
            <w:pPr>
              <w:pStyle w:val="41"/>
              <w:snapToGrid w:val="0"/>
              <w:spacing w:line="360" w:lineRule="auto"/>
              <w:ind w:firstLine="482"/>
              <w:rPr>
                <w:rFonts w:hint="default" w:ascii="Times New Roman" w:hAnsi="Times New Roman" w:cs="Times New Roman"/>
                <w:color w:val="auto"/>
                <w:lang w:eastAsia="zh-TW"/>
              </w:rPr>
            </w:pPr>
            <w:r>
              <w:rPr>
                <w:rFonts w:hint="default" w:ascii="Times New Roman" w:hAnsi="Times New Roman" w:cs="Times New Roman"/>
                <w:color w:val="auto"/>
                <w:lang w:eastAsia="zh-TW"/>
              </w:rPr>
              <w:t>综上所述，本工程施工期对环境的影响主要表现在扬尘、噪声、施工废水和对当地的经济、社会、生态环境产生一定影响。施工期的影响是暂时的</w:t>
            </w:r>
            <w:r>
              <w:rPr>
                <w:rFonts w:hint="default" w:ascii="Times New Roman" w:hAnsi="Times New Roman" w:cs="Times New Roman"/>
                <w:color w:val="auto"/>
              </w:rPr>
              <w:t>、</w:t>
            </w:r>
            <w:r>
              <w:rPr>
                <w:rFonts w:hint="default" w:ascii="Times New Roman" w:hAnsi="Times New Roman" w:cs="Times New Roman"/>
                <w:color w:val="auto"/>
                <w:lang w:eastAsia="zh-TW"/>
              </w:rPr>
              <w:t>局部的，在施工中和结束后通过采取一系列的污染防治措施，可使影响降至最低。随着工程的结束而消失。</w:t>
            </w:r>
          </w:p>
          <w:bookmarkEnd w:id="12"/>
          <w:bookmarkEnd w:id="13"/>
          <w:bookmarkEnd w:id="14"/>
          <w:bookmarkEnd w:id="15"/>
          <w:bookmarkEnd w:id="16"/>
          <w:bookmarkEnd w:id="17"/>
          <w:bookmarkEnd w:id="18"/>
          <w:bookmarkEnd w:id="19"/>
          <w:bookmarkEnd w:id="20"/>
          <w:bookmarkEnd w:id="21"/>
          <w:bookmarkEnd w:id="22"/>
          <w:bookmarkEnd w:id="23"/>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rPr>
              <w:t>2运营期环境影响分析</w:t>
            </w:r>
          </w:p>
          <w:p>
            <w:pPr>
              <w:pStyle w:val="41"/>
              <w:snapToGrid w:val="0"/>
              <w:spacing w:line="360" w:lineRule="auto"/>
              <w:rPr>
                <w:rFonts w:hint="default" w:ascii="Times New Roman" w:hAnsi="Times New Roman" w:cs="Times New Roman"/>
                <w:b/>
                <w:color w:val="auto"/>
                <w:lang w:val="zh-TW"/>
              </w:rPr>
            </w:pPr>
            <w:r>
              <w:rPr>
                <w:rFonts w:hint="default" w:ascii="Times New Roman" w:hAnsi="Times New Roman" w:eastAsia="PMingLiU" w:cs="Times New Roman"/>
                <w:b/>
                <w:color w:val="auto"/>
                <w:lang w:val="zh-TW" w:eastAsia="zh-TW"/>
              </w:rPr>
              <w:t>2</w:t>
            </w:r>
            <w:r>
              <w:rPr>
                <w:rFonts w:hint="default" w:ascii="Times New Roman" w:hAnsi="Times New Roman" w:cs="Times New Roman"/>
                <w:b/>
                <w:color w:val="auto"/>
                <w:lang w:val="zh-TW" w:eastAsia="zh-TW"/>
              </w:rPr>
              <w:t>.1</w:t>
            </w:r>
            <w:r>
              <w:rPr>
                <w:rFonts w:hint="default" w:ascii="Times New Roman" w:hAnsi="Times New Roman" w:cs="Times New Roman"/>
                <w:b/>
                <w:color w:val="auto"/>
                <w:lang w:val="zh-TW"/>
              </w:rPr>
              <w:t>运营期大气环境影响分析</w:t>
            </w:r>
          </w:p>
          <w:p>
            <w:pPr>
              <w:pStyle w:val="41"/>
              <w:snapToGrid w:val="0"/>
              <w:spacing w:line="360" w:lineRule="auto"/>
              <w:ind w:firstLine="482"/>
              <w:rPr>
                <w:rFonts w:hint="default" w:ascii="Times New Roman" w:hAnsi="Times New Roman" w:cs="Times New Roman"/>
                <w:color w:val="auto"/>
                <w:lang w:val="zh-TW"/>
              </w:rPr>
            </w:pPr>
            <w:r>
              <w:rPr>
                <w:rFonts w:hint="default" w:ascii="Times New Roman" w:hAnsi="Times New Roman" w:cs="Times New Roman"/>
                <w:color w:val="auto"/>
                <w:lang w:val="zh-TW"/>
              </w:rPr>
              <w:t>本项目大气污染物</w:t>
            </w:r>
            <w:r>
              <w:rPr>
                <w:rFonts w:hint="default" w:ascii="Times New Roman" w:hAnsi="Times New Roman" w:cs="Times New Roman"/>
                <w:color w:val="auto"/>
                <w:lang w:val="en-US" w:eastAsia="zh-CN"/>
              </w:rPr>
              <w:t>为渗滤液处理车间产生</w:t>
            </w:r>
            <w:r>
              <w:rPr>
                <w:rFonts w:hint="default" w:ascii="Times New Roman" w:hAnsi="Times New Roman" w:cs="Times New Roman"/>
                <w:color w:val="auto"/>
                <w:lang w:val="zh-TW"/>
              </w:rPr>
              <w:t>的恶臭（NH</w:t>
            </w:r>
            <w:r>
              <w:rPr>
                <w:rFonts w:hint="default" w:ascii="Times New Roman" w:hAnsi="Times New Roman" w:cs="Times New Roman"/>
                <w:color w:val="auto"/>
                <w:vertAlign w:val="subscript"/>
                <w:lang w:val="zh-TW"/>
              </w:rPr>
              <w:t>3</w:t>
            </w:r>
            <w:r>
              <w:rPr>
                <w:rFonts w:hint="default" w:ascii="Times New Roman" w:hAnsi="Times New Roman" w:cs="Times New Roman"/>
                <w:color w:val="auto"/>
                <w:lang w:val="zh-TW"/>
              </w:rPr>
              <w:t>和H</w:t>
            </w:r>
            <w:r>
              <w:rPr>
                <w:rFonts w:hint="default" w:ascii="Times New Roman" w:hAnsi="Times New Roman" w:cs="Times New Roman"/>
                <w:color w:val="auto"/>
                <w:vertAlign w:val="subscript"/>
                <w:lang w:val="zh-TW"/>
              </w:rPr>
              <w:t>2</w:t>
            </w:r>
            <w:r>
              <w:rPr>
                <w:rFonts w:hint="default" w:ascii="Times New Roman" w:hAnsi="Times New Roman" w:cs="Times New Roman"/>
                <w:color w:val="auto"/>
                <w:lang w:val="zh-TW"/>
              </w:rPr>
              <w:t>S）。</w:t>
            </w:r>
          </w:p>
          <w:p>
            <w:pPr>
              <w:pStyle w:val="41"/>
              <w:snapToGrid w:val="0"/>
              <w:spacing w:line="360" w:lineRule="auto"/>
              <w:ind w:firstLine="482"/>
              <w:rPr>
                <w:rFonts w:hint="default" w:ascii="Times New Roman" w:hAnsi="Times New Roman" w:cs="Times New Roman"/>
                <w:color w:val="auto"/>
                <w:lang w:val="zh-TW"/>
              </w:rPr>
            </w:pPr>
            <w:r>
              <w:rPr>
                <w:rFonts w:hint="default" w:ascii="Times New Roman" w:hAnsi="Times New Roman" w:cs="Times New Roman"/>
                <w:color w:val="auto"/>
                <w:lang w:val="zh-TW"/>
              </w:rPr>
              <w:t>（1）气象条件</w:t>
            </w:r>
          </w:p>
          <w:p>
            <w:pPr>
              <w:pStyle w:val="41"/>
              <w:snapToGrid w:val="0"/>
              <w:spacing w:line="360" w:lineRule="auto"/>
              <w:ind w:firstLine="482"/>
              <w:rPr>
                <w:rFonts w:hint="default" w:ascii="Times New Roman" w:hAnsi="Times New Roman" w:cs="Times New Roman"/>
                <w:color w:val="auto"/>
                <w:lang w:val="zh-TW"/>
              </w:rPr>
            </w:pPr>
            <w:r>
              <w:rPr>
                <w:rFonts w:hint="default" w:ascii="Times New Roman" w:hAnsi="Times New Roman" w:cs="Times New Roman"/>
                <w:color w:val="auto"/>
                <w:lang w:val="zh-TW"/>
              </w:rPr>
              <w:t>采用《环境影响评价技术导则 大气环境》（HJ2.2-2018）推荐的估算模型AERSCREEN，所需最高和最低环境温度，一般需选取评价区域近 20 年以上资料统计结果。评价区年极端最低气温，为-35.0℃，年极端最高气温，为37.6℃。</w:t>
            </w:r>
          </w:p>
          <w:p>
            <w:pPr>
              <w:adjustRightInd/>
              <w:spacing w:before="156" w:beforeLines="50" w:line="240" w:lineRule="auto"/>
              <w:jc w:val="center"/>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表7-2 估算模型参数表</w:t>
            </w:r>
          </w:p>
          <w:tbl>
            <w:tblPr>
              <w:tblStyle w:val="33"/>
              <w:tblW w:w="896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3022"/>
              <w:gridCol w:w="2693"/>
              <w:gridCol w:w="32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715" w:type="dxa"/>
                  <w:gridSpan w:val="2"/>
                  <w:vAlign w:val="center"/>
                </w:tcPr>
                <w:p>
                  <w:pPr>
                    <w:overflowPunct w:val="0"/>
                    <w:snapToGrid w:val="0"/>
                    <w:spacing w:line="240" w:lineRule="auto"/>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参数</w:t>
                  </w:r>
                </w:p>
              </w:tc>
              <w:tc>
                <w:tcPr>
                  <w:tcW w:w="3245" w:type="dxa"/>
                  <w:vAlign w:val="center"/>
                </w:tcPr>
                <w:p>
                  <w:pPr>
                    <w:overflowPunct w:val="0"/>
                    <w:snapToGrid w:val="0"/>
                    <w:spacing w:line="240" w:lineRule="auto"/>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取值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022" w:type="dxa"/>
                  <w:vMerge w:val="restart"/>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城市/农村选项</w:t>
                  </w:r>
                </w:p>
              </w:tc>
              <w:tc>
                <w:tcPr>
                  <w:tcW w:w="2693" w:type="dxa"/>
                  <w:vAlign w:val="center"/>
                </w:tcPr>
                <w:p>
                  <w:pPr>
                    <w:overflowPunct w:val="0"/>
                    <w:snapToGrid w:val="0"/>
                    <w:spacing w:line="240" w:lineRule="auto"/>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城市/农村</w:t>
                  </w:r>
                </w:p>
              </w:tc>
              <w:tc>
                <w:tcPr>
                  <w:tcW w:w="3245" w:type="dxa"/>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4"/>
                      <w:szCs w:val="21"/>
                    </w:rPr>
                    <w:t>农村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022" w:type="dxa"/>
                  <w:vMerge w:val="continue"/>
                  <w:vAlign w:val="center"/>
                </w:tcPr>
                <w:p>
                  <w:pPr>
                    <w:snapToGrid w:val="0"/>
                    <w:spacing w:line="240" w:lineRule="auto"/>
                    <w:jc w:val="center"/>
                    <w:textAlignment w:val="auto"/>
                    <w:rPr>
                      <w:rFonts w:hint="default" w:ascii="Times New Roman" w:hAnsi="Times New Roman" w:cs="Times New Roman"/>
                      <w:color w:val="auto"/>
                      <w:kern w:val="2"/>
                      <w:szCs w:val="21"/>
                    </w:rPr>
                  </w:pPr>
                </w:p>
              </w:tc>
              <w:tc>
                <w:tcPr>
                  <w:tcW w:w="2693" w:type="dxa"/>
                  <w:vAlign w:val="center"/>
                </w:tcPr>
                <w:p>
                  <w:pPr>
                    <w:overflowPunct w:val="0"/>
                    <w:snapToGrid w:val="0"/>
                    <w:spacing w:line="240" w:lineRule="auto"/>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人口数（城市选项）</w:t>
                  </w:r>
                </w:p>
              </w:tc>
              <w:tc>
                <w:tcPr>
                  <w:tcW w:w="3245" w:type="dxa"/>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715" w:type="dxa"/>
                  <w:gridSpan w:val="2"/>
                  <w:vAlign w:val="center"/>
                </w:tcPr>
                <w:p>
                  <w:pPr>
                    <w:overflowPunct w:val="0"/>
                    <w:snapToGrid w:val="0"/>
                    <w:spacing w:line="240" w:lineRule="auto"/>
                    <w:jc w:val="center"/>
                    <w:rPr>
                      <w:rFonts w:hint="default" w:ascii="Times New Roman" w:hAnsi="Times New Roman" w:cs="Times New Roman"/>
                      <w:color w:val="auto"/>
                      <w:kern w:val="24"/>
                      <w:szCs w:val="21"/>
                    </w:rPr>
                  </w:pPr>
                  <w:r>
                    <w:rPr>
                      <w:rFonts w:hint="default" w:ascii="Times New Roman" w:hAnsi="Times New Roman" w:cs="Times New Roman"/>
                      <w:color w:val="auto"/>
                      <w:kern w:val="2"/>
                      <w:szCs w:val="21"/>
                    </w:rPr>
                    <w:t>最高环境温度/℃</w:t>
                  </w:r>
                </w:p>
              </w:tc>
              <w:tc>
                <w:tcPr>
                  <w:tcW w:w="3245" w:type="dxa"/>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37.6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715" w:type="dxa"/>
                  <w:gridSpan w:val="2"/>
                  <w:vAlign w:val="center"/>
                </w:tcPr>
                <w:p>
                  <w:pPr>
                    <w:overflowPunct w:val="0"/>
                    <w:snapToGrid w:val="0"/>
                    <w:spacing w:line="240" w:lineRule="auto"/>
                    <w:jc w:val="center"/>
                    <w:rPr>
                      <w:rFonts w:hint="default" w:ascii="Times New Roman" w:hAnsi="Times New Roman" w:cs="Times New Roman"/>
                      <w:color w:val="auto"/>
                      <w:kern w:val="24"/>
                      <w:szCs w:val="21"/>
                    </w:rPr>
                  </w:pPr>
                  <w:r>
                    <w:rPr>
                      <w:rFonts w:hint="default" w:ascii="Times New Roman" w:hAnsi="Times New Roman" w:cs="Times New Roman"/>
                      <w:color w:val="auto"/>
                      <w:kern w:val="2"/>
                      <w:szCs w:val="21"/>
                    </w:rPr>
                    <w:t>最低环境温度/℃</w:t>
                  </w:r>
                </w:p>
              </w:tc>
              <w:tc>
                <w:tcPr>
                  <w:tcW w:w="3245" w:type="dxa"/>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-35.0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715" w:type="dxa"/>
                  <w:gridSpan w:val="2"/>
                  <w:vAlign w:val="center"/>
                </w:tcPr>
                <w:p>
                  <w:pPr>
                    <w:overflowPunct w:val="0"/>
                    <w:snapToGrid w:val="0"/>
                    <w:spacing w:line="240" w:lineRule="auto"/>
                    <w:jc w:val="center"/>
                    <w:rPr>
                      <w:rFonts w:hint="default" w:ascii="Times New Roman" w:hAnsi="Times New Roman" w:cs="Times New Roman"/>
                      <w:color w:val="auto"/>
                      <w:kern w:val="24"/>
                      <w:szCs w:val="21"/>
                    </w:rPr>
                  </w:pPr>
                  <w:r>
                    <w:rPr>
                      <w:rFonts w:hint="default" w:ascii="Times New Roman" w:hAnsi="Times New Roman" w:cs="Times New Roman"/>
                      <w:color w:val="auto"/>
                      <w:kern w:val="2"/>
                      <w:szCs w:val="21"/>
                    </w:rPr>
                    <w:t>土地利用类型</w:t>
                  </w:r>
                </w:p>
              </w:tc>
              <w:tc>
                <w:tcPr>
                  <w:tcW w:w="3245" w:type="dxa"/>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农作地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715" w:type="dxa"/>
                  <w:gridSpan w:val="2"/>
                  <w:vAlign w:val="center"/>
                </w:tcPr>
                <w:p>
                  <w:pPr>
                    <w:overflowPunct w:val="0"/>
                    <w:snapToGrid w:val="0"/>
                    <w:spacing w:line="240" w:lineRule="auto"/>
                    <w:jc w:val="center"/>
                    <w:rPr>
                      <w:rFonts w:hint="default" w:ascii="Times New Roman" w:hAnsi="Times New Roman" w:cs="Times New Roman"/>
                      <w:color w:val="auto"/>
                      <w:kern w:val="24"/>
                      <w:szCs w:val="21"/>
                    </w:rPr>
                  </w:pPr>
                  <w:r>
                    <w:rPr>
                      <w:rFonts w:hint="default" w:ascii="Times New Roman" w:hAnsi="Times New Roman" w:cs="Times New Roman"/>
                      <w:color w:val="auto"/>
                      <w:kern w:val="2"/>
                      <w:szCs w:val="21"/>
                    </w:rPr>
                    <w:t>区域湿度条件</w:t>
                  </w:r>
                </w:p>
              </w:tc>
              <w:tc>
                <w:tcPr>
                  <w:tcW w:w="3245" w:type="dxa"/>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中等湿度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022" w:type="dxa"/>
                  <w:vMerge w:val="restart"/>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是否考虑地形</w:t>
                  </w:r>
                </w:p>
              </w:tc>
              <w:tc>
                <w:tcPr>
                  <w:tcW w:w="2693" w:type="dxa"/>
                  <w:vAlign w:val="center"/>
                </w:tcPr>
                <w:p>
                  <w:pPr>
                    <w:overflowPunct w:val="0"/>
                    <w:snapToGrid w:val="0"/>
                    <w:spacing w:line="240" w:lineRule="auto"/>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考虑地形</w:t>
                  </w:r>
                </w:p>
              </w:tc>
              <w:tc>
                <w:tcPr>
                  <w:tcW w:w="3245" w:type="dxa"/>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 xml:space="preserve">□是 </w:t>
                  </w:r>
                  <w:r>
                    <w:rPr>
                      <w:rFonts w:hint="default" w:ascii="Times New Roman" w:hAnsi="Times New Roman" w:cs="Times New Roman"/>
                      <w:color w:val="auto"/>
                      <w:szCs w:val="21"/>
                    </w:rPr>
                    <w:t>☑</w:t>
                  </w:r>
                  <w:r>
                    <w:rPr>
                      <w:rFonts w:hint="default" w:ascii="Times New Roman" w:hAnsi="Times New Roman" w:cs="Times New Roman"/>
                      <w:color w:val="auto"/>
                      <w:kern w:val="2"/>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022" w:type="dxa"/>
                  <w:vMerge w:val="continue"/>
                  <w:vAlign w:val="center"/>
                </w:tcPr>
                <w:p>
                  <w:pPr>
                    <w:snapToGrid w:val="0"/>
                    <w:spacing w:line="240" w:lineRule="auto"/>
                    <w:jc w:val="center"/>
                    <w:textAlignment w:val="auto"/>
                    <w:rPr>
                      <w:rFonts w:hint="default" w:ascii="Times New Roman" w:hAnsi="Times New Roman" w:cs="Times New Roman"/>
                      <w:color w:val="auto"/>
                      <w:kern w:val="2"/>
                      <w:szCs w:val="21"/>
                    </w:rPr>
                  </w:pPr>
                </w:p>
              </w:tc>
              <w:tc>
                <w:tcPr>
                  <w:tcW w:w="2693" w:type="dxa"/>
                  <w:vAlign w:val="center"/>
                </w:tcPr>
                <w:p>
                  <w:pPr>
                    <w:overflowPunct w:val="0"/>
                    <w:snapToGrid w:val="0"/>
                    <w:spacing w:line="240" w:lineRule="auto"/>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地形数据分辨率</w:t>
                  </w:r>
                </w:p>
              </w:tc>
              <w:tc>
                <w:tcPr>
                  <w:tcW w:w="3245" w:type="dxa"/>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022" w:type="dxa"/>
                  <w:vMerge w:val="restart"/>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是否考虑岸线熏烟</w:t>
                  </w:r>
                </w:p>
              </w:tc>
              <w:tc>
                <w:tcPr>
                  <w:tcW w:w="2693" w:type="dxa"/>
                  <w:vAlign w:val="center"/>
                </w:tcPr>
                <w:p>
                  <w:pPr>
                    <w:overflowPunct w:val="0"/>
                    <w:snapToGrid w:val="0"/>
                    <w:spacing w:line="240" w:lineRule="auto"/>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考虑岸线熏烟</w:t>
                  </w:r>
                </w:p>
              </w:tc>
              <w:tc>
                <w:tcPr>
                  <w:tcW w:w="3245" w:type="dxa"/>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 xml:space="preserve">□是 </w:t>
                  </w:r>
                  <w:r>
                    <w:rPr>
                      <w:rFonts w:hint="default" w:ascii="Times New Roman" w:hAnsi="Times New Roman" w:cs="Times New Roman"/>
                      <w:color w:val="auto"/>
                      <w:szCs w:val="21"/>
                    </w:rPr>
                    <w:t>☑</w:t>
                  </w:r>
                  <w:r>
                    <w:rPr>
                      <w:rFonts w:hint="default" w:ascii="Times New Roman" w:hAnsi="Times New Roman" w:cs="Times New Roman"/>
                      <w:color w:val="auto"/>
                      <w:kern w:val="2"/>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022" w:type="dxa"/>
                  <w:vMerge w:val="continue"/>
                  <w:vAlign w:val="center"/>
                </w:tcPr>
                <w:p>
                  <w:pPr>
                    <w:snapToGrid w:val="0"/>
                    <w:spacing w:line="240" w:lineRule="auto"/>
                    <w:jc w:val="center"/>
                    <w:textAlignment w:val="auto"/>
                    <w:rPr>
                      <w:rFonts w:hint="default" w:ascii="Times New Roman" w:hAnsi="Times New Roman" w:cs="Times New Roman"/>
                      <w:color w:val="auto"/>
                      <w:kern w:val="2"/>
                      <w:szCs w:val="21"/>
                    </w:rPr>
                  </w:pPr>
                </w:p>
              </w:tc>
              <w:tc>
                <w:tcPr>
                  <w:tcW w:w="2693" w:type="dxa"/>
                  <w:vAlign w:val="center"/>
                </w:tcPr>
                <w:p>
                  <w:pPr>
                    <w:overflowPunct w:val="0"/>
                    <w:snapToGrid w:val="0"/>
                    <w:spacing w:line="240" w:lineRule="auto"/>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岸线距离/m</w:t>
                  </w:r>
                </w:p>
              </w:tc>
              <w:tc>
                <w:tcPr>
                  <w:tcW w:w="3245" w:type="dxa"/>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022" w:type="dxa"/>
                  <w:vMerge w:val="continue"/>
                  <w:vAlign w:val="center"/>
                </w:tcPr>
                <w:p>
                  <w:pPr>
                    <w:snapToGrid w:val="0"/>
                    <w:spacing w:line="240" w:lineRule="auto"/>
                    <w:jc w:val="center"/>
                    <w:textAlignment w:val="auto"/>
                    <w:rPr>
                      <w:rFonts w:hint="default" w:ascii="Times New Roman" w:hAnsi="Times New Roman" w:cs="Times New Roman"/>
                      <w:color w:val="auto"/>
                      <w:kern w:val="2"/>
                      <w:szCs w:val="21"/>
                    </w:rPr>
                  </w:pPr>
                </w:p>
              </w:tc>
              <w:tc>
                <w:tcPr>
                  <w:tcW w:w="2693" w:type="dxa"/>
                  <w:vAlign w:val="center"/>
                </w:tcPr>
                <w:p>
                  <w:pPr>
                    <w:overflowPunct w:val="0"/>
                    <w:snapToGrid w:val="0"/>
                    <w:spacing w:line="240" w:lineRule="auto"/>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岸线方向/°</w:t>
                  </w:r>
                </w:p>
              </w:tc>
              <w:tc>
                <w:tcPr>
                  <w:tcW w:w="3245" w:type="dxa"/>
                  <w:vAlign w:val="center"/>
                </w:tcPr>
                <w:p>
                  <w:pPr>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w:t>
                  </w:r>
                </w:p>
              </w:tc>
            </w:tr>
          </w:tbl>
          <w:p>
            <w:pPr>
              <w:pStyle w:val="41"/>
              <w:snapToGrid w:val="0"/>
              <w:spacing w:line="360" w:lineRule="auto"/>
              <w:ind w:firstLine="482"/>
              <w:rPr>
                <w:rFonts w:hint="default" w:ascii="Times New Roman" w:hAnsi="Times New Roman" w:cs="Times New Roman"/>
                <w:color w:val="auto"/>
                <w:lang w:val="zh-TW"/>
              </w:rPr>
            </w:pPr>
            <w:r>
              <w:rPr>
                <w:rFonts w:hint="default" w:ascii="Times New Roman" w:hAnsi="Times New Roman" w:cs="Times New Roman"/>
                <w:color w:val="auto"/>
                <w:lang w:val="zh-TW"/>
              </w:rPr>
              <w:t>（2）预测因子</w:t>
            </w:r>
          </w:p>
          <w:p>
            <w:pPr>
              <w:pStyle w:val="41"/>
              <w:snapToGrid w:val="0"/>
              <w:spacing w:line="360" w:lineRule="auto"/>
              <w:ind w:firstLine="482"/>
              <w:rPr>
                <w:rFonts w:hint="default" w:ascii="Times New Roman" w:hAnsi="Times New Roman" w:cs="Times New Roman"/>
                <w:color w:val="auto"/>
                <w:lang w:val="zh-TW"/>
              </w:rPr>
            </w:pPr>
            <w:r>
              <w:rPr>
                <w:rFonts w:hint="default" w:ascii="Times New Roman" w:hAnsi="Times New Roman" w:cs="Times New Roman"/>
                <w:color w:val="auto"/>
                <w:lang w:val="zh-TW"/>
              </w:rPr>
              <w:t>预测因子根据项目评价因子而定，选取有环境质量标准的评价因子作为预测因子。本项目选取，</w:t>
            </w:r>
            <w:r>
              <w:rPr>
                <w:rFonts w:hint="default" w:ascii="Times New Roman" w:hAnsi="Times New Roman" w:cs="Times New Roman"/>
                <w:color w:val="auto"/>
                <w:lang w:val="en-US" w:eastAsia="zh-CN"/>
              </w:rPr>
              <w:t>垃圾渗滤液</w:t>
            </w:r>
            <w:r>
              <w:rPr>
                <w:rFonts w:hint="default" w:ascii="Times New Roman" w:hAnsi="Times New Roman" w:cs="Times New Roman"/>
                <w:color w:val="auto"/>
                <w:lang w:val="zh-TW"/>
              </w:rPr>
              <w:t>处理产生的恶臭：NH</w:t>
            </w:r>
            <w:r>
              <w:rPr>
                <w:rFonts w:hint="default" w:ascii="Times New Roman" w:hAnsi="Times New Roman" w:cs="Times New Roman"/>
                <w:color w:val="auto"/>
                <w:vertAlign w:val="subscript"/>
                <w:lang w:val="zh-TW"/>
              </w:rPr>
              <w:t>3</w:t>
            </w:r>
            <w:r>
              <w:rPr>
                <w:rFonts w:hint="default" w:ascii="Times New Roman" w:hAnsi="Times New Roman" w:cs="Times New Roman"/>
                <w:color w:val="auto"/>
                <w:lang w:val="zh-TW"/>
              </w:rPr>
              <w:t>和H</w:t>
            </w:r>
            <w:r>
              <w:rPr>
                <w:rFonts w:hint="default" w:ascii="Times New Roman" w:hAnsi="Times New Roman" w:cs="Times New Roman"/>
                <w:color w:val="auto"/>
                <w:vertAlign w:val="subscript"/>
                <w:lang w:val="zh-TW"/>
              </w:rPr>
              <w:t>2</w:t>
            </w:r>
            <w:r>
              <w:rPr>
                <w:rFonts w:hint="default" w:ascii="Times New Roman" w:hAnsi="Times New Roman" w:cs="Times New Roman"/>
                <w:color w:val="auto"/>
                <w:lang w:val="zh-TW"/>
              </w:rPr>
              <w:t>S。</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lang w:val="zh-TW"/>
              </w:rPr>
              <w:t>AERSREEN 对本项目排放的有组织废气和无组织废气排放进行估算，</w:t>
            </w:r>
            <w:r>
              <w:rPr>
                <w:rFonts w:hint="default" w:ascii="Times New Roman" w:hAnsi="Times New Roman" w:cs="Times New Roman"/>
                <w:color w:val="auto"/>
              </w:rPr>
              <w:t>详细情况如下：</w:t>
            </w:r>
          </w:p>
          <w:p>
            <w:pPr>
              <w:adjustRightInd/>
              <w:spacing w:before="156" w:beforeLines="50" w:line="240" w:lineRule="auto"/>
              <w:jc w:val="center"/>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表7-3  预测评价因子及评价标准</w:t>
            </w:r>
          </w:p>
          <w:tbl>
            <w:tblPr>
              <w:tblStyle w:val="33"/>
              <w:tblW w:w="89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275"/>
              <w:gridCol w:w="2413"/>
              <w:gridCol w:w="30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2242" w:type="dxa"/>
                  <w:vAlign w:val="center"/>
                </w:tcPr>
                <w:p>
                  <w:pPr>
                    <w:autoSpaceDE w:val="0"/>
                    <w:autoSpaceDN w:val="0"/>
                    <w:snapToGrid w:val="0"/>
                    <w:jc w:val="center"/>
                    <w:rPr>
                      <w:rFonts w:hint="default" w:ascii="Times New Roman" w:hAnsi="Times New Roman" w:cs="Times New Roman"/>
                      <w:color w:val="auto"/>
                    </w:rPr>
                  </w:pPr>
                  <w:r>
                    <w:rPr>
                      <w:rFonts w:hint="default" w:ascii="Times New Roman" w:hAnsi="Times New Roman" w:cs="Times New Roman"/>
                      <w:color w:val="auto"/>
                    </w:rPr>
                    <w:t>预测评价因子</w:t>
                  </w:r>
                </w:p>
              </w:tc>
              <w:tc>
                <w:tcPr>
                  <w:tcW w:w="1275" w:type="dxa"/>
                  <w:vAlign w:val="center"/>
                </w:tcPr>
                <w:p>
                  <w:pPr>
                    <w:autoSpaceDE w:val="0"/>
                    <w:autoSpaceDN w:val="0"/>
                    <w:snapToGrid w:val="0"/>
                    <w:jc w:val="center"/>
                    <w:rPr>
                      <w:rFonts w:hint="default" w:ascii="Times New Roman" w:hAnsi="Times New Roman" w:cs="Times New Roman"/>
                      <w:color w:val="auto"/>
                    </w:rPr>
                  </w:pPr>
                  <w:r>
                    <w:rPr>
                      <w:rFonts w:hint="default" w:ascii="Times New Roman" w:hAnsi="Times New Roman" w:cs="Times New Roman"/>
                      <w:color w:val="auto"/>
                    </w:rPr>
                    <w:t>平均时段</w:t>
                  </w:r>
                </w:p>
              </w:tc>
              <w:tc>
                <w:tcPr>
                  <w:tcW w:w="2413" w:type="dxa"/>
                  <w:vAlign w:val="center"/>
                </w:tcPr>
                <w:p>
                  <w:pPr>
                    <w:autoSpaceDE w:val="0"/>
                    <w:autoSpaceDN w:val="0"/>
                    <w:snapToGrid w:val="0"/>
                    <w:jc w:val="center"/>
                    <w:rPr>
                      <w:rFonts w:hint="default" w:ascii="Times New Roman" w:hAnsi="Times New Roman" w:cs="Times New Roman"/>
                      <w:color w:val="auto"/>
                    </w:rPr>
                  </w:pPr>
                  <w:r>
                    <w:rPr>
                      <w:rFonts w:hint="default" w:ascii="Times New Roman" w:hAnsi="Times New Roman" w:cs="Times New Roman"/>
                      <w:color w:val="auto"/>
                    </w:rPr>
                    <w:t>标准值</w:t>
                  </w:r>
                  <w:r>
                    <w:rPr>
                      <w:rFonts w:hint="default" w:ascii="Times New Roman" w:hAnsi="Times New Roman" w:cs="Times New Roman"/>
                      <w:color w:val="auto"/>
                      <w:szCs w:val="21"/>
                    </w:rPr>
                    <w:t>/（μg/m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c>
                <w:tcPr>
                  <w:tcW w:w="3030" w:type="dxa"/>
                  <w:vAlign w:val="center"/>
                </w:tcPr>
                <w:p>
                  <w:pPr>
                    <w:autoSpaceDE w:val="0"/>
                    <w:autoSpaceDN w:val="0"/>
                    <w:snapToGrid w:val="0"/>
                    <w:jc w:val="center"/>
                    <w:rPr>
                      <w:rFonts w:hint="default" w:ascii="Times New Roman" w:hAnsi="Times New Roman" w:cs="Times New Roman"/>
                      <w:color w:val="auto"/>
                    </w:rPr>
                  </w:pPr>
                  <w:r>
                    <w:rPr>
                      <w:rFonts w:hint="default" w:ascii="Times New Roman" w:hAnsi="Times New Roman" w:cs="Times New Roman"/>
                      <w:color w:val="auto"/>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2242" w:type="dxa"/>
                  <w:shd w:val="clear" w:color="auto" w:fill="FFFFFF"/>
                  <w:vAlign w:val="center"/>
                </w:tcPr>
                <w:p>
                  <w:pPr>
                    <w:tabs>
                      <w:tab w:val="left" w:pos="2340"/>
                    </w:tabs>
                    <w:snapToGrid w:val="0"/>
                    <w:spacing w:line="240" w:lineRule="auto"/>
                    <w:jc w:val="center"/>
                    <w:textAlignment w:val="auto"/>
                    <w:rPr>
                      <w:rFonts w:hint="default" w:ascii="Times New Roman" w:hAnsi="Times New Roman" w:cs="Times New Roman"/>
                      <w:bCs/>
                      <w:color w:val="auto"/>
                      <w:kern w:val="2"/>
                      <w:szCs w:val="18"/>
                    </w:rPr>
                  </w:pPr>
                  <w:r>
                    <w:rPr>
                      <w:rFonts w:hint="default" w:ascii="Times New Roman" w:hAnsi="Times New Roman" w:cs="Times New Roman"/>
                      <w:bCs/>
                      <w:color w:val="auto"/>
                      <w:kern w:val="2"/>
                      <w:szCs w:val="18"/>
                    </w:rPr>
                    <w:t>NH</w:t>
                  </w:r>
                  <w:r>
                    <w:rPr>
                      <w:rFonts w:hint="default" w:ascii="Times New Roman" w:hAnsi="Times New Roman" w:cs="Times New Roman"/>
                      <w:bCs/>
                      <w:color w:val="auto"/>
                      <w:kern w:val="2"/>
                      <w:szCs w:val="18"/>
                      <w:vertAlign w:val="subscript"/>
                    </w:rPr>
                    <w:t>3</w:t>
                  </w:r>
                </w:p>
              </w:tc>
              <w:tc>
                <w:tcPr>
                  <w:tcW w:w="1275" w:type="dxa"/>
                  <w:vAlign w:val="center"/>
                </w:tcPr>
                <w:p>
                  <w:pPr>
                    <w:autoSpaceDE w:val="0"/>
                    <w:autoSpaceDN w:val="0"/>
                    <w:snapToGrid w:val="0"/>
                    <w:jc w:val="center"/>
                    <w:rPr>
                      <w:rFonts w:hint="default" w:ascii="Times New Roman" w:hAnsi="Times New Roman" w:cs="Times New Roman"/>
                      <w:color w:val="auto"/>
                    </w:rPr>
                  </w:pPr>
                  <w:r>
                    <w:rPr>
                      <w:rFonts w:hint="default" w:ascii="Times New Roman" w:hAnsi="Times New Roman" w:cs="Times New Roman"/>
                      <w:color w:val="auto"/>
                    </w:rPr>
                    <w:t>1h</w:t>
                  </w:r>
                </w:p>
              </w:tc>
              <w:tc>
                <w:tcPr>
                  <w:tcW w:w="2413" w:type="dxa"/>
                  <w:vAlign w:val="center"/>
                </w:tcPr>
                <w:p>
                  <w:pPr>
                    <w:autoSpaceDE w:val="0"/>
                    <w:autoSpaceDN w:val="0"/>
                    <w:snapToGrid w:val="0"/>
                    <w:jc w:val="center"/>
                    <w:rPr>
                      <w:rFonts w:hint="default" w:ascii="Times New Roman" w:hAnsi="Times New Roman" w:cs="Times New Roman"/>
                      <w:color w:val="auto"/>
                    </w:rPr>
                  </w:pPr>
                  <w:r>
                    <w:rPr>
                      <w:rFonts w:hint="default" w:ascii="Times New Roman" w:hAnsi="Times New Roman" w:cs="Times New Roman"/>
                      <w:color w:val="auto"/>
                    </w:rPr>
                    <w:t>200</w:t>
                  </w:r>
                </w:p>
              </w:tc>
              <w:tc>
                <w:tcPr>
                  <w:tcW w:w="3030" w:type="dxa"/>
                  <w:vMerge w:val="restart"/>
                  <w:vAlign w:val="center"/>
                </w:tcPr>
                <w:p>
                  <w:pPr>
                    <w:autoSpaceDE w:val="0"/>
                    <w:autoSpaceDN w:val="0"/>
                    <w:snapToGrid w:val="0"/>
                    <w:jc w:val="center"/>
                    <w:rPr>
                      <w:rFonts w:hint="default" w:ascii="Times New Roman" w:hAnsi="Times New Roman" w:cs="Times New Roman"/>
                      <w:color w:val="auto"/>
                    </w:rPr>
                  </w:pPr>
                  <w:r>
                    <w:rPr>
                      <w:rFonts w:hint="default" w:ascii="Times New Roman" w:hAnsi="Times New Roman" w:cs="Times New Roman"/>
                      <w:color w:val="auto"/>
                    </w:rPr>
                    <w:t>《环境影响评价技术导则 大气环境》(HJ2.2-2018)附录D.1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2242" w:type="dxa"/>
                  <w:shd w:val="clear" w:color="auto" w:fill="FFFFFF"/>
                  <w:vAlign w:val="center"/>
                </w:tcPr>
                <w:p>
                  <w:pPr>
                    <w:tabs>
                      <w:tab w:val="left" w:pos="2340"/>
                    </w:tabs>
                    <w:snapToGrid w:val="0"/>
                    <w:spacing w:line="240" w:lineRule="auto"/>
                    <w:jc w:val="center"/>
                    <w:textAlignment w:val="auto"/>
                    <w:rPr>
                      <w:rFonts w:hint="default" w:ascii="Times New Roman" w:hAnsi="Times New Roman" w:cs="Times New Roman"/>
                      <w:bCs/>
                      <w:color w:val="auto"/>
                      <w:kern w:val="2"/>
                      <w:szCs w:val="18"/>
                    </w:rPr>
                  </w:pPr>
                  <w:r>
                    <w:rPr>
                      <w:rFonts w:hint="default" w:ascii="Times New Roman" w:hAnsi="Times New Roman" w:cs="Times New Roman"/>
                      <w:bCs/>
                      <w:color w:val="auto"/>
                      <w:kern w:val="2"/>
                      <w:szCs w:val="18"/>
                    </w:rPr>
                    <w:t>H</w:t>
                  </w:r>
                  <w:r>
                    <w:rPr>
                      <w:rFonts w:hint="default" w:ascii="Times New Roman" w:hAnsi="Times New Roman" w:cs="Times New Roman"/>
                      <w:bCs/>
                      <w:color w:val="auto"/>
                      <w:kern w:val="2"/>
                      <w:szCs w:val="18"/>
                      <w:vertAlign w:val="subscript"/>
                    </w:rPr>
                    <w:t>2</w:t>
                  </w:r>
                  <w:r>
                    <w:rPr>
                      <w:rFonts w:hint="default" w:ascii="Times New Roman" w:hAnsi="Times New Roman" w:cs="Times New Roman"/>
                      <w:bCs/>
                      <w:color w:val="auto"/>
                      <w:kern w:val="2"/>
                      <w:szCs w:val="18"/>
                    </w:rPr>
                    <w:t>S</w:t>
                  </w:r>
                </w:p>
              </w:tc>
              <w:tc>
                <w:tcPr>
                  <w:tcW w:w="1275" w:type="dxa"/>
                  <w:vAlign w:val="center"/>
                </w:tcPr>
                <w:p>
                  <w:pPr>
                    <w:autoSpaceDE w:val="0"/>
                    <w:autoSpaceDN w:val="0"/>
                    <w:snapToGrid w:val="0"/>
                    <w:jc w:val="center"/>
                    <w:rPr>
                      <w:rFonts w:hint="default" w:ascii="Times New Roman" w:hAnsi="Times New Roman" w:cs="Times New Roman"/>
                      <w:color w:val="auto"/>
                    </w:rPr>
                  </w:pPr>
                  <w:r>
                    <w:rPr>
                      <w:rFonts w:hint="default" w:ascii="Times New Roman" w:hAnsi="Times New Roman" w:cs="Times New Roman"/>
                      <w:color w:val="auto"/>
                    </w:rPr>
                    <w:t>1h</w:t>
                  </w:r>
                </w:p>
              </w:tc>
              <w:tc>
                <w:tcPr>
                  <w:tcW w:w="2413" w:type="dxa"/>
                  <w:vAlign w:val="center"/>
                </w:tcPr>
                <w:p>
                  <w:pPr>
                    <w:autoSpaceDE w:val="0"/>
                    <w:autoSpaceDN w:val="0"/>
                    <w:snapToGrid w:val="0"/>
                    <w:jc w:val="center"/>
                    <w:rPr>
                      <w:rFonts w:hint="default" w:ascii="Times New Roman" w:hAnsi="Times New Roman" w:cs="Times New Roman"/>
                      <w:color w:val="auto"/>
                    </w:rPr>
                  </w:pPr>
                  <w:r>
                    <w:rPr>
                      <w:rFonts w:hint="default" w:ascii="Times New Roman" w:hAnsi="Times New Roman" w:cs="Times New Roman"/>
                      <w:color w:val="auto"/>
                    </w:rPr>
                    <w:t>10</w:t>
                  </w:r>
                </w:p>
              </w:tc>
              <w:tc>
                <w:tcPr>
                  <w:tcW w:w="3030" w:type="dxa"/>
                  <w:vMerge w:val="continue"/>
                  <w:vAlign w:val="center"/>
                </w:tcPr>
                <w:p>
                  <w:pPr>
                    <w:autoSpaceDE w:val="0"/>
                    <w:autoSpaceDN w:val="0"/>
                    <w:snapToGrid w:val="0"/>
                    <w:jc w:val="center"/>
                    <w:rPr>
                      <w:rFonts w:hint="default" w:ascii="Times New Roman" w:hAnsi="Times New Roman" w:cs="Times New Roman"/>
                      <w:color w:val="auto"/>
                    </w:rPr>
                  </w:pPr>
                </w:p>
              </w:tc>
            </w:tr>
          </w:tbl>
          <w:p>
            <w:pPr>
              <w:pStyle w:val="41"/>
              <w:snapToGrid w:val="0"/>
              <w:spacing w:line="360" w:lineRule="auto"/>
              <w:ind w:firstLine="482"/>
              <w:rPr>
                <w:rFonts w:hint="default" w:ascii="Times New Roman" w:hAnsi="Times New Roman" w:cs="Times New Roman"/>
                <w:color w:val="auto"/>
                <w:lang w:val="zh-TW"/>
              </w:rPr>
            </w:pPr>
            <w:r>
              <w:rPr>
                <w:rFonts w:hint="default" w:ascii="Times New Roman" w:hAnsi="Times New Roman" w:cs="Times New Roman"/>
                <w:color w:val="auto"/>
                <w:lang w:val="zh-TW"/>
              </w:rPr>
              <w:t>（4）预测源强</w:t>
            </w:r>
          </w:p>
          <w:p>
            <w:pPr>
              <w:pStyle w:val="41"/>
              <w:snapToGrid w:val="0"/>
              <w:spacing w:line="360" w:lineRule="auto"/>
              <w:ind w:firstLine="482"/>
              <w:rPr>
                <w:rFonts w:hint="default" w:ascii="Times New Roman" w:hAnsi="Times New Roman" w:cs="Times New Roman"/>
                <w:color w:val="auto"/>
                <w:lang w:val="zh-TW"/>
              </w:rPr>
            </w:pPr>
            <w:r>
              <w:rPr>
                <w:rFonts w:hint="default" w:ascii="Times New Roman" w:hAnsi="Times New Roman" w:cs="Times New Roman"/>
                <w:color w:val="auto"/>
                <w:lang w:val="zh-TW"/>
              </w:rPr>
              <w:t>根据工程分析，本项目正常工况废气排放源强见下表。</w:t>
            </w:r>
          </w:p>
          <w:p>
            <w:pPr>
              <w:adjustRightInd/>
              <w:spacing w:before="156" w:beforeLines="50" w:line="240" w:lineRule="auto"/>
              <w:jc w:val="center"/>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表7-4 点源参数</w:t>
            </w:r>
          </w:p>
          <w:tbl>
            <w:tblPr>
              <w:tblStyle w:val="33"/>
              <w:tblW w:w="896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79"/>
              <w:gridCol w:w="793"/>
              <w:gridCol w:w="871"/>
              <w:gridCol w:w="968"/>
              <w:gridCol w:w="826"/>
              <w:gridCol w:w="554"/>
              <w:gridCol w:w="554"/>
              <w:gridCol w:w="737"/>
              <w:gridCol w:w="554"/>
              <w:gridCol w:w="559"/>
              <w:gridCol w:w="555"/>
              <w:gridCol w:w="131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5" w:type="dxa"/>
                  <w:vMerge w:val="restart"/>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编号</w:t>
                  </w:r>
                </w:p>
              </w:tc>
              <w:tc>
                <w:tcPr>
                  <w:tcW w:w="809" w:type="dxa"/>
                  <w:vMerge w:val="restart"/>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名称</w:t>
                  </w:r>
                </w:p>
              </w:tc>
              <w:tc>
                <w:tcPr>
                  <w:tcW w:w="1885" w:type="dxa"/>
                  <w:gridSpan w:val="2"/>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排气筒底部</w:t>
                  </w:r>
                </w:p>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中心坐标</w:t>
                  </w:r>
                </w:p>
              </w:tc>
              <w:tc>
                <w:tcPr>
                  <w:tcW w:w="850" w:type="dxa"/>
                  <w:vMerge w:val="restart"/>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排气筒底</w:t>
                  </w:r>
                </w:p>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部海拔高</w:t>
                  </w:r>
                </w:p>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度/m</w:t>
                  </w:r>
                </w:p>
              </w:tc>
              <w:tc>
                <w:tcPr>
                  <w:tcW w:w="567" w:type="dxa"/>
                  <w:vMerge w:val="restart"/>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排气</w:t>
                  </w:r>
                </w:p>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筒高</w:t>
                  </w:r>
                </w:p>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度/m</w:t>
                  </w:r>
                </w:p>
              </w:tc>
              <w:tc>
                <w:tcPr>
                  <w:tcW w:w="567" w:type="dxa"/>
                  <w:vMerge w:val="restart"/>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排气</w:t>
                  </w:r>
                </w:p>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筒出</w:t>
                  </w:r>
                </w:p>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口内</w:t>
                  </w:r>
                </w:p>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径/m</w:t>
                  </w:r>
                </w:p>
              </w:tc>
              <w:tc>
                <w:tcPr>
                  <w:tcW w:w="567" w:type="dxa"/>
                  <w:vMerge w:val="restart"/>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烟气</w:t>
                  </w:r>
                  <w:r>
                    <w:rPr>
                      <w:rFonts w:hint="default" w:ascii="Times New Roman" w:hAnsi="Times New Roman" w:cs="Times New Roman"/>
                      <w:color w:val="auto"/>
                      <w:kern w:val="2"/>
                      <w:sz w:val="18"/>
                      <w:szCs w:val="18"/>
                      <w:lang w:val="en-US" w:eastAsia="zh-CN"/>
                    </w:rPr>
                    <w:t>流量</w:t>
                  </w:r>
                  <w:r>
                    <w:rPr>
                      <w:rFonts w:hint="default" w:ascii="Times New Roman" w:hAnsi="Times New Roman" w:cs="Times New Roman"/>
                      <w:color w:val="auto"/>
                      <w:kern w:val="2"/>
                      <w:sz w:val="18"/>
                      <w:szCs w:val="18"/>
                    </w:rPr>
                    <w:t>/（m3/</w:t>
                  </w:r>
                  <w:r>
                    <w:rPr>
                      <w:rFonts w:hint="default" w:ascii="Times New Roman" w:hAnsi="Times New Roman" w:cs="Times New Roman"/>
                      <w:color w:val="auto"/>
                      <w:kern w:val="2"/>
                      <w:sz w:val="18"/>
                      <w:szCs w:val="18"/>
                      <w:lang w:val="en-US" w:eastAsia="zh-CN"/>
                    </w:rPr>
                    <w:t>h</w:t>
                  </w:r>
                  <w:r>
                    <w:rPr>
                      <w:rFonts w:hint="default" w:ascii="Times New Roman" w:hAnsi="Times New Roman" w:cs="Times New Roman"/>
                      <w:color w:val="auto"/>
                      <w:kern w:val="2"/>
                      <w:sz w:val="18"/>
                      <w:szCs w:val="18"/>
                    </w:rPr>
                    <w:t>）</w:t>
                  </w:r>
                </w:p>
              </w:tc>
              <w:tc>
                <w:tcPr>
                  <w:tcW w:w="567" w:type="dxa"/>
                  <w:vMerge w:val="restart"/>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烟气</w:t>
                  </w:r>
                </w:p>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温度</w:t>
                  </w:r>
                </w:p>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w:t>
                  </w:r>
                </w:p>
              </w:tc>
              <w:tc>
                <w:tcPr>
                  <w:tcW w:w="567" w:type="dxa"/>
                  <w:vMerge w:val="restart"/>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年排</w:t>
                  </w:r>
                </w:p>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放小</w:t>
                  </w:r>
                </w:p>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时数</w:t>
                  </w:r>
                </w:p>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/h</w:t>
                  </w:r>
                </w:p>
              </w:tc>
              <w:tc>
                <w:tcPr>
                  <w:tcW w:w="567" w:type="dxa"/>
                  <w:vMerge w:val="restart"/>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排放</w:t>
                  </w:r>
                </w:p>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工况</w:t>
                  </w:r>
                </w:p>
              </w:tc>
              <w:tc>
                <w:tcPr>
                  <w:tcW w:w="1329" w:type="dxa"/>
                  <w:vMerge w:val="restart"/>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污染物排放速率/（kg/h）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5" w:type="dxa"/>
                  <w:vMerge w:val="continue"/>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p>
              </w:tc>
              <w:tc>
                <w:tcPr>
                  <w:tcW w:w="809" w:type="dxa"/>
                  <w:vMerge w:val="continue"/>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p>
              </w:tc>
              <w:tc>
                <w:tcPr>
                  <w:tcW w:w="892" w:type="dxa"/>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X</w:t>
                  </w:r>
                </w:p>
              </w:tc>
              <w:tc>
                <w:tcPr>
                  <w:tcW w:w="993" w:type="dxa"/>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Y</w:t>
                  </w:r>
                </w:p>
              </w:tc>
              <w:tc>
                <w:tcPr>
                  <w:tcW w:w="850" w:type="dxa"/>
                  <w:vMerge w:val="continue"/>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p>
              </w:tc>
              <w:tc>
                <w:tcPr>
                  <w:tcW w:w="567" w:type="dxa"/>
                  <w:vMerge w:val="continue"/>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p>
              </w:tc>
              <w:tc>
                <w:tcPr>
                  <w:tcW w:w="567" w:type="dxa"/>
                  <w:vMerge w:val="continue"/>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p>
              </w:tc>
              <w:tc>
                <w:tcPr>
                  <w:tcW w:w="567" w:type="dxa"/>
                  <w:vMerge w:val="continue"/>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p>
              </w:tc>
              <w:tc>
                <w:tcPr>
                  <w:tcW w:w="567" w:type="dxa"/>
                  <w:vMerge w:val="continue"/>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p>
              </w:tc>
              <w:tc>
                <w:tcPr>
                  <w:tcW w:w="567" w:type="dxa"/>
                  <w:vMerge w:val="continue"/>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p>
              </w:tc>
              <w:tc>
                <w:tcPr>
                  <w:tcW w:w="567" w:type="dxa"/>
                  <w:vMerge w:val="continue"/>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p>
              </w:tc>
              <w:tc>
                <w:tcPr>
                  <w:tcW w:w="1329" w:type="dxa"/>
                  <w:vMerge w:val="continue"/>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5" w:type="dxa"/>
                  <w:vMerge w:val="restart"/>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DA001</w:t>
                  </w:r>
                </w:p>
              </w:tc>
              <w:tc>
                <w:tcPr>
                  <w:tcW w:w="809" w:type="dxa"/>
                  <w:vMerge w:val="restart"/>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预处理间排气筒</w:t>
                  </w:r>
                </w:p>
              </w:tc>
              <w:tc>
                <w:tcPr>
                  <w:tcW w:w="892" w:type="dxa"/>
                  <w:vMerge w:val="restart"/>
                  <w:vAlign w:val="center"/>
                </w:tcPr>
                <w:p>
                  <w:pPr>
                    <w:snapToGrid w:val="0"/>
                    <w:spacing w:line="240" w:lineRule="auto"/>
                    <w:ind w:left="-105" w:leftChars="-50" w:right="-105" w:rightChars="-50"/>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94</w:t>
                  </w:r>
                </w:p>
              </w:tc>
              <w:tc>
                <w:tcPr>
                  <w:tcW w:w="993" w:type="dxa"/>
                  <w:vMerge w:val="restart"/>
                  <w:vAlign w:val="center"/>
                </w:tcPr>
                <w:p>
                  <w:pPr>
                    <w:snapToGrid w:val="0"/>
                    <w:spacing w:line="240" w:lineRule="auto"/>
                    <w:ind w:left="-105" w:leftChars="-50" w:right="-105" w:rightChars="-50"/>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65</w:t>
                  </w:r>
                </w:p>
              </w:tc>
              <w:tc>
                <w:tcPr>
                  <w:tcW w:w="850" w:type="dxa"/>
                  <w:vMerge w:val="restart"/>
                  <w:vAlign w:val="center"/>
                </w:tcPr>
                <w:p>
                  <w:pPr>
                    <w:snapToGrid w:val="0"/>
                    <w:spacing w:line="240" w:lineRule="auto"/>
                    <w:ind w:left="-105" w:leftChars="-50" w:right="-105" w:rightChars="-50"/>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50</w:t>
                  </w:r>
                </w:p>
              </w:tc>
              <w:tc>
                <w:tcPr>
                  <w:tcW w:w="567" w:type="dxa"/>
                  <w:vMerge w:val="restart"/>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15</w:t>
                  </w:r>
                </w:p>
              </w:tc>
              <w:tc>
                <w:tcPr>
                  <w:tcW w:w="567" w:type="dxa"/>
                  <w:vMerge w:val="restart"/>
                  <w:vAlign w:val="center"/>
                </w:tcPr>
                <w:p>
                  <w:pPr>
                    <w:snapToGrid w:val="0"/>
                    <w:spacing w:line="240" w:lineRule="auto"/>
                    <w:ind w:left="-105" w:leftChars="-50" w:right="-105" w:rightChars="-50"/>
                    <w:jc w:val="center"/>
                    <w:textAlignment w:val="auto"/>
                    <w:rPr>
                      <w:rFonts w:hint="default" w:ascii="Times New Roman" w:hAnsi="Times New Roman" w:eastAsia="宋体" w:cs="Times New Roman"/>
                      <w:color w:val="auto"/>
                      <w:kern w:val="2"/>
                      <w:sz w:val="18"/>
                      <w:szCs w:val="18"/>
                      <w:lang w:eastAsia="zh-CN"/>
                    </w:rPr>
                  </w:pPr>
                  <w:r>
                    <w:rPr>
                      <w:rFonts w:hint="default" w:ascii="Times New Roman" w:hAnsi="Times New Roman" w:cs="Times New Roman"/>
                      <w:color w:val="auto"/>
                      <w:kern w:val="2"/>
                      <w:sz w:val="18"/>
                      <w:szCs w:val="18"/>
                    </w:rPr>
                    <w:t>0.</w:t>
                  </w:r>
                  <w:r>
                    <w:rPr>
                      <w:rFonts w:hint="default" w:ascii="Times New Roman" w:hAnsi="Times New Roman" w:cs="Times New Roman"/>
                      <w:color w:val="auto"/>
                      <w:kern w:val="2"/>
                      <w:sz w:val="18"/>
                      <w:szCs w:val="18"/>
                      <w:lang w:val="en-US" w:eastAsia="zh-CN"/>
                    </w:rPr>
                    <w:t>3</w:t>
                  </w:r>
                </w:p>
              </w:tc>
              <w:tc>
                <w:tcPr>
                  <w:tcW w:w="567" w:type="dxa"/>
                  <w:vMerge w:val="restart"/>
                  <w:vAlign w:val="center"/>
                </w:tcPr>
                <w:p>
                  <w:pPr>
                    <w:snapToGrid w:val="0"/>
                    <w:spacing w:line="240" w:lineRule="auto"/>
                    <w:ind w:left="-105" w:leftChars="-50" w:right="-105" w:rightChars="-50"/>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3000</w:t>
                  </w:r>
                </w:p>
              </w:tc>
              <w:tc>
                <w:tcPr>
                  <w:tcW w:w="567" w:type="dxa"/>
                  <w:vMerge w:val="restart"/>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=环境气温</w:t>
                  </w:r>
                </w:p>
              </w:tc>
              <w:tc>
                <w:tcPr>
                  <w:tcW w:w="567" w:type="dxa"/>
                  <w:vMerge w:val="restart"/>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8760</w:t>
                  </w:r>
                </w:p>
              </w:tc>
              <w:tc>
                <w:tcPr>
                  <w:tcW w:w="567" w:type="dxa"/>
                  <w:vMerge w:val="restart"/>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正常</w:t>
                  </w:r>
                </w:p>
              </w:tc>
              <w:tc>
                <w:tcPr>
                  <w:tcW w:w="1329" w:type="dxa"/>
                  <w:vAlign w:val="center"/>
                </w:tcPr>
                <w:p>
                  <w:pPr>
                    <w:snapToGrid w:val="0"/>
                    <w:spacing w:line="240" w:lineRule="auto"/>
                    <w:ind w:left="-105" w:leftChars="-50" w:right="-105" w:rightChars="-50"/>
                    <w:textAlignment w:val="auto"/>
                    <w:rPr>
                      <w:rFonts w:hint="default" w:ascii="Times New Roman" w:hAnsi="Times New Roman" w:cs="Times New Roman"/>
                      <w:color w:val="auto"/>
                      <w:szCs w:val="21"/>
                    </w:rPr>
                  </w:pPr>
                  <w:r>
                    <w:rPr>
                      <w:rFonts w:hint="default" w:ascii="Times New Roman" w:hAnsi="Times New Roman" w:cs="Times New Roman"/>
                      <w:color w:val="auto"/>
                      <w:kern w:val="2"/>
                      <w:sz w:val="18"/>
                      <w:szCs w:val="18"/>
                    </w:rPr>
                    <w:t>NH</w:t>
                  </w:r>
                  <w:r>
                    <w:rPr>
                      <w:rFonts w:hint="default" w:ascii="Times New Roman" w:hAnsi="Times New Roman" w:cs="Times New Roman"/>
                      <w:color w:val="auto"/>
                      <w:kern w:val="2"/>
                      <w:sz w:val="18"/>
                      <w:szCs w:val="18"/>
                      <w:vertAlign w:val="subscript"/>
                    </w:rPr>
                    <w:t>3</w:t>
                  </w:r>
                  <w:r>
                    <w:rPr>
                      <w:rFonts w:hint="default" w:ascii="Times New Roman" w:hAnsi="Times New Roman" w:cs="Times New Roman"/>
                      <w:color w:val="auto"/>
                      <w:kern w:val="2"/>
                      <w:sz w:val="18"/>
                      <w:szCs w:val="18"/>
                    </w:rPr>
                    <w:t>：</w:t>
                  </w:r>
                  <w:r>
                    <w:rPr>
                      <w:rFonts w:hint="default" w:ascii="Times New Roman" w:hAnsi="Times New Roman" w:cs="Times New Roman"/>
                      <w:color w:val="auto"/>
                      <w:kern w:val="0"/>
                      <w:szCs w:val="21"/>
                      <w:lang w:val="en-US" w:eastAsia="zh-CN"/>
                    </w:rPr>
                    <w:t>0.00416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5" w:type="dxa"/>
                  <w:vMerge w:val="continue"/>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p>
              </w:tc>
              <w:tc>
                <w:tcPr>
                  <w:tcW w:w="809" w:type="dxa"/>
                  <w:vMerge w:val="continue"/>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p>
              </w:tc>
              <w:tc>
                <w:tcPr>
                  <w:tcW w:w="892" w:type="dxa"/>
                  <w:vMerge w:val="continue"/>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p>
              </w:tc>
              <w:tc>
                <w:tcPr>
                  <w:tcW w:w="993" w:type="dxa"/>
                  <w:vMerge w:val="continue"/>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p>
              </w:tc>
              <w:tc>
                <w:tcPr>
                  <w:tcW w:w="850" w:type="dxa"/>
                  <w:vMerge w:val="continue"/>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p>
              </w:tc>
              <w:tc>
                <w:tcPr>
                  <w:tcW w:w="567" w:type="dxa"/>
                  <w:vMerge w:val="continue"/>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p>
              </w:tc>
              <w:tc>
                <w:tcPr>
                  <w:tcW w:w="567" w:type="dxa"/>
                  <w:vMerge w:val="continue"/>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p>
              </w:tc>
              <w:tc>
                <w:tcPr>
                  <w:tcW w:w="567" w:type="dxa"/>
                  <w:vMerge w:val="continue"/>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p>
              </w:tc>
              <w:tc>
                <w:tcPr>
                  <w:tcW w:w="567" w:type="dxa"/>
                  <w:vMerge w:val="continue"/>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p>
              </w:tc>
              <w:tc>
                <w:tcPr>
                  <w:tcW w:w="567" w:type="dxa"/>
                  <w:vMerge w:val="continue"/>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p>
              </w:tc>
              <w:tc>
                <w:tcPr>
                  <w:tcW w:w="567" w:type="dxa"/>
                  <w:vMerge w:val="continue"/>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p>
              </w:tc>
              <w:tc>
                <w:tcPr>
                  <w:tcW w:w="1329" w:type="dxa"/>
                  <w:vAlign w:val="center"/>
                </w:tcPr>
                <w:p>
                  <w:pPr>
                    <w:snapToGrid w:val="0"/>
                    <w:spacing w:line="240" w:lineRule="auto"/>
                    <w:ind w:left="-105" w:leftChars="-50" w:right="-105" w:rightChars="-50"/>
                    <w:jc w:val="center"/>
                    <w:textAlignment w:val="auto"/>
                    <w:rPr>
                      <w:rFonts w:hint="default" w:ascii="Times New Roman" w:hAnsi="Times New Roman" w:cs="Times New Roman"/>
                      <w:color w:val="auto"/>
                      <w:szCs w:val="21"/>
                    </w:rPr>
                  </w:pPr>
                  <w:r>
                    <w:rPr>
                      <w:rFonts w:hint="default" w:ascii="Times New Roman" w:hAnsi="Times New Roman" w:cs="Times New Roman"/>
                      <w:color w:val="auto"/>
                      <w:kern w:val="2"/>
                      <w:sz w:val="18"/>
                      <w:szCs w:val="18"/>
                    </w:rPr>
                    <w:t>H</w:t>
                  </w:r>
                  <w:r>
                    <w:rPr>
                      <w:rFonts w:hint="default" w:ascii="Times New Roman" w:hAnsi="Times New Roman" w:cs="Times New Roman"/>
                      <w:color w:val="auto"/>
                      <w:kern w:val="2"/>
                      <w:sz w:val="18"/>
                      <w:szCs w:val="18"/>
                      <w:vertAlign w:val="subscript"/>
                    </w:rPr>
                    <w:t>2</w:t>
                  </w:r>
                  <w:r>
                    <w:rPr>
                      <w:rFonts w:hint="default" w:ascii="Times New Roman" w:hAnsi="Times New Roman" w:cs="Times New Roman"/>
                      <w:color w:val="auto"/>
                      <w:kern w:val="2"/>
                      <w:sz w:val="18"/>
                      <w:szCs w:val="18"/>
                    </w:rPr>
                    <w:t>S：</w:t>
                  </w:r>
                  <w:r>
                    <w:rPr>
                      <w:rFonts w:hint="default" w:ascii="Times New Roman" w:hAnsi="Times New Roman" w:cs="Times New Roman"/>
                      <w:color w:val="auto"/>
                      <w:kern w:val="0"/>
                      <w:szCs w:val="21"/>
                      <w:lang w:val="en-US" w:eastAsia="zh-CN"/>
                    </w:rPr>
                    <w:t>0.000112</w:t>
                  </w:r>
                </w:p>
              </w:tc>
            </w:tr>
          </w:tbl>
          <w:p>
            <w:pPr>
              <w:adjustRightInd/>
              <w:spacing w:before="156" w:beforeLines="50" w:line="240" w:lineRule="auto"/>
              <w:jc w:val="center"/>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表7-5面源参数</w:t>
            </w:r>
          </w:p>
          <w:tbl>
            <w:tblPr>
              <w:tblStyle w:val="33"/>
              <w:tblW w:w="921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77"/>
              <w:gridCol w:w="716"/>
              <w:gridCol w:w="954"/>
              <w:gridCol w:w="954"/>
              <w:gridCol w:w="832"/>
              <w:gridCol w:w="835"/>
              <w:gridCol w:w="835"/>
              <w:gridCol w:w="835"/>
              <w:gridCol w:w="716"/>
              <w:gridCol w:w="597"/>
              <w:gridCol w:w="135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3" w:hRule="atLeast"/>
                <w:jc w:val="center"/>
              </w:trPr>
              <w:tc>
                <w:tcPr>
                  <w:tcW w:w="577" w:type="dxa"/>
                  <w:vMerge w:val="restart"/>
                  <w:vAlign w:val="center"/>
                </w:tcPr>
                <w:p>
                  <w:pPr>
                    <w:snapToGrid w:val="0"/>
                    <w:spacing w:line="240" w:lineRule="auto"/>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编号</w:t>
                  </w:r>
                </w:p>
              </w:tc>
              <w:tc>
                <w:tcPr>
                  <w:tcW w:w="716" w:type="dxa"/>
                  <w:vMerge w:val="restart"/>
                  <w:vAlign w:val="center"/>
                </w:tcPr>
                <w:p>
                  <w:pPr>
                    <w:snapToGrid w:val="0"/>
                    <w:spacing w:line="240" w:lineRule="auto"/>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名称</w:t>
                  </w:r>
                </w:p>
              </w:tc>
              <w:tc>
                <w:tcPr>
                  <w:tcW w:w="1908" w:type="dxa"/>
                  <w:gridSpan w:val="2"/>
                  <w:vAlign w:val="center"/>
                </w:tcPr>
                <w:p>
                  <w:pPr>
                    <w:adjustRightInd/>
                    <w:snapToGrid w:val="0"/>
                    <w:spacing w:line="240" w:lineRule="auto"/>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面源起点坐标</w:t>
                  </w:r>
                </w:p>
              </w:tc>
              <w:tc>
                <w:tcPr>
                  <w:tcW w:w="832" w:type="dxa"/>
                  <w:vMerge w:val="restart"/>
                  <w:vAlign w:val="center"/>
                </w:tcPr>
                <w:p>
                  <w:pPr>
                    <w:adjustRightInd/>
                    <w:snapToGrid w:val="0"/>
                    <w:spacing w:line="240" w:lineRule="auto"/>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面源海</w:t>
                  </w:r>
                </w:p>
                <w:p>
                  <w:pPr>
                    <w:adjustRightInd/>
                    <w:snapToGrid w:val="0"/>
                    <w:spacing w:line="240" w:lineRule="auto"/>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拔高度/m</w:t>
                  </w:r>
                </w:p>
              </w:tc>
              <w:tc>
                <w:tcPr>
                  <w:tcW w:w="835" w:type="dxa"/>
                  <w:vMerge w:val="restart"/>
                  <w:vAlign w:val="center"/>
                </w:tcPr>
                <w:p>
                  <w:pPr>
                    <w:adjustRightInd/>
                    <w:snapToGrid w:val="0"/>
                    <w:spacing w:line="240" w:lineRule="auto"/>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面源长度/m</w:t>
                  </w:r>
                </w:p>
              </w:tc>
              <w:tc>
                <w:tcPr>
                  <w:tcW w:w="835" w:type="dxa"/>
                  <w:vMerge w:val="restart"/>
                  <w:vAlign w:val="center"/>
                </w:tcPr>
                <w:p>
                  <w:pPr>
                    <w:adjustRightInd/>
                    <w:snapToGrid w:val="0"/>
                    <w:spacing w:line="240" w:lineRule="auto"/>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面源宽度/m</w:t>
                  </w:r>
                </w:p>
              </w:tc>
              <w:tc>
                <w:tcPr>
                  <w:tcW w:w="835" w:type="dxa"/>
                  <w:vMerge w:val="restart"/>
                  <w:vAlign w:val="center"/>
                </w:tcPr>
                <w:p>
                  <w:pPr>
                    <w:adjustRightInd/>
                    <w:snapToGrid w:val="0"/>
                    <w:spacing w:line="240" w:lineRule="auto"/>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面源有效排放高度/m</w:t>
                  </w:r>
                </w:p>
              </w:tc>
              <w:tc>
                <w:tcPr>
                  <w:tcW w:w="716" w:type="dxa"/>
                  <w:vMerge w:val="restart"/>
                  <w:vAlign w:val="center"/>
                </w:tcPr>
                <w:p>
                  <w:pPr>
                    <w:adjustRightInd/>
                    <w:snapToGrid w:val="0"/>
                    <w:spacing w:line="240" w:lineRule="auto"/>
                    <w:ind w:left="-105" w:leftChars="-50" w:right="-105" w:rightChars="-5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年排放小时数/h</w:t>
                  </w:r>
                </w:p>
              </w:tc>
              <w:tc>
                <w:tcPr>
                  <w:tcW w:w="597" w:type="dxa"/>
                  <w:vMerge w:val="restart"/>
                  <w:vAlign w:val="center"/>
                </w:tcPr>
                <w:p>
                  <w:pPr>
                    <w:adjustRightInd/>
                    <w:snapToGrid w:val="0"/>
                    <w:spacing w:line="240" w:lineRule="auto"/>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排放</w:t>
                  </w:r>
                </w:p>
                <w:p>
                  <w:pPr>
                    <w:adjustRightInd/>
                    <w:snapToGrid w:val="0"/>
                    <w:spacing w:line="240" w:lineRule="auto"/>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工况</w:t>
                  </w:r>
                </w:p>
              </w:tc>
              <w:tc>
                <w:tcPr>
                  <w:tcW w:w="1359" w:type="dxa"/>
                  <w:vMerge w:val="restart"/>
                  <w:vAlign w:val="center"/>
                </w:tcPr>
                <w:p>
                  <w:pPr>
                    <w:adjustRightInd/>
                    <w:snapToGrid w:val="0"/>
                    <w:spacing w:line="240" w:lineRule="auto"/>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污染物排放速率/（kg/h）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77" w:type="dxa"/>
                  <w:vMerge w:val="continue"/>
                  <w:vAlign w:val="center"/>
                </w:tcPr>
                <w:p>
                  <w:pPr>
                    <w:snapToGrid w:val="0"/>
                    <w:spacing w:line="240" w:lineRule="auto"/>
                    <w:jc w:val="center"/>
                    <w:textAlignment w:val="auto"/>
                    <w:rPr>
                      <w:rFonts w:hint="default" w:ascii="Times New Roman" w:hAnsi="Times New Roman" w:cs="Times New Roman"/>
                      <w:color w:val="auto"/>
                      <w:kern w:val="2"/>
                      <w:sz w:val="18"/>
                      <w:szCs w:val="18"/>
                    </w:rPr>
                  </w:pPr>
                </w:p>
              </w:tc>
              <w:tc>
                <w:tcPr>
                  <w:tcW w:w="716" w:type="dxa"/>
                  <w:vMerge w:val="continue"/>
                  <w:vAlign w:val="center"/>
                </w:tcPr>
                <w:p>
                  <w:pPr>
                    <w:snapToGrid w:val="0"/>
                    <w:spacing w:line="240" w:lineRule="auto"/>
                    <w:jc w:val="center"/>
                    <w:textAlignment w:val="auto"/>
                    <w:rPr>
                      <w:rFonts w:hint="default" w:ascii="Times New Roman" w:hAnsi="Times New Roman" w:cs="Times New Roman"/>
                      <w:color w:val="auto"/>
                      <w:kern w:val="2"/>
                      <w:sz w:val="18"/>
                      <w:szCs w:val="18"/>
                    </w:rPr>
                  </w:pPr>
                </w:p>
              </w:tc>
              <w:tc>
                <w:tcPr>
                  <w:tcW w:w="954" w:type="dxa"/>
                  <w:vAlign w:val="center"/>
                </w:tcPr>
                <w:p>
                  <w:pPr>
                    <w:adjustRightInd/>
                    <w:snapToGrid w:val="0"/>
                    <w:spacing w:line="240" w:lineRule="auto"/>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X</w:t>
                  </w:r>
                </w:p>
              </w:tc>
              <w:tc>
                <w:tcPr>
                  <w:tcW w:w="954" w:type="dxa"/>
                  <w:vAlign w:val="center"/>
                </w:tcPr>
                <w:p>
                  <w:pPr>
                    <w:adjustRightInd/>
                    <w:snapToGrid w:val="0"/>
                    <w:spacing w:line="240" w:lineRule="auto"/>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Y</w:t>
                  </w:r>
                </w:p>
              </w:tc>
              <w:tc>
                <w:tcPr>
                  <w:tcW w:w="832" w:type="dxa"/>
                  <w:vMerge w:val="continue"/>
                  <w:vAlign w:val="center"/>
                </w:tcPr>
                <w:p>
                  <w:pPr>
                    <w:adjustRightInd/>
                    <w:snapToGrid w:val="0"/>
                    <w:spacing w:line="240" w:lineRule="auto"/>
                    <w:jc w:val="center"/>
                    <w:textAlignment w:val="auto"/>
                    <w:rPr>
                      <w:rFonts w:hint="default" w:ascii="Times New Roman" w:hAnsi="Times New Roman" w:cs="Times New Roman"/>
                      <w:color w:val="auto"/>
                      <w:kern w:val="2"/>
                      <w:sz w:val="18"/>
                      <w:szCs w:val="18"/>
                    </w:rPr>
                  </w:pPr>
                </w:p>
              </w:tc>
              <w:tc>
                <w:tcPr>
                  <w:tcW w:w="835" w:type="dxa"/>
                  <w:vMerge w:val="continue"/>
                  <w:vAlign w:val="center"/>
                </w:tcPr>
                <w:p>
                  <w:pPr>
                    <w:adjustRightInd/>
                    <w:snapToGrid w:val="0"/>
                    <w:spacing w:line="240" w:lineRule="auto"/>
                    <w:jc w:val="center"/>
                    <w:textAlignment w:val="auto"/>
                    <w:rPr>
                      <w:rFonts w:hint="default" w:ascii="Times New Roman" w:hAnsi="Times New Roman" w:cs="Times New Roman"/>
                      <w:color w:val="auto"/>
                      <w:kern w:val="2"/>
                      <w:sz w:val="18"/>
                      <w:szCs w:val="18"/>
                    </w:rPr>
                  </w:pPr>
                </w:p>
              </w:tc>
              <w:tc>
                <w:tcPr>
                  <w:tcW w:w="835" w:type="dxa"/>
                  <w:vMerge w:val="continue"/>
                  <w:vAlign w:val="center"/>
                </w:tcPr>
                <w:p>
                  <w:pPr>
                    <w:adjustRightInd/>
                    <w:snapToGrid w:val="0"/>
                    <w:spacing w:line="240" w:lineRule="auto"/>
                    <w:jc w:val="center"/>
                    <w:textAlignment w:val="auto"/>
                    <w:rPr>
                      <w:rFonts w:hint="default" w:ascii="Times New Roman" w:hAnsi="Times New Roman" w:cs="Times New Roman"/>
                      <w:color w:val="auto"/>
                      <w:kern w:val="2"/>
                      <w:sz w:val="18"/>
                      <w:szCs w:val="18"/>
                    </w:rPr>
                  </w:pPr>
                </w:p>
              </w:tc>
              <w:tc>
                <w:tcPr>
                  <w:tcW w:w="835" w:type="dxa"/>
                  <w:vMerge w:val="continue"/>
                  <w:vAlign w:val="center"/>
                </w:tcPr>
                <w:p>
                  <w:pPr>
                    <w:adjustRightInd/>
                    <w:snapToGrid w:val="0"/>
                    <w:spacing w:line="240" w:lineRule="auto"/>
                    <w:jc w:val="center"/>
                    <w:textAlignment w:val="auto"/>
                    <w:rPr>
                      <w:rFonts w:hint="default" w:ascii="Times New Roman" w:hAnsi="Times New Roman" w:cs="Times New Roman"/>
                      <w:color w:val="auto"/>
                      <w:kern w:val="2"/>
                      <w:sz w:val="18"/>
                      <w:szCs w:val="18"/>
                    </w:rPr>
                  </w:pPr>
                </w:p>
              </w:tc>
              <w:tc>
                <w:tcPr>
                  <w:tcW w:w="716" w:type="dxa"/>
                  <w:vMerge w:val="continue"/>
                  <w:vAlign w:val="center"/>
                </w:tcPr>
                <w:p>
                  <w:pPr>
                    <w:adjustRightInd/>
                    <w:snapToGrid w:val="0"/>
                    <w:spacing w:line="240" w:lineRule="auto"/>
                    <w:jc w:val="center"/>
                    <w:textAlignment w:val="auto"/>
                    <w:rPr>
                      <w:rFonts w:hint="default" w:ascii="Times New Roman" w:hAnsi="Times New Roman" w:cs="Times New Roman"/>
                      <w:color w:val="auto"/>
                      <w:kern w:val="2"/>
                      <w:sz w:val="18"/>
                      <w:szCs w:val="18"/>
                    </w:rPr>
                  </w:pPr>
                </w:p>
              </w:tc>
              <w:tc>
                <w:tcPr>
                  <w:tcW w:w="597" w:type="dxa"/>
                  <w:vMerge w:val="continue"/>
                  <w:vAlign w:val="center"/>
                </w:tcPr>
                <w:p>
                  <w:pPr>
                    <w:adjustRightInd/>
                    <w:snapToGrid w:val="0"/>
                    <w:spacing w:line="240" w:lineRule="auto"/>
                    <w:jc w:val="center"/>
                    <w:textAlignment w:val="auto"/>
                    <w:rPr>
                      <w:rFonts w:hint="default" w:ascii="Times New Roman" w:hAnsi="Times New Roman" w:cs="Times New Roman"/>
                      <w:color w:val="auto"/>
                      <w:kern w:val="2"/>
                      <w:sz w:val="18"/>
                      <w:szCs w:val="18"/>
                    </w:rPr>
                  </w:pPr>
                </w:p>
              </w:tc>
              <w:tc>
                <w:tcPr>
                  <w:tcW w:w="1359" w:type="dxa"/>
                  <w:vMerge w:val="continue"/>
                  <w:vAlign w:val="center"/>
                </w:tcPr>
                <w:p>
                  <w:pPr>
                    <w:adjustRightInd/>
                    <w:snapToGrid w:val="0"/>
                    <w:spacing w:line="240" w:lineRule="auto"/>
                    <w:jc w:val="center"/>
                    <w:textAlignment w:val="auto"/>
                    <w:rPr>
                      <w:rFonts w:hint="default" w:ascii="Times New Roman" w:hAnsi="Times New Roman" w:cs="Times New Roman"/>
                      <w:color w:val="auto"/>
                      <w:kern w:val="2"/>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77" w:type="dxa"/>
                  <w:vAlign w:val="center"/>
                </w:tcPr>
                <w:p>
                  <w:pPr>
                    <w:snapToGrid w:val="0"/>
                    <w:spacing w:line="240" w:lineRule="auto"/>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1</w:t>
                  </w:r>
                </w:p>
              </w:tc>
              <w:tc>
                <w:tcPr>
                  <w:tcW w:w="716" w:type="dxa"/>
                  <w:vAlign w:val="center"/>
                </w:tcPr>
                <w:p>
                  <w:pPr>
                    <w:snapToGrid w:val="0"/>
                    <w:spacing w:line="240" w:lineRule="auto"/>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渗滤液处理车间</w:t>
                  </w:r>
                </w:p>
              </w:tc>
              <w:tc>
                <w:tcPr>
                  <w:tcW w:w="954" w:type="dxa"/>
                  <w:vAlign w:val="center"/>
                </w:tcPr>
                <w:p>
                  <w:pPr>
                    <w:snapToGrid w:val="0"/>
                    <w:spacing w:line="240" w:lineRule="auto"/>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95</w:t>
                  </w:r>
                </w:p>
              </w:tc>
              <w:tc>
                <w:tcPr>
                  <w:tcW w:w="954" w:type="dxa"/>
                  <w:vAlign w:val="center"/>
                </w:tcPr>
                <w:p>
                  <w:pPr>
                    <w:snapToGrid w:val="0"/>
                    <w:spacing w:line="240" w:lineRule="auto"/>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55</w:t>
                  </w:r>
                </w:p>
              </w:tc>
              <w:tc>
                <w:tcPr>
                  <w:tcW w:w="832" w:type="dxa"/>
                  <w:vAlign w:val="center"/>
                </w:tcPr>
                <w:p>
                  <w:pPr>
                    <w:snapToGrid w:val="0"/>
                    <w:spacing w:line="240" w:lineRule="auto"/>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50</w:t>
                  </w:r>
                </w:p>
              </w:tc>
              <w:tc>
                <w:tcPr>
                  <w:tcW w:w="835" w:type="dxa"/>
                  <w:vAlign w:val="center"/>
                </w:tcPr>
                <w:p>
                  <w:pPr>
                    <w:snapToGrid w:val="0"/>
                    <w:spacing w:line="240" w:lineRule="auto"/>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16</w:t>
                  </w:r>
                </w:p>
              </w:tc>
              <w:tc>
                <w:tcPr>
                  <w:tcW w:w="835" w:type="dxa"/>
                  <w:vAlign w:val="center"/>
                </w:tcPr>
                <w:p>
                  <w:pPr>
                    <w:snapToGrid w:val="0"/>
                    <w:spacing w:line="240" w:lineRule="auto"/>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20</w:t>
                  </w:r>
                </w:p>
              </w:tc>
              <w:tc>
                <w:tcPr>
                  <w:tcW w:w="835" w:type="dxa"/>
                  <w:vAlign w:val="center"/>
                </w:tcPr>
                <w:p>
                  <w:pPr>
                    <w:snapToGrid w:val="0"/>
                    <w:spacing w:line="240" w:lineRule="auto"/>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10</w:t>
                  </w:r>
                </w:p>
              </w:tc>
              <w:tc>
                <w:tcPr>
                  <w:tcW w:w="716" w:type="dxa"/>
                  <w:vAlign w:val="center"/>
                </w:tcPr>
                <w:p>
                  <w:pPr>
                    <w:snapToGrid w:val="0"/>
                    <w:spacing w:line="240" w:lineRule="auto"/>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8760</w:t>
                  </w:r>
                </w:p>
              </w:tc>
              <w:tc>
                <w:tcPr>
                  <w:tcW w:w="597" w:type="dxa"/>
                  <w:vAlign w:val="center"/>
                </w:tcPr>
                <w:p>
                  <w:pPr>
                    <w:snapToGrid w:val="0"/>
                    <w:spacing w:line="240" w:lineRule="auto"/>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正常</w:t>
                  </w:r>
                </w:p>
              </w:tc>
              <w:tc>
                <w:tcPr>
                  <w:tcW w:w="1359" w:type="dxa"/>
                  <w:vAlign w:val="center"/>
                </w:tcPr>
                <w:p>
                  <w:pPr>
                    <w:snapToGrid w:val="0"/>
                    <w:spacing w:line="240" w:lineRule="auto"/>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rPr>
                    <w:t>NH</w:t>
                  </w:r>
                  <w:r>
                    <w:rPr>
                      <w:rFonts w:hint="default" w:ascii="Times New Roman" w:hAnsi="Times New Roman" w:cs="Times New Roman"/>
                      <w:color w:val="auto"/>
                      <w:kern w:val="2"/>
                      <w:sz w:val="18"/>
                      <w:szCs w:val="18"/>
                      <w:vertAlign w:val="subscript"/>
                    </w:rPr>
                    <w:t>3</w:t>
                  </w:r>
                  <w:r>
                    <w:rPr>
                      <w:rFonts w:hint="default" w:ascii="Times New Roman" w:hAnsi="Times New Roman" w:cs="Times New Roman"/>
                      <w:color w:val="auto"/>
                      <w:kern w:val="2"/>
                      <w:sz w:val="18"/>
                      <w:szCs w:val="18"/>
                    </w:rPr>
                    <w:t>：</w:t>
                  </w:r>
                  <w:r>
                    <w:rPr>
                      <w:rFonts w:hint="default" w:ascii="Times New Roman" w:hAnsi="Times New Roman" w:cs="Times New Roman"/>
                      <w:color w:val="auto"/>
                      <w:lang w:val="en-US" w:eastAsia="zh-CN"/>
                    </w:rPr>
                    <w:t>0.0104</w:t>
                  </w:r>
                </w:p>
                <w:p>
                  <w:pPr>
                    <w:snapToGrid w:val="0"/>
                    <w:spacing w:line="240" w:lineRule="auto"/>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rPr>
                    <w:t>H</w:t>
                  </w:r>
                  <w:r>
                    <w:rPr>
                      <w:rFonts w:hint="default" w:ascii="Times New Roman" w:hAnsi="Times New Roman" w:cs="Times New Roman"/>
                      <w:color w:val="auto"/>
                      <w:kern w:val="2"/>
                      <w:sz w:val="18"/>
                      <w:szCs w:val="18"/>
                      <w:vertAlign w:val="subscript"/>
                    </w:rPr>
                    <w:t>2</w:t>
                  </w:r>
                  <w:r>
                    <w:rPr>
                      <w:rFonts w:hint="default" w:ascii="Times New Roman" w:hAnsi="Times New Roman" w:cs="Times New Roman"/>
                      <w:color w:val="auto"/>
                      <w:kern w:val="2"/>
                      <w:sz w:val="18"/>
                      <w:szCs w:val="18"/>
                    </w:rPr>
                    <w:t>S：</w:t>
                  </w:r>
                  <w:r>
                    <w:rPr>
                      <w:rFonts w:hint="default" w:ascii="Times New Roman" w:hAnsi="Times New Roman" w:cs="Times New Roman"/>
                      <w:color w:val="auto"/>
                      <w:lang w:val="en-US" w:eastAsia="zh-CN"/>
                    </w:rPr>
                    <w:t>0.00028</w:t>
                  </w:r>
                </w:p>
              </w:tc>
            </w:tr>
          </w:tbl>
          <w:p>
            <w:pPr>
              <w:pStyle w:val="41"/>
              <w:snapToGrid w:val="0"/>
              <w:spacing w:line="360" w:lineRule="auto"/>
              <w:ind w:firstLine="482"/>
              <w:rPr>
                <w:rFonts w:hint="default" w:ascii="Times New Roman" w:hAnsi="Times New Roman" w:cs="Times New Roman"/>
                <w:color w:val="auto"/>
                <w:lang w:val="zh-TW"/>
              </w:rPr>
            </w:pPr>
            <w:r>
              <w:rPr>
                <w:rFonts w:hint="default" w:ascii="Times New Roman" w:hAnsi="Times New Roman" w:cs="Times New Roman"/>
                <w:color w:val="auto"/>
                <w:lang w:val="zh-TW"/>
              </w:rPr>
              <w:t>（5）预测结果</w:t>
            </w:r>
          </w:p>
          <w:p>
            <w:pPr>
              <w:pStyle w:val="41"/>
              <w:snapToGrid w:val="0"/>
              <w:spacing w:line="360" w:lineRule="auto"/>
              <w:ind w:firstLine="482"/>
              <w:rPr>
                <w:rFonts w:hint="default" w:ascii="Times New Roman" w:hAnsi="Times New Roman" w:cs="Times New Roman"/>
                <w:b/>
                <w:color w:val="auto"/>
                <w:kern w:val="2"/>
                <w:sz w:val="21"/>
              </w:rPr>
            </w:pPr>
            <w:r>
              <w:rPr>
                <w:rFonts w:hint="default" w:ascii="Times New Roman" w:hAnsi="Times New Roman" w:cs="Times New Roman"/>
                <w:color w:val="auto"/>
                <w:lang w:val="zh-TW"/>
              </w:rPr>
              <w:t>根据AERSREEN 对本项目排放的有组织废气和无组织废气排放进行估算结果如下表所示：</w:t>
            </w:r>
          </w:p>
          <w:p>
            <w:pPr>
              <w:adjustRightInd/>
              <w:spacing w:before="156" w:beforeLines="50" w:line="240" w:lineRule="auto"/>
              <w:jc w:val="center"/>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表7-6 点源DA001估算模型计算结果表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258"/>
              <w:gridCol w:w="2140"/>
              <w:gridCol w:w="1575"/>
              <w:gridCol w:w="2140"/>
              <w:gridCol w:w="156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vMerge w:val="restart"/>
                  <w:tcBorders>
                    <w:top w:val="single" w:color="auto" w:sz="12"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kern w:val="2"/>
                      <w:szCs w:val="21"/>
                    </w:rPr>
                  </w:pPr>
                  <w:r>
                    <w:rPr>
                      <w:rFonts w:hint="default" w:ascii="Times New Roman" w:hAnsi="Times New Roman" w:cs="Times New Roman"/>
                      <w:color w:val="auto"/>
                    </w:rPr>
                    <w:t>下风向</w:t>
                  </w:r>
                </w:p>
                <w:p>
                  <w:pPr>
                    <w:snapToGrid w:val="0"/>
                    <w:jc w:val="center"/>
                    <w:rPr>
                      <w:rFonts w:hint="default" w:ascii="Times New Roman" w:hAnsi="Times New Roman" w:cs="Times New Roman"/>
                      <w:color w:val="auto"/>
                      <w:kern w:val="2"/>
                      <w:szCs w:val="21"/>
                    </w:rPr>
                  </w:pPr>
                  <w:r>
                    <w:rPr>
                      <w:rFonts w:hint="default" w:ascii="Times New Roman" w:hAnsi="Times New Roman" w:cs="Times New Roman"/>
                      <w:color w:val="auto"/>
                    </w:rPr>
                    <w:t>距离/m</w:t>
                  </w:r>
                </w:p>
              </w:tc>
              <w:tc>
                <w:tcPr>
                  <w:tcW w:w="3832" w:type="pct"/>
                  <w:gridSpan w:val="4"/>
                  <w:tcBorders>
                    <w:top w:val="single" w:color="auto" w:sz="12" w:space="0"/>
                    <w:left w:val="nil"/>
                    <w:bottom w:val="single" w:color="auto" w:sz="6" w:space="0"/>
                    <w:right w:val="nil"/>
                  </w:tcBorders>
                  <w:vAlign w:val="center"/>
                </w:tcPr>
                <w:p>
                  <w:pPr>
                    <w:snapToGrid w:val="0"/>
                    <w:jc w:val="center"/>
                    <w:rPr>
                      <w:rFonts w:hint="default" w:ascii="Times New Roman" w:hAnsi="Times New Roman" w:cs="Times New Roman"/>
                      <w:color w:val="auto"/>
                      <w:kern w:val="2"/>
                      <w:szCs w:val="21"/>
                    </w:rPr>
                  </w:pPr>
                  <w:r>
                    <w:rPr>
                      <w:rFonts w:hint="default" w:ascii="Times New Roman" w:hAnsi="Times New Roman" w:cs="Times New Roman"/>
                      <w:color w:val="auto"/>
                    </w:rPr>
                    <w:t>污染源DA001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vMerge w:val="continue"/>
                  <w:tcBorders>
                    <w:top w:val="single" w:color="auto" w:sz="12" w:space="0"/>
                    <w:left w:val="nil"/>
                    <w:bottom w:val="single" w:color="auto" w:sz="6" w:space="0"/>
                    <w:right w:val="single" w:color="auto" w:sz="6" w:space="0"/>
                  </w:tcBorders>
                  <w:vAlign w:val="center"/>
                </w:tcPr>
                <w:p>
                  <w:pPr>
                    <w:widowControl/>
                    <w:jc w:val="left"/>
                    <w:rPr>
                      <w:rFonts w:hint="default" w:ascii="Times New Roman" w:hAnsi="Times New Roman" w:cs="Times New Roman"/>
                      <w:color w:val="auto"/>
                      <w:kern w:val="2"/>
                      <w:szCs w:val="21"/>
                    </w:rPr>
                  </w:pPr>
                </w:p>
              </w:tc>
              <w:tc>
                <w:tcPr>
                  <w:tcW w:w="1920" w:type="pct"/>
                  <w:gridSpan w:val="2"/>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kern w:val="2"/>
                      <w:szCs w:val="21"/>
                    </w:rPr>
                  </w:pP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p>
              </w:tc>
              <w:tc>
                <w:tcPr>
                  <w:tcW w:w="1911" w:type="pct"/>
                  <w:gridSpan w:val="2"/>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kern w:val="2"/>
                      <w:szCs w:val="21"/>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vMerge w:val="continue"/>
                  <w:tcBorders>
                    <w:top w:val="single" w:color="auto" w:sz="12" w:space="0"/>
                    <w:left w:val="nil"/>
                    <w:bottom w:val="single" w:color="auto" w:sz="6" w:space="0"/>
                    <w:right w:val="single" w:color="auto" w:sz="6" w:space="0"/>
                  </w:tcBorders>
                  <w:vAlign w:val="center"/>
                </w:tcPr>
                <w:p>
                  <w:pPr>
                    <w:widowControl/>
                    <w:jc w:val="left"/>
                    <w:rPr>
                      <w:rFonts w:hint="default" w:ascii="Times New Roman" w:hAnsi="Times New Roman" w:cs="Times New Roman"/>
                      <w:color w:val="auto"/>
                      <w:kern w:val="2"/>
                      <w:szCs w:val="21"/>
                    </w:rPr>
                  </w:pP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kern w:val="2"/>
                      <w:szCs w:val="21"/>
                    </w:rPr>
                  </w:pPr>
                  <w:r>
                    <w:rPr>
                      <w:rFonts w:hint="default" w:ascii="Times New Roman" w:hAnsi="Times New Roman" w:cs="Times New Roman"/>
                      <w:color w:val="auto"/>
                    </w:rPr>
                    <w:t>预测质量浓度/</w:t>
                  </w:r>
                </w:p>
                <w:p>
                  <w:pPr>
                    <w:snapToGrid w:val="0"/>
                    <w:jc w:val="center"/>
                    <w:rPr>
                      <w:rFonts w:hint="default" w:ascii="Times New Roman" w:hAnsi="Times New Roman" w:cs="Times New Roman"/>
                      <w:color w:val="auto"/>
                      <w:kern w:val="2"/>
                      <w:szCs w:val="21"/>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814"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kern w:val="2"/>
                      <w:szCs w:val="21"/>
                    </w:rPr>
                  </w:pPr>
                  <w:r>
                    <w:rPr>
                      <w:rFonts w:hint="default" w:ascii="Times New Roman" w:hAnsi="Times New Roman" w:cs="Times New Roman"/>
                      <w:color w:val="auto"/>
                    </w:rPr>
                    <w:t>占标率/%</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kern w:val="2"/>
                      <w:szCs w:val="21"/>
                    </w:rPr>
                  </w:pPr>
                  <w:r>
                    <w:rPr>
                      <w:rFonts w:hint="default" w:ascii="Times New Roman" w:hAnsi="Times New Roman" w:cs="Times New Roman"/>
                      <w:color w:val="auto"/>
                    </w:rPr>
                    <w:t>预测质量浓度/</w:t>
                  </w:r>
                </w:p>
                <w:p>
                  <w:pPr>
                    <w:snapToGrid w:val="0"/>
                    <w:jc w:val="center"/>
                    <w:rPr>
                      <w:rFonts w:hint="default" w:ascii="Times New Roman" w:hAnsi="Times New Roman" w:cs="Times New Roman"/>
                      <w:color w:val="auto"/>
                      <w:kern w:val="2"/>
                      <w:szCs w:val="21"/>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805" w:type="pct"/>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kern w:val="2"/>
                      <w:szCs w:val="21"/>
                    </w:rPr>
                  </w:pPr>
                  <w:r>
                    <w:rPr>
                      <w:rFonts w:hint="default" w:ascii="Times New Roman" w:hAnsi="Times New Roman" w:cs="Times New Roman"/>
                      <w:color w:val="auto"/>
                    </w:rPr>
                    <w:t>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10</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9.14E-08</w:t>
                  </w:r>
                </w:p>
              </w:tc>
              <w:tc>
                <w:tcPr>
                  <w:tcW w:w="814"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0.0000034</w:t>
                  </w:r>
                </w:p>
              </w:tc>
              <w:tc>
                <w:tcPr>
                  <w:tcW w:w="805" w:type="pct"/>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25</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2.46E-06</w:t>
                  </w:r>
                </w:p>
              </w:tc>
              <w:tc>
                <w:tcPr>
                  <w:tcW w:w="814"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0.02</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0.0000913</w:t>
                  </w:r>
                </w:p>
              </w:tc>
              <w:tc>
                <w:tcPr>
                  <w:tcW w:w="805" w:type="pct"/>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50</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0.000023</w:t>
                  </w:r>
                </w:p>
              </w:tc>
              <w:tc>
                <w:tcPr>
                  <w:tcW w:w="814"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0.23</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0.000854</w:t>
                  </w:r>
                </w:p>
              </w:tc>
              <w:tc>
                <w:tcPr>
                  <w:tcW w:w="805" w:type="pct"/>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6" w:space="0"/>
                    <w:right w:val="single" w:color="auto" w:sz="6" w:space="0"/>
                  </w:tcBorders>
                  <w:shd w:val="clear" w:color="auto" w:fill="FFFFFF"/>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71</w:t>
                  </w:r>
                </w:p>
              </w:tc>
              <w:tc>
                <w:tcPr>
                  <w:tcW w:w="1106" w:type="pct"/>
                  <w:tcBorders>
                    <w:top w:val="single" w:color="auto" w:sz="6" w:space="0"/>
                    <w:left w:val="nil"/>
                    <w:bottom w:val="single" w:color="auto" w:sz="6" w:space="0"/>
                    <w:right w:val="single" w:color="auto" w:sz="6" w:space="0"/>
                  </w:tcBorders>
                  <w:shd w:val="clear" w:color="auto" w:fill="FFFFFF"/>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0.0000283</w:t>
                  </w:r>
                </w:p>
              </w:tc>
              <w:tc>
                <w:tcPr>
                  <w:tcW w:w="814" w:type="pct"/>
                  <w:tcBorders>
                    <w:top w:val="single" w:color="auto" w:sz="6" w:space="0"/>
                    <w:left w:val="nil"/>
                    <w:bottom w:val="single" w:color="auto" w:sz="6" w:space="0"/>
                    <w:right w:val="single" w:color="auto" w:sz="6" w:space="0"/>
                  </w:tcBorders>
                  <w:shd w:val="clear" w:color="auto" w:fill="FFFFFF"/>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0.28</w:t>
                  </w:r>
                </w:p>
              </w:tc>
              <w:tc>
                <w:tcPr>
                  <w:tcW w:w="1106" w:type="pct"/>
                  <w:tcBorders>
                    <w:top w:val="single" w:color="auto" w:sz="6" w:space="0"/>
                    <w:left w:val="nil"/>
                    <w:bottom w:val="single" w:color="auto" w:sz="6" w:space="0"/>
                    <w:right w:val="single" w:color="auto" w:sz="6" w:space="0"/>
                  </w:tcBorders>
                  <w:shd w:val="clear" w:color="auto" w:fill="FFFFFF"/>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0.00105</w:t>
                  </w:r>
                </w:p>
              </w:tc>
              <w:tc>
                <w:tcPr>
                  <w:tcW w:w="805" w:type="pct"/>
                  <w:tcBorders>
                    <w:top w:val="single" w:color="auto" w:sz="6" w:space="0"/>
                    <w:left w:val="nil"/>
                    <w:bottom w:val="single" w:color="auto" w:sz="6" w:space="0"/>
                    <w:right w:val="nil"/>
                  </w:tcBorders>
                  <w:shd w:val="clear" w:color="auto" w:fill="FFFFFF"/>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75</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0.0000282</w:t>
                  </w:r>
                </w:p>
              </w:tc>
              <w:tc>
                <w:tcPr>
                  <w:tcW w:w="814"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0.28</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0.00105</w:t>
                  </w:r>
                </w:p>
              </w:tc>
              <w:tc>
                <w:tcPr>
                  <w:tcW w:w="805" w:type="pct"/>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100</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0.0000254</w:t>
                  </w:r>
                </w:p>
              </w:tc>
              <w:tc>
                <w:tcPr>
                  <w:tcW w:w="814"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0.25</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0.000943</w:t>
                  </w:r>
                </w:p>
              </w:tc>
              <w:tc>
                <w:tcPr>
                  <w:tcW w:w="805" w:type="pct"/>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125</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0.0000224</w:t>
                  </w:r>
                </w:p>
              </w:tc>
              <w:tc>
                <w:tcPr>
                  <w:tcW w:w="814"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0.22</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0.00083</w:t>
                  </w:r>
                </w:p>
              </w:tc>
              <w:tc>
                <w:tcPr>
                  <w:tcW w:w="805" w:type="pct"/>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150</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0.0000199</w:t>
                  </w:r>
                </w:p>
              </w:tc>
              <w:tc>
                <w:tcPr>
                  <w:tcW w:w="814"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0.2</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0.000739</w:t>
                  </w:r>
                </w:p>
              </w:tc>
              <w:tc>
                <w:tcPr>
                  <w:tcW w:w="805" w:type="pct"/>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175</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0.0000179</w:t>
                  </w:r>
                </w:p>
              </w:tc>
              <w:tc>
                <w:tcPr>
                  <w:tcW w:w="814"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0.18</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0.000664</w:t>
                  </w:r>
                </w:p>
              </w:tc>
              <w:tc>
                <w:tcPr>
                  <w:tcW w:w="805" w:type="pct"/>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200</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0.0000162</w:t>
                  </w:r>
                </w:p>
              </w:tc>
              <w:tc>
                <w:tcPr>
                  <w:tcW w:w="814"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0.16</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0.000603</w:t>
                  </w:r>
                </w:p>
              </w:tc>
              <w:tc>
                <w:tcPr>
                  <w:tcW w:w="805" w:type="pct"/>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225</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0.0000149</w:t>
                  </w:r>
                </w:p>
              </w:tc>
              <w:tc>
                <w:tcPr>
                  <w:tcW w:w="814"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0.15</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0.000554</w:t>
                  </w:r>
                </w:p>
              </w:tc>
              <w:tc>
                <w:tcPr>
                  <w:tcW w:w="805" w:type="pct"/>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250</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0.0000138</w:t>
                  </w:r>
                </w:p>
              </w:tc>
              <w:tc>
                <w:tcPr>
                  <w:tcW w:w="814"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0.14</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0.000512</w:t>
                  </w:r>
                </w:p>
              </w:tc>
              <w:tc>
                <w:tcPr>
                  <w:tcW w:w="805" w:type="pct"/>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0.26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275</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0.0000129</w:t>
                  </w:r>
                </w:p>
              </w:tc>
              <w:tc>
                <w:tcPr>
                  <w:tcW w:w="814"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0.13</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0.000478</w:t>
                  </w:r>
                </w:p>
              </w:tc>
              <w:tc>
                <w:tcPr>
                  <w:tcW w:w="805" w:type="pct"/>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300</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0.0000121</w:t>
                  </w:r>
                </w:p>
              </w:tc>
              <w:tc>
                <w:tcPr>
                  <w:tcW w:w="814"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0.12</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0.000448</w:t>
                  </w:r>
                </w:p>
              </w:tc>
              <w:tc>
                <w:tcPr>
                  <w:tcW w:w="805" w:type="pct"/>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325</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0.0000114</w:t>
                  </w:r>
                </w:p>
              </w:tc>
              <w:tc>
                <w:tcPr>
                  <w:tcW w:w="814"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0.11</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0.000423</w:t>
                  </w:r>
                </w:p>
              </w:tc>
              <w:tc>
                <w:tcPr>
                  <w:tcW w:w="805" w:type="pct"/>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350</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0.0000108</w:t>
                  </w:r>
                </w:p>
              </w:tc>
              <w:tc>
                <w:tcPr>
                  <w:tcW w:w="814"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0.11</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0.0004</w:t>
                  </w:r>
                </w:p>
              </w:tc>
              <w:tc>
                <w:tcPr>
                  <w:tcW w:w="805" w:type="pct"/>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375</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0.0000102</w:t>
                  </w:r>
                </w:p>
              </w:tc>
              <w:tc>
                <w:tcPr>
                  <w:tcW w:w="814"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0.1</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0.000381</w:t>
                  </w:r>
                </w:p>
              </w:tc>
              <w:tc>
                <w:tcPr>
                  <w:tcW w:w="805" w:type="pct"/>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400</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9.78E-06</w:t>
                  </w:r>
                </w:p>
              </w:tc>
              <w:tc>
                <w:tcPr>
                  <w:tcW w:w="814"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0.1</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0.000363</w:t>
                  </w:r>
                </w:p>
              </w:tc>
              <w:tc>
                <w:tcPr>
                  <w:tcW w:w="805" w:type="pct"/>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425</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9.35E-06</w:t>
                  </w:r>
                </w:p>
              </w:tc>
              <w:tc>
                <w:tcPr>
                  <w:tcW w:w="814"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0.09</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0.000347</w:t>
                  </w:r>
                </w:p>
              </w:tc>
              <w:tc>
                <w:tcPr>
                  <w:tcW w:w="805" w:type="pct"/>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450</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8.97E-06</w:t>
                  </w:r>
                </w:p>
              </w:tc>
              <w:tc>
                <w:tcPr>
                  <w:tcW w:w="814"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0.09</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0.000333</w:t>
                  </w:r>
                </w:p>
              </w:tc>
              <w:tc>
                <w:tcPr>
                  <w:tcW w:w="805" w:type="pct"/>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475</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8.62E-06</w:t>
                  </w:r>
                </w:p>
              </w:tc>
              <w:tc>
                <w:tcPr>
                  <w:tcW w:w="814"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0.09</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0.00032</w:t>
                  </w:r>
                </w:p>
              </w:tc>
              <w:tc>
                <w:tcPr>
                  <w:tcW w:w="805" w:type="pct"/>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500</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0.0000083</w:t>
                  </w:r>
                </w:p>
              </w:tc>
              <w:tc>
                <w:tcPr>
                  <w:tcW w:w="814"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0.08</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0.000308</w:t>
                  </w:r>
                </w:p>
              </w:tc>
              <w:tc>
                <w:tcPr>
                  <w:tcW w:w="805" w:type="pct"/>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rPr>
                    <w:t>下风向最大质量浓度及占标率</w:t>
                  </w:r>
                </w:p>
              </w:tc>
              <w:tc>
                <w:tcPr>
                  <w:tcW w:w="1106" w:type="pct"/>
                  <w:tcBorders>
                    <w:top w:val="single" w:color="auto" w:sz="6" w:space="0"/>
                    <w:left w:val="nil"/>
                    <w:bottom w:val="single" w:color="auto" w:sz="6" w:space="0"/>
                    <w:right w:val="single" w:color="auto" w:sz="6" w:space="0"/>
                  </w:tcBorders>
                  <w:shd w:val="clear" w:color="auto" w:fill="FFFFFF"/>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0.0000283</w:t>
                  </w:r>
                </w:p>
              </w:tc>
              <w:tc>
                <w:tcPr>
                  <w:tcW w:w="814" w:type="pct"/>
                  <w:tcBorders>
                    <w:top w:val="single" w:color="auto" w:sz="6" w:space="0"/>
                    <w:left w:val="nil"/>
                    <w:bottom w:val="single" w:color="auto" w:sz="6" w:space="0"/>
                    <w:right w:val="single" w:color="auto" w:sz="6" w:space="0"/>
                  </w:tcBorders>
                  <w:shd w:val="clear" w:color="auto" w:fill="FFFFFF"/>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0.28</w:t>
                  </w:r>
                </w:p>
              </w:tc>
              <w:tc>
                <w:tcPr>
                  <w:tcW w:w="1106" w:type="pct"/>
                  <w:tcBorders>
                    <w:top w:val="single" w:color="auto" w:sz="6" w:space="0"/>
                    <w:left w:val="nil"/>
                    <w:bottom w:val="single" w:color="auto" w:sz="6" w:space="0"/>
                    <w:right w:val="single" w:color="auto" w:sz="6" w:space="0"/>
                  </w:tcBorders>
                  <w:shd w:val="clear" w:color="auto" w:fill="FFFFFF"/>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0.00105</w:t>
                  </w:r>
                </w:p>
              </w:tc>
              <w:tc>
                <w:tcPr>
                  <w:tcW w:w="805" w:type="pct"/>
                  <w:tcBorders>
                    <w:top w:val="single" w:color="auto" w:sz="6" w:space="0"/>
                    <w:left w:val="nil"/>
                    <w:bottom w:val="single" w:color="auto" w:sz="6" w:space="0"/>
                    <w:right w:val="nil"/>
                  </w:tcBorders>
                  <w:shd w:val="clear" w:color="auto" w:fill="FFFFFF"/>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12"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rPr>
                    <w:t>D10%最远距离/m</w:t>
                  </w:r>
                </w:p>
              </w:tc>
              <w:tc>
                <w:tcPr>
                  <w:tcW w:w="3832" w:type="pct"/>
                  <w:gridSpan w:val="4"/>
                  <w:tcBorders>
                    <w:top w:val="single" w:color="auto" w:sz="6" w:space="0"/>
                    <w:left w:val="nil"/>
                    <w:bottom w:val="single" w:color="auto" w:sz="12" w:space="0"/>
                    <w:right w:val="nil"/>
                  </w:tcBorders>
                  <w:vAlign w:val="center"/>
                </w:tcPr>
                <w:p>
                  <w:pPr>
                    <w:snapToGrid w:val="0"/>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71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5"/>
                  <w:tcBorders>
                    <w:top w:val="single" w:color="auto" w:sz="6" w:space="0"/>
                    <w:left w:val="nil"/>
                    <w:bottom w:val="single" w:color="auto" w:sz="12" w:space="0"/>
                    <w:right w:val="nil"/>
                  </w:tcBorders>
                  <w:vAlign w:val="center"/>
                </w:tcPr>
                <w:p>
                  <w:pPr>
                    <w:adjustRightInd/>
                    <w:spacing w:before="156" w:beforeLines="50" w:line="240" w:lineRule="auto"/>
                    <w:jc w:val="center"/>
                    <w:textAlignment w:val="auto"/>
                    <w:rPr>
                      <w:rFonts w:hint="default" w:ascii="Times New Roman" w:hAnsi="Times New Roman" w:cs="Times New Roman"/>
                      <w:b/>
                      <w:color w:val="auto"/>
                      <w:kern w:val="2"/>
                    </w:rPr>
                  </w:pPr>
                  <w:r>
                    <w:rPr>
                      <w:rFonts w:hint="default" w:ascii="Times New Roman" w:hAnsi="Times New Roman" w:cs="Times New Roman"/>
                      <w:b/>
                      <w:color w:val="auto"/>
                      <w:sz w:val="24"/>
                      <w:szCs w:val="24"/>
                    </w:rPr>
                    <w:t>表7-</w:t>
                  </w:r>
                  <w:r>
                    <w:rPr>
                      <w:rFonts w:hint="default" w:ascii="Times New Roman" w:hAnsi="Times New Roman" w:cs="Times New Roman"/>
                      <w:b/>
                      <w:color w:val="auto"/>
                      <w:sz w:val="24"/>
                      <w:szCs w:val="24"/>
                      <w:lang w:val="en-US" w:eastAsia="zh-CN"/>
                    </w:rPr>
                    <w:t>7</w:t>
                  </w:r>
                  <w:r>
                    <w:rPr>
                      <w:rFonts w:hint="default" w:ascii="Times New Roman" w:hAnsi="Times New Roman" w:cs="Times New Roman"/>
                      <w:b/>
                      <w:color w:val="auto"/>
                      <w:sz w:val="24"/>
                      <w:szCs w:val="24"/>
                    </w:rPr>
                    <w:t xml:space="preserve"> 面源估算模型计算结果表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vMerge w:val="restart"/>
                  <w:tcBorders>
                    <w:top w:val="nil"/>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kern w:val="2"/>
                      <w:szCs w:val="21"/>
                    </w:rPr>
                  </w:pPr>
                  <w:r>
                    <w:rPr>
                      <w:rFonts w:hint="default" w:ascii="Times New Roman" w:hAnsi="Times New Roman" w:cs="Times New Roman"/>
                      <w:color w:val="auto"/>
                    </w:rPr>
                    <w:t>下风向</w:t>
                  </w:r>
                </w:p>
                <w:p>
                  <w:pPr>
                    <w:snapToGrid w:val="0"/>
                    <w:jc w:val="center"/>
                    <w:rPr>
                      <w:rFonts w:hint="default" w:ascii="Times New Roman" w:hAnsi="Times New Roman" w:cs="Times New Roman"/>
                      <w:color w:val="auto"/>
                      <w:kern w:val="2"/>
                      <w:szCs w:val="21"/>
                    </w:rPr>
                  </w:pPr>
                  <w:r>
                    <w:rPr>
                      <w:rFonts w:hint="default" w:ascii="Times New Roman" w:hAnsi="Times New Roman" w:cs="Times New Roman"/>
                      <w:color w:val="auto"/>
                    </w:rPr>
                    <w:t>距离/m</w:t>
                  </w:r>
                </w:p>
              </w:tc>
              <w:tc>
                <w:tcPr>
                  <w:tcW w:w="3832" w:type="pct"/>
                  <w:gridSpan w:val="4"/>
                  <w:tcBorders>
                    <w:top w:val="single" w:color="auto" w:sz="12" w:space="0"/>
                    <w:left w:val="nil"/>
                    <w:bottom w:val="single" w:color="auto" w:sz="6" w:space="0"/>
                    <w:right w:val="nil"/>
                  </w:tcBorders>
                  <w:vAlign w:val="center"/>
                </w:tcPr>
                <w:p>
                  <w:pPr>
                    <w:snapToGrid w:val="0"/>
                    <w:jc w:val="center"/>
                    <w:rPr>
                      <w:rFonts w:hint="default" w:ascii="Times New Roman" w:hAnsi="Times New Roman" w:cs="Times New Roman"/>
                      <w:color w:val="auto"/>
                      <w:kern w:val="2"/>
                      <w:szCs w:val="21"/>
                    </w:rPr>
                  </w:pPr>
                  <w:r>
                    <w:rPr>
                      <w:rFonts w:hint="default" w:ascii="Times New Roman" w:hAnsi="Times New Roman" w:cs="Times New Roman"/>
                      <w:color w:val="auto"/>
                    </w:rPr>
                    <w:t>污染源面源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vMerge w:val="continue"/>
                  <w:tcBorders>
                    <w:top w:val="nil"/>
                    <w:left w:val="nil"/>
                    <w:bottom w:val="single" w:color="auto" w:sz="6" w:space="0"/>
                    <w:right w:val="single" w:color="auto" w:sz="6" w:space="0"/>
                  </w:tcBorders>
                  <w:vAlign w:val="center"/>
                </w:tcPr>
                <w:p>
                  <w:pPr>
                    <w:widowControl/>
                    <w:jc w:val="left"/>
                    <w:rPr>
                      <w:rFonts w:hint="default" w:ascii="Times New Roman" w:hAnsi="Times New Roman" w:cs="Times New Roman"/>
                      <w:color w:val="auto"/>
                      <w:kern w:val="2"/>
                      <w:szCs w:val="21"/>
                    </w:rPr>
                  </w:pPr>
                </w:p>
              </w:tc>
              <w:tc>
                <w:tcPr>
                  <w:tcW w:w="1920" w:type="pct"/>
                  <w:gridSpan w:val="2"/>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kern w:val="2"/>
                      <w:szCs w:val="21"/>
                    </w:rPr>
                  </w:pP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p>
              </w:tc>
              <w:tc>
                <w:tcPr>
                  <w:tcW w:w="1911" w:type="pct"/>
                  <w:gridSpan w:val="2"/>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kern w:val="2"/>
                      <w:szCs w:val="21"/>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vMerge w:val="continue"/>
                  <w:tcBorders>
                    <w:top w:val="nil"/>
                    <w:left w:val="nil"/>
                    <w:bottom w:val="single" w:color="auto" w:sz="6" w:space="0"/>
                    <w:right w:val="single" w:color="auto" w:sz="6" w:space="0"/>
                  </w:tcBorders>
                  <w:vAlign w:val="center"/>
                </w:tcPr>
                <w:p>
                  <w:pPr>
                    <w:widowControl/>
                    <w:jc w:val="left"/>
                    <w:rPr>
                      <w:rFonts w:hint="default" w:ascii="Times New Roman" w:hAnsi="Times New Roman" w:cs="Times New Roman"/>
                      <w:color w:val="auto"/>
                      <w:kern w:val="2"/>
                      <w:szCs w:val="21"/>
                    </w:rPr>
                  </w:pP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kern w:val="2"/>
                      <w:szCs w:val="21"/>
                    </w:rPr>
                  </w:pPr>
                  <w:r>
                    <w:rPr>
                      <w:rFonts w:hint="default" w:ascii="Times New Roman" w:hAnsi="Times New Roman" w:cs="Times New Roman"/>
                      <w:color w:val="auto"/>
                    </w:rPr>
                    <w:t>预测质量浓度/</w:t>
                  </w:r>
                </w:p>
                <w:p>
                  <w:pPr>
                    <w:snapToGrid w:val="0"/>
                    <w:jc w:val="center"/>
                    <w:rPr>
                      <w:rFonts w:hint="default" w:ascii="Times New Roman" w:hAnsi="Times New Roman" w:cs="Times New Roman"/>
                      <w:color w:val="auto"/>
                      <w:kern w:val="2"/>
                      <w:szCs w:val="21"/>
                    </w:rPr>
                  </w:pPr>
                  <w:r>
                    <w:rPr>
                      <w:rFonts w:hint="default" w:ascii="Times New Roman" w:hAnsi="Times New Roman" w:cs="Times New Roman"/>
                      <w:color w:val="auto"/>
                    </w:rPr>
                    <w:t>（μg/m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814"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kern w:val="2"/>
                      <w:szCs w:val="21"/>
                    </w:rPr>
                  </w:pPr>
                  <w:r>
                    <w:rPr>
                      <w:rFonts w:hint="default" w:ascii="Times New Roman" w:hAnsi="Times New Roman" w:cs="Times New Roman"/>
                      <w:color w:val="auto"/>
                    </w:rPr>
                    <w:t>占标率/%</w:t>
                  </w:r>
                </w:p>
              </w:tc>
              <w:tc>
                <w:tcPr>
                  <w:tcW w:w="1106"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kern w:val="2"/>
                      <w:szCs w:val="21"/>
                    </w:rPr>
                  </w:pPr>
                  <w:r>
                    <w:rPr>
                      <w:rFonts w:hint="default" w:ascii="Times New Roman" w:hAnsi="Times New Roman" w:cs="Times New Roman"/>
                      <w:color w:val="auto"/>
                    </w:rPr>
                    <w:t>预测质量浓度/</w:t>
                  </w:r>
                </w:p>
                <w:p>
                  <w:pPr>
                    <w:snapToGrid w:val="0"/>
                    <w:jc w:val="center"/>
                    <w:rPr>
                      <w:rFonts w:hint="default" w:ascii="Times New Roman" w:hAnsi="Times New Roman" w:cs="Times New Roman"/>
                      <w:color w:val="auto"/>
                      <w:kern w:val="2"/>
                      <w:szCs w:val="21"/>
                    </w:rPr>
                  </w:pPr>
                  <w:r>
                    <w:rPr>
                      <w:rFonts w:hint="default" w:ascii="Times New Roman" w:hAnsi="Times New Roman" w:cs="Times New Roman"/>
                      <w:color w:val="auto"/>
                    </w:rPr>
                    <w:t>（μg/m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805" w:type="pct"/>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kern w:val="2"/>
                      <w:szCs w:val="21"/>
                    </w:rPr>
                  </w:pPr>
                  <w:r>
                    <w:rPr>
                      <w:rFonts w:hint="default" w:ascii="Times New Roman" w:hAnsi="Times New Roman" w:cs="Times New Roman"/>
                      <w:color w:val="auto"/>
                    </w:rPr>
                    <w:t>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10</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0.000302</w:t>
                  </w:r>
                </w:p>
              </w:tc>
              <w:tc>
                <w:tcPr>
                  <w:tcW w:w="1460"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3.02</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0.0112</w:t>
                  </w:r>
                </w:p>
              </w:tc>
              <w:tc>
                <w:tcPr>
                  <w:tcW w:w="1444" w:type="dxa"/>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19</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0.000363</w:t>
                  </w:r>
                </w:p>
              </w:tc>
              <w:tc>
                <w:tcPr>
                  <w:tcW w:w="1460"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3.63</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0.0135</w:t>
                  </w:r>
                </w:p>
              </w:tc>
              <w:tc>
                <w:tcPr>
                  <w:tcW w:w="1444" w:type="dxa"/>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6.74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25</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0.000339</w:t>
                  </w:r>
                </w:p>
              </w:tc>
              <w:tc>
                <w:tcPr>
                  <w:tcW w:w="1460"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3.39</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0.0126</w:t>
                  </w:r>
                </w:p>
              </w:tc>
              <w:tc>
                <w:tcPr>
                  <w:tcW w:w="1444" w:type="dxa"/>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6.29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2" w:type="dxa"/>
                  <w:tcBorders>
                    <w:top w:val="single" w:color="auto" w:sz="6" w:space="0"/>
                    <w:left w:val="nil"/>
                    <w:bottom w:val="single" w:color="auto" w:sz="6" w:space="0"/>
                    <w:right w:val="single" w:color="auto" w:sz="6" w:space="0"/>
                  </w:tcBorders>
                  <w:shd w:val="clear" w:color="auto" w:fill="FFFFFF"/>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50</w:t>
                  </w:r>
                </w:p>
              </w:tc>
              <w:tc>
                <w:tcPr>
                  <w:tcW w:w="1982" w:type="dxa"/>
                  <w:tcBorders>
                    <w:top w:val="single" w:color="auto" w:sz="6" w:space="0"/>
                    <w:left w:val="nil"/>
                    <w:bottom w:val="single" w:color="auto" w:sz="6" w:space="0"/>
                    <w:right w:val="single" w:color="auto" w:sz="6" w:space="0"/>
                  </w:tcBorders>
                  <w:shd w:val="clear" w:color="auto" w:fill="FFFFFF"/>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0.000236</w:t>
                  </w:r>
                </w:p>
              </w:tc>
              <w:tc>
                <w:tcPr>
                  <w:tcW w:w="1460" w:type="dxa"/>
                  <w:tcBorders>
                    <w:top w:val="single" w:color="auto" w:sz="6" w:space="0"/>
                    <w:left w:val="nil"/>
                    <w:bottom w:val="single" w:color="auto" w:sz="6" w:space="0"/>
                    <w:right w:val="single" w:color="auto" w:sz="6" w:space="0"/>
                  </w:tcBorders>
                  <w:shd w:val="clear" w:color="auto" w:fill="FFFFFF"/>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2.36</w:t>
                  </w:r>
                </w:p>
              </w:tc>
              <w:tc>
                <w:tcPr>
                  <w:tcW w:w="1982" w:type="dxa"/>
                  <w:tcBorders>
                    <w:top w:val="single" w:color="auto" w:sz="6" w:space="0"/>
                    <w:left w:val="nil"/>
                    <w:bottom w:val="single" w:color="auto" w:sz="6" w:space="0"/>
                    <w:right w:val="single" w:color="auto" w:sz="6" w:space="0"/>
                  </w:tcBorders>
                  <w:shd w:val="clear" w:color="auto" w:fill="FFFFFF"/>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0.00878</w:t>
                  </w:r>
                </w:p>
              </w:tc>
              <w:tc>
                <w:tcPr>
                  <w:tcW w:w="1444" w:type="dxa"/>
                  <w:tcBorders>
                    <w:top w:val="single" w:color="auto" w:sz="6" w:space="0"/>
                    <w:left w:val="nil"/>
                    <w:bottom w:val="single" w:color="auto" w:sz="6" w:space="0"/>
                    <w:right w:val="nil"/>
                  </w:tcBorders>
                  <w:shd w:val="clear" w:color="auto" w:fill="FFFFFF"/>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4.39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75</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0.000172</w:t>
                  </w:r>
                </w:p>
              </w:tc>
              <w:tc>
                <w:tcPr>
                  <w:tcW w:w="1460"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1.72</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0.00639</w:t>
                  </w:r>
                </w:p>
              </w:tc>
              <w:tc>
                <w:tcPr>
                  <w:tcW w:w="1444" w:type="dxa"/>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3.2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100</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0.000133</w:t>
                  </w:r>
                </w:p>
              </w:tc>
              <w:tc>
                <w:tcPr>
                  <w:tcW w:w="1460"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1.33</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0.00493</w:t>
                  </w:r>
                </w:p>
              </w:tc>
              <w:tc>
                <w:tcPr>
                  <w:tcW w:w="1444" w:type="dxa"/>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2.46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125</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0.000106</w:t>
                  </w:r>
                </w:p>
              </w:tc>
              <w:tc>
                <w:tcPr>
                  <w:tcW w:w="1460"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1.06</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0.00395</w:t>
                  </w:r>
                </w:p>
              </w:tc>
              <w:tc>
                <w:tcPr>
                  <w:tcW w:w="1444" w:type="dxa"/>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1.97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150</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0.00009</w:t>
                  </w:r>
                </w:p>
              </w:tc>
              <w:tc>
                <w:tcPr>
                  <w:tcW w:w="1460"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0.9</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0.00334</w:t>
                  </w:r>
                </w:p>
              </w:tc>
              <w:tc>
                <w:tcPr>
                  <w:tcW w:w="1444" w:type="dxa"/>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1.67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175</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0.0000793</w:t>
                  </w:r>
                </w:p>
              </w:tc>
              <w:tc>
                <w:tcPr>
                  <w:tcW w:w="1460"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0.79</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0.00294</w:t>
                  </w:r>
                </w:p>
              </w:tc>
              <w:tc>
                <w:tcPr>
                  <w:tcW w:w="1444" w:type="dxa"/>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1.47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200</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0.0000717</w:t>
                  </w:r>
                </w:p>
              </w:tc>
              <w:tc>
                <w:tcPr>
                  <w:tcW w:w="1460"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0.72</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0.00266</w:t>
                  </w:r>
                </w:p>
              </w:tc>
              <w:tc>
                <w:tcPr>
                  <w:tcW w:w="1444" w:type="dxa"/>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1.33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225</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0.0000658</w:t>
                  </w:r>
                </w:p>
              </w:tc>
              <w:tc>
                <w:tcPr>
                  <w:tcW w:w="1460"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0.66</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0.00244</w:t>
                  </w:r>
                </w:p>
              </w:tc>
              <w:tc>
                <w:tcPr>
                  <w:tcW w:w="1444" w:type="dxa"/>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1.22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250</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0.000061</w:t>
                  </w:r>
                </w:p>
              </w:tc>
              <w:tc>
                <w:tcPr>
                  <w:tcW w:w="1460"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0.61</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0.00227</w:t>
                  </w:r>
                </w:p>
              </w:tc>
              <w:tc>
                <w:tcPr>
                  <w:tcW w:w="1444" w:type="dxa"/>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1.13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275</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0.0000588</w:t>
                  </w:r>
                </w:p>
              </w:tc>
              <w:tc>
                <w:tcPr>
                  <w:tcW w:w="1460"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0.59</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0.00218</w:t>
                  </w:r>
                </w:p>
              </w:tc>
              <w:tc>
                <w:tcPr>
                  <w:tcW w:w="1444" w:type="dxa"/>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1.09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300</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0.000057</w:t>
                  </w:r>
                </w:p>
              </w:tc>
              <w:tc>
                <w:tcPr>
                  <w:tcW w:w="1460"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0.57</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0.00212</w:t>
                  </w:r>
                </w:p>
              </w:tc>
              <w:tc>
                <w:tcPr>
                  <w:tcW w:w="1444" w:type="dxa"/>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1.06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325</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0.0000554</w:t>
                  </w:r>
                </w:p>
              </w:tc>
              <w:tc>
                <w:tcPr>
                  <w:tcW w:w="1460"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0.55</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0.00206</w:t>
                  </w:r>
                </w:p>
              </w:tc>
              <w:tc>
                <w:tcPr>
                  <w:tcW w:w="1444" w:type="dxa"/>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1.03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350</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0.000054</w:t>
                  </w:r>
                </w:p>
              </w:tc>
              <w:tc>
                <w:tcPr>
                  <w:tcW w:w="1460"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0.54</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0.00201</w:t>
                  </w:r>
                </w:p>
              </w:tc>
              <w:tc>
                <w:tcPr>
                  <w:tcW w:w="1444" w:type="dxa"/>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375</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0.0000528</w:t>
                  </w:r>
                </w:p>
              </w:tc>
              <w:tc>
                <w:tcPr>
                  <w:tcW w:w="1460"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0.53</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0.00196</w:t>
                  </w:r>
                </w:p>
              </w:tc>
              <w:tc>
                <w:tcPr>
                  <w:tcW w:w="1444" w:type="dxa"/>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0.98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400</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0.0000516</w:t>
                  </w:r>
                </w:p>
              </w:tc>
              <w:tc>
                <w:tcPr>
                  <w:tcW w:w="1460"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0.52</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0.00192</w:t>
                  </w:r>
                </w:p>
              </w:tc>
              <w:tc>
                <w:tcPr>
                  <w:tcW w:w="1444" w:type="dxa"/>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425</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0.0000506</w:t>
                  </w:r>
                </w:p>
              </w:tc>
              <w:tc>
                <w:tcPr>
                  <w:tcW w:w="1460"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0.51</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0.00188</w:t>
                  </w:r>
                </w:p>
              </w:tc>
              <w:tc>
                <w:tcPr>
                  <w:tcW w:w="1444" w:type="dxa"/>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0.94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450</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0.0000498</w:t>
                  </w:r>
                </w:p>
              </w:tc>
              <w:tc>
                <w:tcPr>
                  <w:tcW w:w="1460"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0.5</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0.00185</w:t>
                  </w:r>
                </w:p>
              </w:tc>
              <w:tc>
                <w:tcPr>
                  <w:tcW w:w="1444" w:type="dxa"/>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0.93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475</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0.0000489</w:t>
                  </w:r>
                </w:p>
              </w:tc>
              <w:tc>
                <w:tcPr>
                  <w:tcW w:w="1460"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0.49</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0.00182</w:t>
                  </w:r>
                </w:p>
              </w:tc>
              <w:tc>
                <w:tcPr>
                  <w:tcW w:w="1444" w:type="dxa"/>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0.91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500</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0.0000481</w:t>
                  </w:r>
                </w:p>
              </w:tc>
              <w:tc>
                <w:tcPr>
                  <w:tcW w:w="1460"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0.48</w:t>
                  </w:r>
                </w:p>
              </w:tc>
              <w:tc>
                <w:tcPr>
                  <w:tcW w:w="1982" w:type="dxa"/>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0.00179</w:t>
                  </w:r>
                </w:p>
              </w:tc>
              <w:tc>
                <w:tcPr>
                  <w:tcW w:w="1444" w:type="dxa"/>
                  <w:tcBorders>
                    <w:top w:val="single" w:color="auto" w:sz="6" w:space="0"/>
                    <w:left w:val="nil"/>
                    <w:bottom w:val="single" w:color="auto" w:sz="6" w:space="0"/>
                    <w:right w:val="nil"/>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0.89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6"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rPr>
                    <w:t>下风向最大质量浓度及占标率</w:t>
                  </w:r>
                </w:p>
              </w:tc>
              <w:tc>
                <w:tcPr>
                  <w:tcW w:w="1106" w:type="pct"/>
                  <w:tcBorders>
                    <w:top w:val="single" w:color="auto" w:sz="6" w:space="0"/>
                    <w:left w:val="nil"/>
                    <w:bottom w:val="single" w:color="auto" w:sz="6" w:space="0"/>
                    <w:right w:val="single" w:color="auto" w:sz="6" w:space="0"/>
                  </w:tcBorders>
                  <w:shd w:val="clear" w:color="auto" w:fill="FFFFFF"/>
                  <w:vAlign w:val="center"/>
                </w:tcPr>
                <w:p>
                  <w:pPr>
                    <w:snapToGrid w:val="0"/>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0.000363</w:t>
                  </w:r>
                </w:p>
              </w:tc>
              <w:tc>
                <w:tcPr>
                  <w:tcW w:w="814" w:type="pct"/>
                  <w:tcBorders>
                    <w:top w:val="single" w:color="auto" w:sz="6" w:space="0"/>
                    <w:left w:val="nil"/>
                    <w:bottom w:val="single" w:color="auto" w:sz="6" w:space="0"/>
                    <w:right w:val="single" w:color="auto" w:sz="6" w:space="0"/>
                  </w:tcBorders>
                  <w:shd w:val="clear" w:color="auto" w:fill="FFFFFF"/>
                  <w:vAlign w:val="center"/>
                </w:tcPr>
                <w:p>
                  <w:pPr>
                    <w:snapToGrid w:val="0"/>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3.63</w:t>
                  </w:r>
                </w:p>
              </w:tc>
              <w:tc>
                <w:tcPr>
                  <w:tcW w:w="1106" w:type="pct"/>
                  <w:tcBorders>
                    <w:top w:val="single" w:color="auto" w:sz="6" w:space="0"/>
                    <w:left w:val="nil"/>
                    <w:bottom w:val="single" w:color="auto" w:sz="6" w:space="0"/>
                    <w:right w:val="single" w:color="auto" w:sz="6" w:space="0"/>
                  </w:tcBorders>
                  <w:shd w:val="clear" w:color="auto" w:fill="FFFFFF"/>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0.0135</w:t>
                  </w:r>
                </w:p>
              </w:tc>
              <w:tc>
                <w:tcPr>
                  <w:tcW w:w="805" w:type="pct"/>
                  <w:tcBorders>
                    <w:top w:val="single" w:color="auto" w:sz="6" w:space="0"/>
                    <w:left w:val="nil"/>
                    <w:bottom w:val="single" w:color="auto" w:sz="6" w:space="0"/>
                    <w:right w:val="nil"/>
                  </w:tcBorders>
                  <w:shd w:val="clear" w:color="auto" w:fill="FFFFFF"/>
                  <w:vAlign w:val="center"/>
                </w:tcPr>
                <w:p>
                  <w:pPr>
                    <w:snapToGrid w:val="0"/>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6.74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67" w:type="pct"/>
                  <w:tcBorders>
                    <w:top w:val="single" w:color="auto" w:sz="6" w:space="0"/>
                    <w:left w:val="nil"/>
                    <w:bottom w:val="single" w:color="auto" w:sz="12" w:space="0"/>
                    <w:right w:val="single" w:color="auto" w:sz="6" w:space="0"/>
                  </w:tcBorders>
                  <w:vAlign w:val="center"/>
                </w:tcPr>
                <w:p>
                  <w:pPr>
                    <w:snapToGrid w:val="0"/>
                    <w:jc w:val="center"/>
                    <w:rPr>
                      <w:rFonts w:hint="default" w:ascii="Times New Roman" w:hAnsi="Times New Roman" w:cs="Times New Roman"/>
                      <w:color w:val="auto"/>
                      <w:szCs w:val="22"/>
                    </w:rPr>
                  </w:pPr>
                  <w:r>
                    <w:rPr>
                      <w:rFonts w:hint="default" w:ascii="Times New Roman" w:hAnsi="Times New Roman" w:cs="Times New Roman"/>
                      <w:color w:val="auto"/>
                      <w:szCs w:val="22"/>
                    </w:rPr>
                    <w:t>D10%最远距离/m</w:t>
                  </w:r>
                </w:p>
              </w:tc>
              <w:tc>
                <w:tcPr>
                  <w:tcW w:w="3832" w:type="pct"/>
                  <w:gridSpan w:val="4"/>
                  <w:tcBorders>
                    <w:top w:val="single" w:color="auto" w:sz="6" w:space="0"/>
                    <w:left w:val="nil"/>
                    <w:bottom w:val="single" w:color="auto" w:sz="12" w:space="0"/>
                    <w:right w:val="nil"/>
                  </w:tcBorders>
                  <w:vAlign w:val="center"/>
                </w:tcPr>
                <w:p>
                  <w:pPr>
                    <w:snapToGrid w:val="0"/>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19</w:t>
                  </w:r>
                </w:p>
              </w:tc>
            </w:tr>
          </w:tbl>
          <w:p>
            <w:pPr>
              <w:rPr>
                <w:rFonts w:hint="default" w:ascii="Times New Roman" w:hAnsi="Times New Roman" w:cs="Times New Roman"/>
                <w:color w:val="auto"/>
                <w:kern w:val="2"/>
                <w:szCs w:val="21"/>
              </w:rPr>
            </w:pPr>
            <w:r>
              <w:rPr>
                <w:rFonts w:hint="default" w:ascii="Times New Roman" w:hAnsi="Times New Roman" w:cs="Times New Roman"/>
                <w:color w:val="auto"/>
              </w:rPr>
              <w:t xml:space="preserve"> </w:t>
            </w:r>
          </w:p>
          <w:p>
            <w:pPr>
              <w:pStyle w:val="41"/>
              <w:snapToGrid w:val="0"/>
              <w:spacing w:line="360" w:lineRule="auto"/>
              <w:ind w:firstLine="482"/>
              <w:rPr>
                <w:rFonts w:hint="default" w:ascii="Times New Roman" w:hAnsi="Times New Roman" w:eastAsia="PMingLiU" w:cs="Times New Roman"/>
                <w:b/>
                <w:color w:val="auto"/>
                <w:lang w:val="zh-TW"/>
              </w:rPr>
            </w:pPr>
            <w:bookmarkStart w:id="24" w:name="_Hlk536015546"/>
            <w:r>
              <w:rPr>
                <w:rFonts w:hint="default" w:ascii="Times New Roman" w:hAnsi="Times New Roman" w:cs="Times New Roman"/>
                <w:color w:val="auto"/>
                <w:lang w:val="zh-TW"/>
              </w:rPr>
              <w:t>本项目Pmax=</w:t>
            </w:r>
            <w:r>
              <w:rPr>
                <w:rFonts w:hint="default" w:ascii="Times New Roman" w:hAnsi="Times New Roman" w:cs="Times New Roman"/>
                <w:color w:val="auto"/>
                <w:lang w:val="en-US" w:eastAsia="zh-CN"/>
              </w:rPr>
              <w:t>6.74</w:t>
            </w:r>
            <w:r>
              <w:rPr>
                <w:rFonts w:hint="default" w:ascii="Times New Roman" w:hAnsi="Times New Roman" w:cs="Times New Roman"/>
                <w:color w:val="auto"/>
              </w:rPr>
              <w:t>%</w:t>
            </w:r>
            <w:r>
              <w:rPr>
                <w:rFonts w:hint="default" w:ascii="Times New Roman" w:hAnsi="Times New Roman" w:cs="Times New Roman"/>
                <w:color w:val="auto"/>
                <w:lang w:val="zh-TW"/>
              </w:rPr>
              <w:t>﹤1</w:t>
            </w:r>
            <w:r>
              <w:rPr>
                <w:rFonts w:hint="default" w:ascii="Times New Roman" w:hAnsi="Times New Roman" w:cs="Times New Roman"/>
                <w:color w:val="auto"/>
              </w:rPr>
              <w:t>0</w:t>
            </w:r>
            <w:r>
              <w:rPr>
                <w:rFonts w:hint="default" w:ascii="Times New Roman" w:hAnsi="Times New Roman" w:cs="Times New Roman"/>
                <w:color w:val="auto"/>
                <w:lang w:val="zh-TW"/>
              </w:rPr>
              <w:t>%，大气环境影响评价等级为</w:t>
            </w:r>
            <w:r>
              <w:rPr>
                <w:rFonts w:hint="default" w:ascii="Times New Roman" w:hAnsi="Times New Roman" w:cs="Times New Roman"/>
                <w:color w:val="auto"/>
              </w:rPr>
              <w:t>二</w:t>
            </w:r>
            <w:r>
              <w:rPr>
                <w:rFonts w:hint="default" w:ascii="Times New Roman" w:hAnsi="Times New Roman" w:cs="Times New Roman"/>
                <w:color w:val="auto"/>
                <w:lang w:val="zh-TW"/>
              </w:rPr>
              <w:t>级，根据《环境影响评价技术导则 大气环境》（HJ2.2-2018），本项目大气环境影响评价范围为边长5km的矩形区域，不进行进一步预测。</w:t>
            </w:r>
          </w:p>
          <w:bookmarkEnd w:id="24"/>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（6）大气环境防护距离</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依据《环境影响评价技术导则大气环境》（HJ2.2-2018）中“对于项目厂界浓度超过环境质量限值的，可以自厂界向外设置一定范围的大气环境防护区域，以确保大气环境防护区域外的污染物贡献浓度满足环境质量标准”，本项目各污染物厂界浓度均不超过环境质量限值，无需设置大气环境防护距离。</w:t>
            </w: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（7）非正常工况排放量核算</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本项目非正常排放量核算表见下表：</w:t>
            </w:r>
          </w:p>
          <w:p>
            <w:pPr>
              <w:adjustRightInd/>
              <w:spacing w:line="240" w:lineRule="auto"/>
              <w:jc w:val="center"/>
              <w:textAlignment w:val="auto"/>
              <w:rPr>
                <w:rFonts w:hint="default" w:ascii="Times New Roman" w:hAnsi="Times New Roman" w:cs="Times New Roman"/>
                <w:b/>
                <w:color w:val="auto"/>
                <w:kern w:val="2"/>
                <w:sz w:val="24"/>
                <w:szCs w:val="24"/>
              </w:rPr>
            </w:pPr>
            <w:r>
              <w:rPr>
                <w:rFonts w:hint="default" w:ascii="Times New Roman" w:hAnsi="Times New Roman" w:cs="Times New Roman"/>
                <w:b/>
                <w:color w:val="auto"/>
                <w:kern w:val="2"/>
                <w:sz w:val="24"/>
                <w:szCs w:val="24"/>
              </w:rPr>
              <w:t>表7-</w:t>
            </w:r>
            <w:r>
              <w:rPr>
                <w:rFonts w:hint="default" w:ascii="Times New Roman" w:hAnsi="Times New Roman" w:cs="Times New Roman"/>
                <w:b/>
                <w:color w:val="auto"/>
                <w:kern w:val="2"/>
                <w:sz w:val="24"/>
                <w:szCs w:val="24"/>
                <w:lang w:val="en-US" w:eastAsia="zh-CN"/>
              </w:rPr>
              <w:t>8</w:t>
            </w:r>
            <w:r>
              <w:rPr>
                <w:rFonts w:hint="default" w:ascii="Times New Roman" w:hAnsi="Times New Roman" w:cs="Times New Roman"/>
                <w:b/>
                <w:color w:val="auto"/>
                <w:kern w:val="2"/>
                <w:sz w:val="24"/>
                <w:szCs w:val="24"/>
              </w:rPr>
              <w:t>污染源非正常排放量核算表</w:t>
            </w:r>
          </w:p>
          <w:tbl>
            <w:tblPr>
              <w:tblStyle w:val="33"/>
              <w:tblW w:w="8650" w:type="dxa"/>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24"/>
              <w:gridCol w:w="1242"/>
              <w:gridCol w:w="669"/>
              <w:gridCol w:w="1195"/>
              <w:gridCol w:w="1229"/>
              <w:gridCol w:w="1090"/>
              <w:gridCol w:w="1161"/>
              <w:gridCol w:w="9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9" w:hRule="atLeast"/>
              </w:trPr>
              <w:tc>
                <w:tcPr>
                  <w:tcW w:w="427" w:type="dxa"/>
                  <w:vAlign w:val="center"/>
                </w:tcPr>
                <w:p>
                  <w:pPr>
                    <w:pStyle w:val="106"/>
                    <w:spacing w:line="240" w:lineRule="auto"/>
                    <w:rPr>
                      <w:rFonts w:hint="default" w:ascii="Times New Roman" w:hAnsi="Times New Roman" w:cs="Times New Roman"/>
                      <w:color w:val="auto"/>
                    </w:rPr>
                  </w:pPr>
                  <w:r>
                    <w:rPr>
                      <w:rFonts w:hint="default" w:ascii="Times New Roman" w:hAnsi="Times New Roman" w:cs="Times New Roman"/>
                      <w:color w:val="auto"/>
                    </w:rPr>
                    <w:t>序号</w:t>
                  </w:r>
                </w:p>
              </w:tc>
              <w:tc>
                <w:tcPr>
                  <w:tcW w:w="728" w:type="dxa"/>
                  <w:vAlign w:val="center"/>
                </w:tcPr>
                <w:p>
                  <w:pPr>
                    <w:pStyle w:val="106"/>
                    <w:spacing w:line="240" w:lineRule="auto"/>
                    <w:rPr>
                      <w:rFonts w:hint="default" w:ascii="Times New Roman" w:hAnsi="Times New Roman" w:cs="Times New Roman"/>
                      <w:color w:val="auto"/>
                    </w:rPr>
                  </w:pPr>
                  <w:r>
                    <w:rPr>
                      <w:rFonts w:hint="default" w:ascii="Times New Roman" w:hAnsi="Times New Roman" w:cs="Times New Roman"/>
                      <w:color w:val="auto"/>
                    </w:rPr>
                    <w:t>污染源</w:t>
                  </w:r>
                </w:p>
              </w:tc>
              <w:tc>
                <w:tcPr>
                  <w:tcW w:w="1250" w:type="dxa"/>
                  <w:vAlign w:val="center"/>
                </w:tcPr>
                <w:p>
                  <w:pPr>
                    <w:pStyle w:val="106"/>
                    <w:spacing w:line="240" w:lineRule="auto"/>
                    <w:rPr>
                      <w:rFonts w:hint="default" w:ascii="Times New Roman" w:hAnsi="Times New Roman" w:cs="Times New Roman"/>
                      <w:color w:val="auto"/>
                    </w:rPr>
                  </w:pPr>
                  <w:r>
                    <w:rPr>
                      <w:rFonts w:hint="default" w:ascii="Times New Roman" w:hAnsi="Times New Roman" w:cs="Times New Roman"/>
                      <w:color w:val="auto"/>
                    </w:rPr>
                    <w:t>非正常排放原因</w:t>
                  </w:r>
                </w:p>
              </w:tc>
              <w:tc>
                <w:tcPr>
                  <w:tcW w:w="670" w:type="dxa"/>
                  <w:vAlign w:val="center"/>
                </w:tcPr>
                <w:p>
                  <w:pPr>
                    <w:pStyle w:val="106"/>
                    <w:spacing w:line="240" w:lineRule="auto"/>
                    <w:rPr>
                      <w:rFonts w:hint="default" w:ascii="Times New Roman" w:hAnsi="Times New Roman" w:cs="Times New Roman"/>
                      <w:color w:val="auto"/>
                    </w:rPr>
                  </w:pPr>
                  <w:r>
                    <w:rPr>
                      <w:rFonts w:hint="default" w:ascii="Times New Roman" w:hAnsi="Times New Roman" w:cs="Times New Roman"/>
                      <w:color w:val="auto"/>
                    </w:rPr>
                    <w:t>污染物</w:t>
                  </w:r>
                </w:p>
              </w:tc>
              <w:tc>
                <w:tcPr>
                  <w:tcW w:w="1154" w:type="dxa"/>
                  <w:vAlign w:val="center"/>
                </w:tcPr>
                <w:p>
                  <w:pPr>
                    <w:pStyle w:val="106"/>
                    <w:spacing w:line="240" w:lineRule="auto"/>
                    <w:rPr>
                      <w:rFonts w:hint="default" w:ascii="Times New Roman" w:hAnsi="Times New Roman" w:cs="Times New Roman"/>
                      <w:color w:val="auto"/>
                    </w:rPr>
                  </w:pPr>
                  <w:r>
                    <w:rPr>
                      <w:rFonts w:hint="default" w:ascii="Times New Roman" w:hAnsi="Times New Roman" w:cs="Times New Roman"/>
                      <w:color w:val="auto"/>
                    </w:rPr>
                    <w:t>非正常排放浓度/（mg/m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1232" w:type="dxa"/>
                  <w:vAlign w:val="center"/>
                </w:tcPr>
                <w:p>
                  <w:pPr>
                    <w:pStyle w:val="106"/>
                    <w:spacing w:line="240" w:lineRule="auto"/>
                    <w:rPr>
                      <w:rFonts w:hint="default" w:ascii="Times New Roman" w:hAnsi="Times New Roman" w:cs="Times New Roman"/>
                      <w:color w:val="auto"/>
                    </w:rPr>
                  </w:pPr>
                  <w:r>
                    <w:rPr>
                      <w:rFonts w:hint="default" w:ascii="Times New Roman" w:hAnsi="Times New Roman" w:cs="Times New Roman"/>
                      <w:color w:val="auto"/>
                    </w:rPr>
                    <w:t>非正常排放速率（kg/h）</w:t>
                  </w:r>
                </w:p>
              </w:tc>
              <w:tc>
                <w:tcPr>
                  <w:tcW w:w="1099" w:type="dxa"/>
                  <w:vAlign w:val="center"/>
                </w:tcPr>
                <w:p>
                  <w:pPr>
                    <w:pStyle w:val="106"/>
                    <w:spacing w:line="240" w:lineRule="auto"/>
                    <w:rPr>
                      <w:rFonts w:hint="default" w:ascii="Times New Roman" w:hAnsi="Times New Roman" w:cs="Times New Roman"/>
                      <w:color w:val="auto"/>
                    </w:rPr>
                  </w:pPr>
                  <w:r>
                    <w:rPr>
                      <w:rFonts w:hint="default" w:ascii="Times New Roman" w:hAnsi="Times New Roman" w:cs="Times New Roman"/>
                      <w:color w:val="auto"/>
                    </w:rPr>
                    <w:t>单次持续时间/h</w:t>
                  </w:r>
                </w:p>
              </w:tc>
              <w:tc>
                <w:tcPr>
                  <w:tcW w:w="1171" w:type="dxa"/>
                  <w:vAlign w:val="center"/>
                </w:tcPr>
                <w:p>
                  <w:pPr>
                    <w:pStyle w:val="106"/>
                    <w:spacing w:line="240" w:lineRule="auto"/>
                    <w:rPr>
                      <w:rFonts w:hint="default" w:ascii="Times New Roman" w:hAnsi="Times New Roman" w:cs="Times New Roman"/>
                      <w:color w:val="auto"/>
                    </w:rPr>
                  </w:pPr>
                  <w:r>
                    <w:rPr>
                      <w:rFonts w:hint="default" w:ascii="Times New Roman" w:hAnsi="Times New Roman" w:cs="Times New Roman"/>
                      <w:color w:val="auto"/>
                    </w:rPr>
                    <w:t>年发生频次/次</w:t>
                  </w:r>
                </w:p>
              </w:tc>
              <w:tc>
                <w:tcPr>
                  <w:tcW w:w="919" w:type="dxa"/>
                  <w:vAlign w:val="center"/>
                </w:tcPr>
                <w:p>
                  <w:pPr>
                    <w:pStyle w:val="106"/>
                    <w:spacing w:line="240" w:lineRule="auto"/>
                    <w:rPr>
                      <w:rFonts w:hint="default" w:ascii="Times New Roman" w:hAnsi="Times New Roman" w:cs="Times New Roman"/>
                      <w:color w:val="auto"/>
                    </w:rPr>
                  </w:pPr>
                  <w:r>
                    <w:rPr>
                      <w:rFonts w:hint="default" w:ascii="Times New Roman" w:hAnsi="Times New Roman" w:cs="Times New Roman"/>
                      <w:color w:val="auto"/>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427" w:type="dxa"/>
                  <w:vMerge w:val="restart"/>
                  <w:vAlign w:val="center"/>
                </w:tcPr>
                <w:p>
                  <w:pPr>
                    <w:pStyle w:val="106"/>
                    <w:spacing w:line="240" w:lineRule="auto"/>
                    <w:rPr>
                      <w:rFonts w:hint="default" w:ascii="Times New Roman" w:hAnsi="Times New Roman" w:cs="Times New Roman"/>
                      <w:color w:val="auto"/>
                    </w:rPr>
                  </w:pPr>
                  <w:r>
                    <w:rPr>
                      <w:rFonts w:hint="default" w:ascii="Times New Roman" w:hAnsi="Times New Roman" w:cs="Times New Roman"/>
                      <w:color w:val="auto"/>
                    </w:rPr>
                    <w:t>1</w:t>
                  </w:r>
                </w:p>
              </w:tc>
              <w:tc>
                <w:tcPr>
                  <w:tcW w:w="728" w:type="dxa"/>
                  <w:vMerge w:val="restart"/>
                  <w:vAlign w:val="center"/>
                </w:tcPr>
                <w:p>
                  <w:pPr>
                    <w:pStyle w:val="106"/>
                    <w:spacing w:line="240" w:lineRule="auto"/>
                    <w:rPr>
                      <w:rFonts w:hint="default" w:ascii="Times New Roman" w:hAnsi="Times New Roman" w:cs="Times New Roman"/>
                      <w:color w:val="auto"/>
                    </w:rPr>
                  </w:pPr>
                  <w:r>
                    <w:rPr>
                      <w:rFonts w:hint="default" w:ascii="Times New Roman" w:hAnsi="Times New Roman" w:cs="Times New Roman"/>
                      <w:color w:val="auto"/>
                    </w:rPr>
                    <w:t>有组织废气</w:t>
                  </w:r>
                </w:p>
              </w:tc>
              <w:tc>
                <w:tcPr>
                  <w:tcW w:w="1250" w:type="dxa"/>
                  <w:vMerge w:val="restart"/>
                  <w:vAlign w:val="center"/>
                </w:tcPr>
                <w:p>
                  <w:pPr>
                    <w:pStyle w:val="106"/>
                    <w:spacing w:line="240" w:lineRule="auto"/>
                    <w:rPr>
                      <w:rFonts w:hint="default" w:ascii="Times New Roman" w:hAnsi="Times New Roman" w:cs="Times New Roman"/>
                      <w:color w:val="auto"/>
                    </w:rPr>
                  </w:pPr>
                  <w:r>
                    <w:rPr>
                      <w:rFonts w:hint="default" w:ascii="Times New Roman" w:hAnsi="Times New Roman" w:cs="Times New Roman"/>
                      <w:color w:val="auto"/>
                    </w:rPr>
                    <w:t>除臭设施发生故障（无除臭功能）</w:t>
                  </w:r>
                </w:p>
              </w:tc>
              <w:tc>
                <w:tcPr>
                  <w:tcW w:w="670" w:type="dxa"/>
                  <w:vAlign w:val="center"/>
                </w:tcPr>
                <w:p>
                  <w:pPr>
                    <w:pStyle w:val="106"/>
                    <w:spacing w:line="240" w:lineRule="auto"/>
                    <w:rPr>
                      <w:rFonts w:hint="default" w:ascii="Times New Roman" w:hAnsi="Times New Roman" w:cs="Times New Roman"/>
                      <w:color w:val="auto"/>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p>
              </w:tc>
              <w:tc>
                <w:tcPr>
                  <w:tcW w:w="1154" w:type="dxa"/>
                  <w:vAlign w:val="center"/>
                </w:tcPr>
                <w:p>
                  <w:pPr>
                    <w:pStyle w:val="106"/>
                    <w:spacing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17.3</w:t>
                  </w:r>
                </w:p>
              </w:tc>
              <w:tc>
                <w:tcPr>
                  <w:tcW w:w="1232" w:type="dxa"/>
                  <w:vAlign w:val="center"/>
                </w:tcPr>
                <w:p>
                  <w:pPr>
                    <w:pStyle w:val="106"/>
                    <w:spacing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0.052</w:t>
                  </w:r>
                </w:p>
              </w:tc>
              <w:tc>
                <w:tcPr>
                  <w:tcW w:w="1099" w:type="dxa"/>
                  <w:vAlign w:val="center"/>
                </w:tcPr>
                <w:p>
                  <w:pPr>
                    <w:pStyle w:val="106"/>
                    <w:spacing w:line="240" w:lineRule="auto"/>
                    <w:rPr>
                      <w:rFonts w:hint="default" w:ascii="Times New Roman" w:hAnsi="Times New Roman" w:cs="Times New Roman"/>
                      <w:color w:val="auto"/>
                    </w:rPr>
                  </w:pPr>
                  <w:r>
                    <w:rPr>
                      <w:rFonts w:hint="default" w:ascii="Times New Roman" w:hAnsi="Times New Roman" w:cs="Times New Roman"/>
                      <w:color w:val="auto"/>
                    </w:rPr>
                    <w:t>1</w:t>
                  </w:r>
                </w:p>
              </w:tc>
              <w:tc>
                <w:tcPr>
                  <w:tcW w:w="1171" w:type="dxa"/>
                  <w:vAlign w:val="center"/>
                </w:tcPr>
                <w:p>
                  <w:pPr>
                    <w:pStyle w:val="106"/>
                    <w:spacing w:line="240" w:lineRule="auto"/>
                    <w:rPr>
                      <w:rFonts w:hint="default" w:ascii="Times New Roman" w:hAnsi="Times New Roman" w:cs="Times New Roman"/>
                      <w:color w:val="auto"/>
                    </w:rPr>
                  </w:pPr>
                  <w:r>
                    <w:rPr>
                      <w:rFonts w:hint="default" w:ascii="Times New Roman" w:hAnsi="Times New Roman" w:cs="Times New Roman"/>
                      <w:color w:val="auto"/>
                    </w:rPr>
                    <w:t>1次/年</w:t>
                  </w:r>
                </w:p>
              </w:tc>
              <w:tc>
                <w:tcPr>
                  <w:tcW w:w="919" w:type="dxa"/>
                  <w:vAlign w:val="center"/>
                </w:tcPr>
                <w:p>
                  <w:pPr>
                    <w:pStyle w:val="106"/>
                    <w:spacing w:line="240" w:lineRule="auto"/>
                    <w:rPr>
                      <w:rFonts w:hint="default" w:ascii="Times New Roman" w:hAnsi="Times New Roman" w:cs="Times New Roman"/>
                      <w:color w:val="auto"/>
                    </w:rPr>
                  </w:pPr>
                  <w:r>
                    <w:rPr>
                      <w:rFonts w:hint="default" w:ascii="Times New Roman" w:hAnsi="Times New Roman" w:cs="Times New Roman"/>
                      <w:color w:val="auto"/>
                    </w:rPr>
                    <w:t>加强</w:t>
                  </w:r>
                </w:p>
                <w:p>
                  <w:pPr>
                    <w:pStyle w:val="106"/>
                    <w:spacing w:line="240" w:lineRule="auto"/>
                    <w:rPr>
                      <w:rFonts w:hint="default" w:ascii="Times New Roman" w:hAnsi="Times New Roman" w:cs="Times New Roman"/>
                      <w:color w:val="auto"/>
                    </w:rPr>
                  </w:pPr>
                  <w:r>
                    <w:rPr>
                      <w:rFonts w:hint="default" w:ascii="Times New Roman" w:hAnsi="Times New Roman" w:cs="Times New Roman"/>
                      <w:color w:val="auto"/>
                    </w:rPr>
                    <w:t>监管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427" w:type="dxa"/>
                  <w:vMerge w:val="continue"/>
                  <w:vAlign w:val="center"/>
                </w:tcPr>
                <w:p>
                  <w:pPr>
                    <w:pStyle w:val="106"/>
                    <w:spacing w:line="240" w:lineRule="auto"/>
                    <w:rPr>
                      <w:rFonts w:hint="default" w:ascii="Times New Roman" w:hAnsi="Times New Roman" w:cs="Times New Roman"/>
                      <w:color w:val="auto"/>
                    </w:rPr>
                  </w:pPr>
                </w:p>
              </w:tc>
              <w:tc>
                <w:tcPr>
                  <w:tcW w:w="728" w:type="dxa"/>
                  <w:vMerge w:val="continue"/>
                  <w:vAlign w:val="center"/>
                </w:tcPr>
                <w:p>
                  <w:pPr>
                    <w:pStyle w:val="106"/>
                    <w:spacing w:line="240" w:lineRule="auto"/>
                    <w:rPr>
                      <w:rFonts w:hint="default" w:ascii="Times New Roman" w:hAnsi="Times New Roman" w:cs="Times New Roman"/>
                      <w:color w:val="auto"/>
                    </w:rPr>
                  </w:pPr>
                </w:p>
              </w:tc>
              <w:tc>
                <w:tcPr>
                  <w:tcW w:w="1250" w:type="dxa"/>
                  <w:vMerge w:val="continue"/>
                  <w:vAlign w:val="center"/>
                </w:tcPr>
                <w:p>
                  <w:pPr>
                    <w:pStyle w:val="106"/>
                    <w:spacing w:line="240" w:lineRule="auto"/>
                    <w:rPr>
                      <w:rFonts w:hint="default" w:ascii="Times New Roman" w:hAnsi="Times New Roman" w:cs="Times New Roman"/>
                      <w:color w:val="auto"/>
                    </w:rPr>
                  </w:pPr>
                </w:p>
              </w:tc>
              <w:tc>
                <w:tcPr>
                  <w:tcW w:w="670" w:type="dxa"/>
                  <w:vAlign w:val="center"/>
                </w:tcPr>
                <w:p>
                  <w:pPr>
                    <w:pStyle w:val="106"/>
                    <w:spacing w:line="240" w:lineRule="auto"/>
                    <w:rPr>
                      <w:rFonts w:hint="default" w:ascii="Times New Roman" w:hAnsi="Times New Roman" w:cs="Times New Roman"/>
                      <w:color w:val="auto"/>
                    </w:rPr>
                  </w:pP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p>
              </w:tc>
              <w:tc>
                <w:tcPr>
                  <w:tcW w:w="1154" w:type="dxa"/>
                  <w:vAlign w:val="center"/>
                </w:tcPr>
                <w:p>
                  <w:pPr>
                    <w:pStyle w:val="106"/>
                    <w:spacing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0.47</w:t>
                  </w:r>
                </w:p>
              </w:tc>
              <w:tc>
                <w:tcPr>
                  <w:tcW w:w="1232" w:type="dxa"/>
                  <w:vAlign w:val="center"/>
                </w:tcPr>
                <w:p>
                  <w:pPr>
                    <w:pStyle w:val="106"/>
                    <w:spacing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0.0014</w:t>
                  </w:r>
                </w:p>
              </w:tc>
              <w:tc>
                <w:tcPr>
                  <w:tcW w:w="1099" w:type="dxa"/>
                  <w:vAlign w:val="center"/>
                </w:tcPr>
                <w:p>
                  <w:pPr>
                    <w:pStyle w:val="106"/>
                    <w:spacing w:line="240" w:lineRule="auto"/>
                    <w:rPr>
                      <w:rFonts w:hint="default" w:ascii="Times New Roman" w:hAnsi="Times New Roman" w:cs="Times New Roman"/>
                      <w:color w:val="auto"/>
                    </w:rPr>
                  </w:pPr>
                  <w:r>
                    <w:rPr>
                      <w:rFonts w:hint="default" w:ascii="Times New Roman" w:hAnsi="Times New Roman" w:cs="Times New Roman"/>
                      <w:color w:val="auto"/>
                    </w:rPr>
                    <w:t>1</w:t>
                  </w:r>
                </w:p>
              </w:tc>
              <w:tc>
                <w:tcPr>
                  <w:tcW w:w="1171" w:type="dxa"/>
                  <w:vAlign w:val="center"/>
                </w:tcPr>
                <w:p>
                  <w:pPr>
                    <w:pStyle w:val="106"/>
                    <w:spacing w:line="240" w:lineRule="auto"/>
                    <w:rPr>
                      <w:rFonts w:hint="default" w:ascii="Times New Roman" w:hAnsi="Times New Roman" w:cs="Times New Roman"/>
                      <w:color w:val="auto"/>
                    </w:rPr>
                  </w:pPr>
                  <w:r>
                    <w:rPr>
                      <w:rFonts w:hint="default" w:ascii="Times New Roman" w:hAnsi="Times New Roman" w:cs="Times New Roman"/>
                      <w:color w:val="auto"/>
                    </w:rPr>
                    <w:t>1次/年</w:t>
                  </w:r>
                </w:p>
              </w:tc>
              <w:tc>
                <w:tcPr>
                  <w:tcW w:w="919" w:type="dxa"/>
                  <w:vAlign w:val="center"/>
                </w:tcPr>
                <w:p>
                  <w:pPr>
                    <w:pStyle w:val="106"/>
                    <w:spacing w:line="240" w:lineRule="auto"/>
                    <w:rPr>
                      <w:rFonts w:hint="default" w:ascii="Times New Roman" w:hAnsi="Times New Roman" w:cs="Times New Roman"/>
                      <w:color w:val="auto"/>
                    </w:rPr>
                  </w:pPr>
                  <w:r>
                    <w:rPr>
                      <w:rFonts w:hint="default" w:ascii="Times New Roman" w:hAnsi="Times New Roman" w:cs="Times New Roman"/>
                      <w:color w:val="auto"/>
                    </w:rPr>
                    <w:t>加强</w:t>
                  </w:r>
                </w:p>
                <w:p>
                  <w:pPr>
                    <w:pStyle w:val="106"/>
                    <w:spacing w:line="240" w:lineRule="auto"/>
                    <w:rPr>
                      <w:rFonts w:hint="default" w:ascii="Times New Roman" w:hAnsi="Times New Roman" w:cs="Times New Roman"/>
                      <w:color w:val="auto"/>
                    </w:rPr>
                  </w:pPr>
                  <w:r>
                    <w:rPr>
                      <w:rFonts w:hint="default" w:ascii="Times New Roman" w:hAnsi="Times New Roman" w:cs="Times New Roman"/>
                      <w:color w:val="auto"/>
                    </w:rPr>
                    <w:t>监管</w:t>
                  </w:r>
                </w:p>
              </w:tc>
            </w:tr>
          </w:tbl>
          <w:p>
            <w:pPr>
              <w:pStyle w:val="41"/>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2"/>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8</w:t>
            </w:r>
            <w:r>
              <w:rPr>
                <w:rFonts w:hint="default" w:ascii="Times New Roman" w:hAnsi="Times New Roman" w:cs="Times New Roman"/>
                <w:color w:val="auto"/>
                <w:lang w:eastAsia="zh-CN"/>
              </w:rPr>
              <w:t>）</w:t>
            </w:r>
            <w:r>
              <w:rPr>
                <w:rFonts w:hint="default" w:ascii="Times New Roman" w:hAnsi="Times New Roman" w:cs="Times New Roman"/>
                <w:color w:val="auto"/>
              </w:rPr>
              <w:t>污染物排放量核算</w:t>
            </w:r>
          </w:p>
          <w:p>
            <w:pPr>
              <w:pStyle w:val="41"/>
              <w:snapToGrid w:val="0"/>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rPr>
              <w:t>根据《排污许可证申请与核发技术规范总则》（HJ942-2018），本项目有组织废气排放</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无组织废气排放</w:t>
            </w:r>
            <w:r>
              <w:rPr>
                <w:rFonts w:hint="default" w:ascii="Times New Roman" w:hAnsi="Times New Roman" w:cs="Times New Roman"/>
                <w:color w:val="auto"/>
              </w:rPr>
              <w:t>均属于一般排放口，无主要排放口。本项目大气污染物排放量核算见</w:t>
            </w:r>
            <w:r>
              <w:rPr>
                <w:rFonts w:hint="default" w:ascii="Times New Roman" w:hAnsi="Times New Roman" w:cs="Times New Roman"/>
                <w:color w:val="auto"/>
                <w:lang w:val="en-US" w:eastAsia="zh-CN"/>
              </w:rPr>
              <w:t>下表</w:t>
            </w:r>
            <w:r>
              <w:rPr>
                <w:rFonts w:hint="default" w:ascii="Times New Roman" w:hAnsi="Times New Roman" w:cs="Times New Roman"/>
                <w:color w:val="auto"/>
              </w:rPr>
              <w:t>。</w:t>
            </w:r>
          </w:p>
          <w:p>
            <w:pPr>
              <w:adjustRightInd w:val="0"/>
              <w:snapToGrid w:val="0"/>
              <w:ind w:firstLine="470" w:firstLineChars="196"/>
              <w:jc w:val="center"/>
              <w:rPr>
                <w:rFonts w:hint="default" w:ascii="Times New Roman" w:hAnsi="Times New Roman" w:cs="Times New Roman"/>
                <w:b/>
                <w:color w:val="auto"/>
                <w:sz w:val="24"/>
                <w:szCs w:val="24"/>
                <w:lang w:val="zh-CN"/>
              </w:rPr>
            </w:pPr>
            <w:r>
              <w:rPr>
                <w:rFonts w:hint="default" w:ascii="Times New Roman" w:hAnsi="Times New Roman" w:cs="Times New Roman"/>
                <w:b/>
                <w:color w:val="auto"/>
                <w:sz w:val="24"/>
                <w:szCs w:val="24"/>
                <w:lang w:val="zh-CN"/>
              </w:rPr>
              <w:t>表</w:t>
            </w:r>
            <w:r>
              <w:rPr>
                <w:rFonts w:hint="default" w:ascii="Times New Roman" w:hAnsi="Times New Roman" w:cs="Times New Roman"/>
                <w:b/>
                <w:color w:val="auto"/>
                <w:sz w:val="24"/>
                <w:szCs w:val="24"/>
                <w:lang w:val="en-US" w:eastAsia="zh-CN"/>
              </w:rPr>
              <w:t>7-9</w:t>
            </w:r>
            <w:r>
              <w:rPr>
                <w:rFonts w:hint="default" w:ascii="Times New Roman" w:hAnsi="Times New Roman" w:cs="Times New Roman"/>
                <w:b/>
                <w:color w:val="auto"/>
                <w:sz w:val="24"/>
                <w:szCs w:val="24"/>
                <w:lang w:val="zh-CN"/>
              </w:rPr>
              <w:t xml:space="preserve">    大气污染物有组织排放量核算表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014"/>
              <w:gridCol w:w="1395"/>
              <w:gridCol w:w="1652"/>
              <w:gridCol w:w="1651"/>
              <w:gridCol w:w="2101"/>
              <w:gridCol w:w="186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296" w:hRule="atLeast"/>
                <w:jc w:val="center"/>
              </w:trPr>
              <w:tc>
                <w:tcPr>
                  <w:tcW w:w="524" w:type="pct"/>
                  <w:noWrap w:val="0"/>
                  <w:vAlign w:val="center"/>
                </w:tcPr>
                <w:p>
                  <w:pPr>
                    <w:pStyle w:val="1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721" w:type="pct"/>
                  <w:noWrap w:val="0"/>
                  <w:vAlign w:val="center"/>
                </w:tcPr>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排放口编号</w:t>
                  </w:r>
                </w:p>
              </w:tc>
              <w:tc>
                <w:tcPr>
                  <w:tcW w:w="854" w:type="pct"/>
                  <w:noWrap w:val="0"/>
                  <w:vAlign w:val="center"/>
                </w:tcPr>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853" w:type="pct"/>
                  <w:noWrap w:val="0"/>
                  <w:vAlign w:val="center"/>
                </w:tcPr>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核算排放浓度</w:t>
                  </w:r>
                </w:p>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cs="Times New Roman"/>
                      <w:b/>
                      <w:bCs/>
                      <w:color w:val="auto"/>
                      <w:sz w:val="21"/>
                      <w:szCs w:val="21"/>
                      <w:vertAlign w:val="superscript"/>
                    </w:rPr>
                  </w:pPr>
                  <w:r>
                    <w:rPr>
                      <w:rFonts w:hint="default" w:ascii="Times New Roman" w:hAnsi="Times New Roman" w:cs="Times New Roman"/>
                      <w:b/>
                      <w:bCs/>
                      <w:color w:val="auto"/>
                      <w:sz w:val="21"/>
                      <w:szCs w:val="21"/>
                      <w:lang w:val="en-US" w:eastAsia="zh-CN"/>
                    </w:rPr>
                    <w:t>m</w:t>
                  </w:r>
                  <w:r>
                    <w:rPr>
                      <w:rFonts w:hint="default" w:ascii="Times New Roman" w:hAnsi="Times New Roman" w:cs="Times New Roman"/>
                      <w:b/>
                      <w:bCs/>
                      <w:color w:val="auto"/>
                      <w:sz w:val="21"/>
                      <w:szCs w:val="21"/>
                    </w:rPr>
                    <w:t>g/m</w:t>
                  </w:r>
                  <w:r>
                    <w:rPr>
                      <w:rFonts w:hint="default" w:ascii="Times New Roman" w:hAnsi="Times New Roman" w:cs="Times New Roman"/>
                      <w:b/>
                      <w:bCs/>
                      <w:color w:val="auto"/>
                      <w:sz w:val="21"/>
                      <w:szCs w:val="21"/>
                      <w:vertAlign w:val="superscript"/>
                    </w:rPr>
                    <w:t>3</w:t>
                  </w:r>
                </w:p>
              </w:tc>
              <w:tc>
                <w:tcPr>
                  <w:tcW w:w="1086" w:type="pct"/>
                  <w:noWrap w:val="0"/>
                  <w:vAlign w:val="center"/>
                </w:tcPr>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核算排放速率</w:t>
                  </w:r>
                </w:p>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kg/h</w:t>
                  </w:r>
                </w:p>
              </w:tc>
              <w:tc>
                <w:tcPr>
                  <w:tcW w:w="962" w:type="pct"/>
                  <w:noWrap w:val="0"/>
                  <w:vAlign w:val="center"/>
                </w:tcPr>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核算年排放量</w:t>
                  </w:r>
                </w:p>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t/a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3" w:hRule="atLeast"/>
                <w:jc w:val="center"/>
              </w:trPr>
              <w:tc>
                <w:tcPr>
                  <w:tcW w:w="5000" w:type="pct"/>
                  <w:gridSpan w:val="6"/>
                  <w:noWrap w:val="0"/>
                  <w:vAlign w:val="center"/>
                </w:tcPr>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一般排放口</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24" w:type="pct"/>
                  <w:vMerge w:val="restart"/>
                  <w:noWrap w:val="0"/>
                  <w:vAlign w:val="center"/>
                </w:tcPr>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21"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DA001</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垃圾渗滤液</w:t>
                  </w:r>
                  <w:r>
                    <w:rPr>
                      <w:rFonts w:hint="default" w:ascii="Times New Roman" w:hAnsi="Times New Roman" w:cs="Times New Roman"/>
                      <w:color w:val="auto"/>
                      <w:szCs w:val="21"/>
                    </w:rPr>
                    <w:t>处理</w:t>
                  </w:r>
                  <w:r>
                    <w:rPr>
                      <w:rFonts w:hint="default" w:ascii="Times New Roman" w:hAnsi="Times New Roman" w:cs="Times New Roman"/>
                      <w:color w:val="auto"/>
                      <w:szCs w:val="21"/>
                      <w:lang w:val="en-US" w:eastAsia="zh-CN"/>
                    </w:rPr>
                    <w:t>车间</w:t>
                  </w:r>
                </w:p>
              </w:tc>
              <w:tc>
                <w:tcPr>
                  <w:tcW w:w="854" w:type="pct"/>
                  <w:noWrap w:val="0"/>
                  <w:vAlign w:val="center"/>
                </w:tcPr>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w:t>
                  </w:r>
                </w:p>
              </w:tc>
              <w:tc>
                <w:tcPr>
                  <w:tcW w:w="853" w:type="pct"/>
                  <w:noWrap w:val="0"/>
                  <w:vAlign w:val="center"/>
                </w:tcPr>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微软雅黑" w:cs="Times New Roman"/>
                      <w:color w:val="auto"/>
                      <w:sz w:val="21"/>
                      <w:szCs w:val="21"/>
                      <w:lang w:val="en-US" w:eastAsia="zh-CN"/>
                    </w:rPr>
                  </w:pPr>
                  <w:r>
                    <w:rPr>
                      <w:rFonts w:hint="default" w:ascii="Times New Roman" w:hAnsi="Times New Roman" w:cs="Times New Roman"/>
                      <w:color w:val="auto"/>
                      <w:sz w:val="21"/>
                      <w:szCs w:val="21"/>
                      <w:lang w:val="en-US" w:eastAsia="zh-CN"/>
                    </w:rPr>
                    <w:t>0.04</w:t>
                  </w:r>
                </w:p>
              </w:tc>
              <w:tc>
                <w:tcPr>
                  <w:tcW w:w="1086" w:type="pct"/>
                  <w:noWrap w:val="0"/>
                  <w:vAlign w:val="center"/>
                </w:tcPr>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微软雅黑" w:cs="Times New Roman"/>
                      <w:color w:val="auto"/>
                      <w:sz w:val="21"/>
                      <w:szCs w:val="21"/>
                      <w:lang w:val="en-US" w:eastAsia="zh-CN"/>
                    </w:rPr>
                  </w:pPr>
                  <w:r>
                    <w:rPr>
                      <w:rFonts w:hint="default" w:ascii="Times New Roman" w:hAnsi="Times New Roman" w:cs="Times New Roman"/>
                      <w:color w:val="auto"/>
                      <w:sz w:val="21"/>
                      <w:szCs w:val="21"/>
                      <w:lang w:val="en-US" w:eastAsia="zh-CN"/>
                    </w:rPr>
                    <w:t>0.000112</w:t>
                  </w:r>
                </w:p>
              </w:tc>
              <w:tc>
                <w:tcPr>
                  <w:tcW w:w="962" w:type="pct"/>
                  <w:noWrap w:val="0"/>
                  <w:vAlign w:val="center"/>
                </w:tcPr>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微软雅黑" w:cs="Times New Roman"/>
                      <w:color w:val="auto"/>
                      <w:sz w:val="21"/>
                      <w:szCs w:val="21"/>
                      <w:lang w:val="en-US" w:eastAsia="zh-CN"/>
                    </w:rPr>
                  </w:pPr>
                  <w:r>
                    <w:rPr>
                      <w:rFonts w:hint="default" w:ascii="Times New Roman" w:hAnsi="Times New Roman" w:cs="Times New Roman"/>
                      <w:color w:val="auto"/>
                      <w:sz w:val="21"/>
                      <w:szCs w:val="21"/>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24" w:type="pct"/>
                  <w:vMerge w:val="continue"/>
                  <w:noWrap w:val="0"/>
                  <w:vAlign w:val="center"/>
                </w:tcPr>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cs="Times New Roman"/>
                      <w:color w:val="auto"/>
                      <w:sz w:val="21"/>
                      <w:szCs w:val="21"/>
                    </w:rPr>
                  </w:pPr>
                </w:p>
              </w:tc>
              <w:tc>
                <w:tcPr>
                  <w:tcW w:w="72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Cs w:val="21"/>
                    </w:rPr>
                  </w:pPr>
                </w:p>
              </w:tc>
              <w:tc>
                <w:tcPr>
                  <w:tcW w:w="854" w:type="pct"/>
                  <w:noWrap w:val="0"/>
                  <w:vAlign w:val="center"/>
                </w:tcPr>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p>
              </w:tc>
              <w:tc>
                <w:tcPr>
                  <w:tcW w:w="853" w:type="pct"/>
                  <w:noWrap w:val="0"/>
                  <w:vAlign w:val="center"/>
                </w:tcPr>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微软雅黑" w:cs="Times New Roman"/>
                      <w:color w:val="auto"/>
                      <w:sz w:val="21"/>
                      <w:szCs w:val="21"/>
                      <w:lang w:val="en-US" w:eastAsia="zh-CN"/>
                    </w:rPr>
                  </w:pPr>
                  <w:r>
                    <w:rPr>
                      <w:rFonts w:hint="default" w:ascii="Times New Roman" w:hAnsi="Times New Roman" w:cs="Times New Roman"/>
                      <w:color w:val="auto"/>
                      <w:sz w:val="21"/>
                      <w:szCs w:val="21"/>
                      <w:lang w:val="en-US" w:eastAsia="zh-CN"/>
                    </w:rPr>
                    <w:t>1.39</w:t>
                  </w:r>
                </w:p>
              </w:tc>
              <w:tc>
                <w:tcPr>
                  <w:tcW w:w="1086" w:type="pct"/>
                  <w:noWrap w:val="0"/>
                  <w:vAlign w:val="center"/>
                </w:tcPr>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微软雅黑" w:cs="Times New Roman"/>
                      <w:color w:val="auto"/>
                      <w:sz w:val="21"/>
                      <w:szCs w:val="21"/>
                      <w:lang w:val="en-US" w:eastAsia="zh-CN"/>
                    </w:rPr>
                  </w:pPr>
                  <w:r>
                    <w:rPr>
                      <w:rFonts w:hint="default" w:ascii="Times New Roman" w:hAnsi="Times New Roman" w:cs="Times New Roman"/>
                      <w:color w:val="auto"/>
                      <w:sz w:val="21"/>
                      <w:szCs w:val="21"/>
                      <w:lang w:val="en-US" w:eastAsia="zh-CN"/>
                    </w:rPr>
                    <w:t>0.00416</w:t>
                  </w:r>
                </w:p>
              </w:tc>
              <w:tc>
                <w:tcPr>
                  <w:tcW w:w="962" w:type="pct"/>
                  <w:noWrap w:val="0"/>
                  <w:vAlign w:val="center"/>
                </w:tcPr>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微软雅黑" w:cs="Times New Roman"/>
                      <w:color w:val="auto"/>
                      <w:sz w:val="21"/>
                      <w:szCs w:val="21"/>
                      <w:lang w:val="en-US" w:eastAsia="zh-CN"/>
                    </w:rPr>
                  </w:pPr>
                  <w:r>
                    <w:rPr>
                      <w:rFonts w:hint="default" w:ascii="Times New Roman" w:hAnsi="Times New Roman" w:cs="Times New Roman"/>
                      <w:color w:val="auto"/>
                      <w:sz w:val="21"/>
                      <w:szCs w:val="21"/>
                      <w:lang w:val="en-US" w:eastAsia="zh-CN"/>
                    </w:rPr>
                    <w:t>0.036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45" w:type="pct"/>
                  <w:gridSpan w:val="2"/>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一般排放口合计</w:t>
                  </w:r>
                </w:p>
              </w:tc>
              <w:tc>
                <w:tcPr>
                  <w:tcW w:w="2792" w:type="pct"/>
                  <w:gridSpan w:val="3"/>
                  <w:noWrap w:val="0"/>
                  <w:vAlign w:val="center"/>
                </w:tcPr>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w:t>
                  </w:r>
                </w:p>
              </w:tc>
              <w:tc>
                <w:tcPr>
                  <w:tcW w:w="1724" w:type="dxa"/>
                  <w:noWrap w:val="0"/>
                  <w:vAlign w:val="center"/>
                </w:tcPr>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45"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Cs w:val="21"/>
                    </w:rPr>
                  </w:pPr>
                </w:p>
              </w:tc>
              <w:tc>
                <w:tcPr>
                  <w:tcW w:w="2792" w:type="pct"/>
                  <w:gridSpan w:val="3"/>
                  <w:noWrap w:val="0"/>
                  <w:vAlign w:val="center"/>
                </w:tcPr>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p>
              </w:tc>
              <w:tc>
                <w:tcPr>
                  <w:tcW w:w="1724" w:type="dxa"/>
                  <w:noWrap w:val="0"/>
                  <w:vAlign w:val="center"/>
                </w:tcPr>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0.036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000" w:type="pct"/>
                  <w:gridSpan w:val="6"/>
                  <w:noWrap w:val="0"/>
                  <w:vAlign w:val="center"/>
                </w:tcPr>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有组织排放总计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45" w:type="pct"/>
                  <w:gridSpan w:val="2"/>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有组织排放总计</w:t>
                  </w:r>
                </w:p>
              </w:tc>
              <w:tc>
                <w:tcPr>
                  <w:tcW w:w="2792" w:type="pct"/>
                  <w:gridSpan w:val="3"/>
                  <w:noWrap w:val="0"/>
                  <w:vAlign w:val="center"/>
                </w:tcPr>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w:t>
                  </w:r>
                </w:p>
              </w:tc>
              <w:tc>
                <w:tcPr>
                  <w:tcW w:w="1724" w:type="dxa"/>
                  <w:noWrap w:val="0"/>
                  <w:vAlign w:val="center"/>
                </w:tcPr>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45"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Cs w:val="21"/>
                    </w:rPr>
                  </w:pPr>
                </w:p>
              </w:tc>
              <w:tc>
                <w:tcPr>
                  <w:tcW w:w="2792" w:type="pct"/>
                  <w:gridSpan w:val="3"/>
                  <w:noWrap w:val="0"/>
                  <w:vAlign w:val="center"/>
                </w:tcPr>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p>
              </w:tc>
              <w:tc>
                <w:tcPr>
                  <w:tcW w:w="1724" w:type="dxa"/>
                  <w:noWrap w:val="0"/>
                  <w:vAlign w:val="center"/>
                </w:tcPr>
                <w:p>
                  <w:pPr>
                    <w:pStyle w:val="12"/>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0.036</w:t>
                  </w:r>
                </w:p>
              </w:tc>
            </w:tr>
          </w:tbl>
          <w:p>
            <w:pPr>
              <w:ind w:firstLine="480" w:firstLineChars="200"/>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lang w:val="zh-CN"/>
              </w:rPr>
              <w:t>表</w:t>
            </w:r>
            <w:r>
              <w:rPr>
                <w:rFonts w:hint="default" w:ascii="Times New Roman" w:hAnsi="Times New Roman" w:cs="Times New Roman"/>
                <w:b/>
                <w:color w:val="auto"/>
                <w:sz w:val="24"/>
                <w:szCs w:val="24"/>
                <w:lang w:val="en-US" w:eastAsia="zh-CN"/>
              </w:rPr>
              <w:t>7-10</w:t>
            </w:r>
            <w:r>
              <w:rPr>
                <w:rFonts w:hint="default" w:ascii="Times New Roman" w:hAnsi="Times New Roman" w:cs="Times New Roman"/>
                <w:b/>
                <w:color w:val="auto"/>
                <w:sz w:val="24"/>
                <w:szCs w:val="24"/>
              </w:rPr>
              <w:t xml:space="preserve"> </w:t>
            </w:r>
            <w:r>
              <w:rPr>
                <w:rFonts w:hint="default" w:ascii="Times New Roman" w:hAnsi="Times New Roman" w:cs="Times New Roman"/>
                <w:b/>
                <w:color w:val="auto"/>
                <w:sz w:val="24"/>
                <w:szCs w:val="24"/>
                <w:lang w:val="zh-CN"/>
              </w:rPr>
              <w:t>大气污染物无组织排放量核算表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62"/>
              <w:gridCol w:w="958"/>
              <w:gridCol w:w="749"/>
              <w:gridCol w:w="1007"/>
              <w:gridCol w:w="989"/>
              <w:gridCol w:w="2910"/>
              <w:gridCol w:w="1446"/>
              <w:gridCol w:w="115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39" w:type="pct"/>
                  <w:vMerge w:val="restart"/>
                  <w:noWrap w:val="0"/>
                  <w:vAlign w:val="center"/>
                </w:tcPr>
                <w:p>
                  <w:pPr>
                    <w:keepLines/>
                    <w:autoSpaceDE w:val="0"/>
                    <w:autoSpaceDN w:val="0"/>
                    <w:adjustRightInd w:val="0"/>
                    <w:snapToGrid w:val="0"/>
                    <w:contextualSpacing/>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495" w:type="pct"/>
                  <w:vMerge w:val="restart"/>
                  <w:noWrap w:val="0"/>
                  <w:vAlign w:val="center"/>
                </w:tcPr>
                <w:p>
                  <w:pPr>
                    <w:keepLines/>
                    <w:autoSpaceDE w:val="0"/>
                    <w:autoSpaceDN w:val="0"/>
                    <w:adjustRightInd w:val="0"/>
                    <w:snapToGrid w:val="0"/>
                    <w:contextualSpacing/>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排放口编号</w:t>
                  </w:r>
                </w:p>
              </w:tc>
              <w:tc>
                <w:tcPr>
                  <w:tcW w:w="387" w:type="pct"/>
                  <w:vMerge w:val="restart"/>
                  <w:noWrap w:val="0"/>
                  <w:vAlign w:val="center"/>
                </w:tcPr>
                <w:p>
                  <w:pPr>
                    <w:keepLines/>
                    <w:autoSpaceDE w:val="0"/>
                    <w:autoSpaceDN w:val="0"/>
                    <w:adjustRightInd w:val="0"/>
                    <w:snapToGrid w:val="0"/>
                    <w:contextualSpacing/>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产污环节</w:t>
                  </w:r>
                </w:p>
              </w:tc>
              <w:tc>
                <w:tcPr>
                  <w:tcW w:w="519" w:type="pct"/>
                  <w:vMerge w:val="restart"/>
                  <w:noWrap w:val="0"/>
                  <w:vAlign w:val="center"/>
                </w:tcPr>
                <w:p>
                  <w:pPr>
                    <w:keepLines/>
                    <w:autoSpaceDE w:val="0"/>
                    <w:autoSpaceDN w:val="0"/>
                    <w:adjustRightInd w:val="0"/>
                    <w:snapToGrid w:val="0"/>
                    <w:contextualSpacing/>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w:t>
                  </w:r>
                </w:p>
              </w:tc>
              <w:tc>
                <w:tcPr>
                  <w:tcW w:w="511" w:type="pct"/>
                  <w:vMerge w:val="restart"/>
                  <w:noWrap w:val="0"/>
                  <w:vAlign w:val="center"/>
                </w:tcPr>
                <w:p>
                  <w:pPr>
                    <w:keepLines/>
                    <w:autoSpaceDE w:val="0"/>
                    <w:autoSpaceDN w:val="0"/>
                    <w:adjustRightInd w:val="0"/>
                    <w:snapToGrid w:val="0"/>
                    <w:contextualSpacing/>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主要污染物防治措施</w:t>
                  </w:r>
                </w:p>
              </w:tc>
              <w:tc>
                <w:tcPr>
                  <w:tcW w:w="2250" w:type="pct"/>
                  <w:gridSpan w:val="2"/>
                  <w:noWrap w:val="0"/>
                  <w:vAlign w:val="center"/>
                </w:tcPr>
                <w:p>
                  <w:pPr>
                    <w:keepLines/>
                    <w:autoSpaceDE w:val="0"/>
                    <w:autoSpaceDN w:val="0"/>
                    <w:adjustRightInd w:val="0"/>
                    <w:snapToGrid w:val="0"/>
                    <w:contextualSpacing/>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国家或地方污染物排放标准</w:t>
                  </w:r>
                </w:p>
              </w:tc>
              <w:tc>
                <w:tcPr>
                  <w:tcW w:w="596" w:type="pct"/>
                  <w:vMerge w:val="restart"/>
                  <w:noWrap w:val="0"/>
                  <w:vAlign w:val="center"/>
                </w:tcPr>
                <w:p>
                  <w:pPr>
                    <w:keepLines/>
                    <w:autoSpaceDE w:val="0"/>
                    <w:autoSpaceDN w:val="0"/>
                    <w:adjustRightInd w:val="0"/>
                    <w:snapToGrid w:val="0"/>
                    <w:contextualSpacing/>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年排放量（t/a）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3" w:hRule="atLeast"/>
                <w:jc w:val="center"/>
              </w:trPr>
              <w:tc>
                <w:tcPr>
                  <w:tcW w:w="239" w:type="pct"/>
                  <w:vMerge w:val="continue"/>
                  <w:noWrap w:val="0"/>
                  <w:vAlign w:val="center"/>
                </w:tcPr>
                <w:p>
                  <w:pPr>
                    <w:adjustRightInd w:val="0"/>
                    <w:snapToGrid w:val="0"/>
                    <w:jc w:val="center"/>
                    <w:rPr>
                      <w:rFonts w:hint="default" w:ascii="Times New Roman" w:hAnsi="Times New Roman" w:cs="Times New Roman"/>
                      <w:b/>
                      <w:bCs/>
                      <w:color w:val="auto"/>
                      <w:szCs w:val="21"/>
                    </w:rPr>
                  </w:pPr>
                </w:p>
              </w:tc>
              <w:tc>
                <w:tcPr>
                  <w:tcW w:w="495" w:type="pct"/>
                  <w:vMerge w:val="continue"/>
                  <w:noWrap w:val="0"/>
                  <w:vAlign w:val="center"/>
                </w:tcPr>
                <w:p>
                  <w:pPr>
                    <w:adjustRightInd w:val="0"/>
                    <w:snapToGrid w:val="0"/>
                    <w:jc w:val="center"/>
                    <w:rPr>
                      <w:rFonts w:hint="default" w:ascii="Times New Roman" w:hAnsi="Times New Roman" w:cs="Times New Roman"/>
                      <w:b/>
                      <w:bCs/>
                      <w:color w:val="auto"/>
                      <w:szCs w:val="21"/>
                    </w:rPr>
                  </w:pPr>
                </w:p>
              </w:tc>
              <w:tc>
                <w:tcPr>
                  <w:tcW w:w="387" w:type="pct"/>
                  <w:vMerge w:val="continue"/>
                  <w:noWrap w:val="0"/>
                  <w:vAlign w:val="center"/>
                </w:tcPr>
                <w:p>
                  <w:pPr>
                    <w:adjustRightInd w:val="0"/>
                    <w:snapToGrid w:val="0"/>
                    <w:jc w:val="center"/>
                    <w:rPr>
                      <w:rFonts w:hint="default" w:ascii="Times New Roman" w:hAnsi="Times New Roman" w:cs="Times New Roman"/>
                      <w:b/>
                      <w:bCs/>
                      <w:color w:val="auto"/>
                      <w:szCs w:val="21"/>
                    </w:rPr>
                  </w:pPr>
                </w:p>
              </w:tc>
              <w:tc>
                <w:tcPr>
                  <w:tcW w:w="519" w:type="pct"/>
                  <w:vMerge w:val="continue"/>
                  <w:noWrap w:val="0"/>
                  <w:vAlign w:val="center"/>
                </w:tcPr>
                <w:p>
                  <w:pPr>
                    <w:adjustRightInd w:val="0"/>
                    <w:snapToGrid w:val="0"/>
                    <w:jc w:val="center"/>
                    <w:rPr>
                      <w:rFonts w:hint="default" w:ascii="Times New Roman" w:hAnsi="Times New Roman" w:cs="Times New Roman"/>
                      <w:b/>
                      <w:bCs/>
                      <w:color w:val="auto"/>
                      <w:szCs w:val="21"/>
                    </w:rPr>
                  </w:pPr>
                </w:p>
              </w:tc>
              <w:tc>
                <w:tcPr>
                  <w:tcW w:w="511" w:type="pct"/>
                  <w:vMerge w:val="continue"/>
                  <w:noWrap w:val="0"/>
                  <w:vAlign w:val="center"/>
                </w:tcPr>
                <w:p>
                  <w:pPr>
                    <w:adjustRightInd w:val="0"/>
                    <w:snapToGrid w:val="0"/>
                    <w:jc w:val="center"/>
                    <w:rPr>
                      <w:rFonts w:hint="default" w:ascii="Times New Roman" w:hAnsi="Times New Roman" w:cs="Times New Roman"/>
                      <w:b/>
                      <w:bCs/>
                      <w:color w:val="auto"/>
                      <w:szCs w:val="21"/>
                    </w:rPr>
                  </w:pPr>
                </w:p>
              </w:tc>
              <w:tc>
                <w:tcPr>
                  <w:tcW w:w="1503" w:type="pct"/>
                  <w:noWrap w:val="0"/>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标准名称</w:t>
                  </w:r>
                </w:p>
              </w:tc>
              <w:tc>
                <w:tcPr>
                  <w:tcW w:w="746" w:type="pct"/>
                  <w:noWrap w:val="0"/>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浓度限值/（</w:t>
                  </w:r>
                  <w:r>
                    <w:rPr>
                      <w:rFonts w:hint="default" w:ascii="Times New Roman" w:hAnsi="Times New Roman" w:cs="Times New Roman"/>
                      <w:b/>
                      <w:bCs/>
                      <w:color w:val="auto"/>
                      <w:szCs w:val="21"/>
                      <w:lang w:val="en-US" w:eastAsia="zh-CN"/>
                    </w:rPr>
                    <w:t>m</w:t>
                  </w:r>
                  <w:r>
                    <w:rPr>
                      <w:rFonts w:hint="default" w:ascii="Times New Roman" w:hAnsi="Times New Roman" w:cs="Times New Roman"/>
                      <w:b/>
                      <w:bCs/>
                      <w:color w:val="auto"/>
                      <w:szCs w:val="21"/>
                    </w:rPr>
                    <w:t>g/m</w:t>
                  </w:r>
                  <w:r>
                    <w:rPr>
                      <w:rFonts w:hint="default" w:ascii="Times New Roman" w:hAnsi="Times New Roman" w:cs="Times New Roman"/>
                      <w:b/>
                      <w:bCs/>
                      <w:color w:val="auto"/>
                      <w:szCs w:val="21"/>
                      <w:vertAlign w:val="superscript"/>
                    </w:rPr>
                    <w:t>3</w:t>
                  </w:r>
                  <w:r>
                    <w:rPr>
                      <w:rFonts w:hint="default" w:ascii="Times New Roman" w:hAnsi="Times New Roman" w:cs="Times New Roman"/>
                      <w:b/>
                      <w:bCs/>
                      <w:color w:val="auto"/>
                      <w:szCs w:val="21"/>
                    </w:rPr>
                    <w:t>）</w:t>
                  </w:r>
                </w:p>
              </w:tc>
              <w:tc>
                <w:tcPr>
                  <w:tcW w:w="596" w:type="pct"/>
                  <w:vMerge w:val="continue"/>
                  <w:noWrap w:val="0"/>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91" w:hRule="atLeast"/>
                <w:jc w:val="center"/>
              </w:trPr>
              <w:tc>
                <w:tcPr>
                  <w:tcW w:w="239" w:type="pct"/>
                  <w:vMerge w:val="restar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495" w:type="pct"/>
                  <w:vMerge w:val="restar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DA002</w:t>
                  </w:r>
                </w:p>
                <w:p>
                  <w:pPr>
                    <w:adjustRightInd w:val="0"/>
                    <w:snapToGrid w:val="0"/>
                    <w:jc w:val="center"/>
                    <w:rPr>
                      <w:rFonts w:hint="default" w:ascii="Times New Roman" w:hAnsi="Times New Roman" w:cs="Times New Roman"/>
                      <w:color w:val="auto"/>
                      <w:szCs w:val="21"/>
                    </w:rPr>
                  </w:pPr>
                </w:p>
              </w:tc>
              <w:tc>
                <w:tcPr>
                  <w:tcW w:w="387" w:type="pct"/>
                  <w:vMerge w:val="restar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垃圾渗滤液</w:t>
                  </w:r>
                  <w:r>
                    <w:rPr>
                      <w:rFonts w:hint="default" w:ascii="Times New Roman" w:hAnsi="Times New Roman" w:cs="Times New Roman"/>
                      <w:color w:val="auto"/>
                      <w:szCs w:val="21"/>
                    </w:rPr>
                    <w:t>处理</w:t>
                  </w:r>
                  <w:r>
                    <w:rPr>
                      <w:rFonts w:hint="default" w:ascii="Times New Roman" w:hAnsi="Times New Roman" w:cs="Times New Roman"/>
                      <w:color w:val="auto"/>
                      <w:szCs w:val="21"/>
                      <w:lang w:val="en-US" w:eastAsia="zh-CN"/>
                    </w:rPr>
                    <w:t>车间</w:t>
                  </w:r>
                </w:p>
              </w:tc>
              <w:tc>
                <w:tcPr>
                  <w:tcW w:w="519"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p>
              </w:tc>
              <w:tc>
                <w:tcPr>
                  <w:tcW w:w="511" w:type="pct"/>
                  <w:vMerge w:val="restar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周边绿化</w:t>
                  </w:r>
                </w:p>
              </w:tc>
              <w:tc>
                <w:tcPr>
                  <w:tcW w:w="1503" w:type="pct"/>
                  <w:vMerge w:val="restar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rPr>
                    <w:t>《恶臭污染物排放标准》（GB14554-93）无组织排放标准</w:t>
                  </w:r>
                </w:p>
              </w:tc>
              <w:tc>
                <w:tcPr>
                  <w:tcW w:w="746" w:type="pct"/>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0.06</w:t>
                  </w:r>
                </w:p>
              </w:tc>
              <w:tc>
                <w:tcPr>
                  <w:tcW w:w="596" w:type="pct"/>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lang w:val="en-US" w:eastAsia="zh-CN"/>
                    </w:rPr>
                    <w:t>0.0025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91" w:hRule="atLeast"/>
                <w:jc w:val="center"/>
              </w:trPr>
              <w:tc>
                <w:tcPr>
                  <w:tcW w:w="239" w:type="pct"/>
                  <w:vMerge w:val="continue"/>
                  <w:noWrap w:val="0"/>
                  <w:vAlign w:val="center"/>
                </w:tcPr>
                <w:p>
                  <w:pPr>
                    <w:adjustRightInd w:val="0"/>
                    <w:snapToGrid w:val="0"/>
                    <w:jc w:val="center"/>
                    <w:rPr>
                      <w:rFonts w:hint="default" w:ascii="Times New Roman" w:hAnsi="Times New Roman" w:cs="Times New Roman"/>
                      <w:color w:val="auto"/>
                      <w:szCs w:val="21"/>
                    </w:rPr>
                  </w:pPr>
                </w:p>
              </w:tc>
              <w:tc>
                <w:tcPr>
                  <w:tcW w:w="495" w:type="pct"/>
                  <w:vMerge w:val="continue"/>
                  <w:noWrap w:val="0"/>
                  <w:vAlign w:val="center"/>
                </w:tcPr>
                <w:p>
                  <w:pPr>
                    <w:adjustRightInd w:val="0"/>
                    <w:snapToGrid w:val="0"/>
                    <w:jc w:val="center"/>
                    <w:rPr>
                      <w:rFonts w:hint="default" w:ascii="Times New Roman" w:hAnsi="Times New Roman" w:cs="Times New Roman"/>
                      <w:color w:val="auto"/>
                      <w:szCs w:val="21"/>
                    </w:rPr>
                  </w:pPr>
                </w:p>
              </w:tc>
              <w:tc>
                <w:tcPr>
                  <w:tcW w:w="387" w:type="pct"/>
                  <w:vMerge w:val="continue"/>
                  <w:noWrap w:val="0"/>
                  <w:vAlign w:val="center"/>
                </w:tcPr>
                <w:p>
                  <w:pPr>
                    <w:adjustRightInd w:val="0"/>
                    <w:snapToGrid w:val="0"/>
                    <w:jc w:val="center"/>
                    <w:rPr>
                      <w:rFonts w:hint="default" w:ascii="Times New Roman" w:hAnsi="Times New Roman" w:cs="Times New Roman"/>
                      <w:color w:val="auto"/>
                      <w:szCs w:val="21"/>
                    </w:rPr>
                  </w:pPr>
                </w:p>
              </w:tc>
              <w:tc>
                <w:tcPr>
                  <w:tcW w:w="519"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p>
              </w:tc>
              <w:tc>
                <w:tcPr>
                  <w:tcW w:w="511" w:type="pct"/>
                  <w:vMerge w:val="continue"/>
                  <w:noWrap w:val="0"/>
                  <w:vAlign w:val="center"/>
                </w:tcPr>
                <w:p>
                  <w:pPr>
                    <w:adjustRightInd w:val="0"/>
                    <w:snapToGrid w:val="0"/>
                    <w:jc w:val="center"/>
                    <w:rPr>
                      <w:rFonts w:hint="default" w:ascii="Times New Roman" w:hAnsi="Times New Roman" w:cs="Times New Roman"/>
                      <w:color w:val="auto"/>
                      <w:szCs w:val="21"/>
                    </w:rPr>
                  </w:pPr>
                </w:p>
              </w:tc>
              <w:tc>
                <w:tcPr>
                  <w:tcW w:w="1503" w:type="pct"/>
                  <w:vMerge w:val="continue"/>
                  <w:noWrap w:val="0"/>
                  <w:vAlign w:val="top"/>
                </w:tcPr>
                <w:p>
                  <w:pPr>
                    <w:adjustRightInd w:val="0"/>
                    <w:snapToGrid w:val="0"/>
                    <w:jc w:val="center"/>
                    <w:rPr>
                      <w:rFonts w:hint="default" w:ascii="Times New Roman" w:hAnsi="Times New Roman" w:cs="Times New Roman"/>
                      <w:color w:val="auto"/>
                      <w:szCs w:val="21"/>
                    </w:rPr>
                  </w:pPr>
                </w:p>
              </w:tc>
              <w:tc>
                <w:tcPr>
                  <w:tcW w:w="746" w:type="pct"/>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1.5</w:t>
                  </w:r>
                </w:p>
              </w:tc>
              <w:tc>
                <w:tcPr>
                  <w:tcW w:w="596" w:type="pct"/>
                  <w:noWrap w:val="0"/>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lang w:val="en-US" w:eastAsia="zh-CN"/>
                    </w:rPr>
                    <w:t>0.091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1641" w:type="pct"/>
                  <w:gridSpan w:val="4"/>
                  <w:vMerge w:val="restar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无组织排放总计</w:t>
                  </w:r>
                </w:p>
              </w:tc>
              <w:tc>
                <w:tcPr>
                  <w:tcW w:w="2014" w:type="pct"/>
                  <w:gridSpan w:val="2"/>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p>
              </w:tc>
              <w:tc>
                <w:tcPr>
                  <w:tcW w:w="1343" w:type="pct"/>
                  <w:gridSpan w:val="2"/>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lang w:val="en-US" w:eastAsia="zh-CN"/>
                    </w:rPr>
                    <w:t>0.091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1641" w:type="pct"/>
                  <w:gridSpan w:val="4"/>
                  <w:vMerge w:val="continue"/>
                  <w:noWrap w:val="0"/>
                  <w:vAlign w:val="center"/>
                </w:tcPr>
                <w:p>
                  <w:pPr>
                    <w:adjustRightInd w:val="0"/>
                    <w:snapToGrid w:val="0"/>
                    <w:jc w:val="center"/>
                    <w:rPr>
                      <w:rFonts w:hint="default" w:ascii="Times New Roman" w:hAnsi="Times New Roman" w:cs="Times New Roman"/>
                      <w:color w:val="auto"/>
                      <w:szCs w:val="21"/>
                    </w:rPr>
                  </w:pPr>
                </w:p>
              </w:tc>
              <w:tc>
                <w:tcPr>
                  <w:tcW w:w="2014" w:type="pct"/>
                  <w:gridSpan w:val="2"/>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p>
              </w:tc>
              <w:tc>
                <w:tcPr>
                  <w:tcW w:w="1343" w:type="pct"/>
                  <w:gridSpan w:val="2"/>
                  <w:noWrap w:val="0"/>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lang w:val="en-US" w:eastAsia="zh-CN"/>
                    </w:rPr>
                    <w:t>0.0025</w:t>
                  </w:r>
                </w:p>
              </w:tc>
            </w:tr>
          </w:tbl>
          <w:p>
            <w:pPr>
              <w:ind w:firstLine="480" w:firstLineChars="200"/>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lang w:val="zh-CN"/>
              </w:rPr>
              <w:t>表</w:t>
            </w:r>
            <w:r>
              <w:rPr>
                <w:rFonts w:hint="default" w:ascii="Times New Roman" w:hAnsi="Times New Roman" w:cs="Times New Roman"/>
                <w:b/>
                <w:color w:val="auto"/>
                <w:sz w:val="24"/>
                <w:szCs w:val="24"/>
                <w:lang w:val="en-US" w:eastAsia="zh-CN"/>
              </w:rPr>
              <w:t>7-11</w:t>
            </w:r>
            <w:r>
              <w:rPr>
                <w:rFonts w:hint="default" w:ascii="Times New Roman" w:hAnsi="Times New Roman" w:cs="Times New Roman"/>
                <w:b/>
                <w:color w:val="auto"/>
                <w:sz w:val="24"/>
                <w:szCs w:val="24"/>
                <w:lang w:val="zh-CN"/>
              </w:rPr>
              <w:t>大气污染源年排放量核算表</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22"/>
              <w:gridCol w:w="3704"/>
              <w:gridCol w:w="424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90" w:type="pct"/>
                  <w:vMerge w:val="restart"/>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914" w:type="pct"/>
                  <w:vMerge w:val="restart"/>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污染物</w:t>
                  </w:r>
                </w:p>
              </w:tc>
              <w:tc>
                <w:tcPr>
                  <w:tcW w:w="2196" w:type="pct"/>
                  <w:vMerge w:val="restart"/>
                  <w:noWrap w:val="0"/>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年排放量（t/a）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890" w:type="pct"/>
                  <w:vMerge w:val="continue"/>
                  <w:noWrap w:val="0"/>
                  <w:vAlign w:val="center"/>
                </w:tcPr>
                <w:p>
                  <w:pPr>
                    <w:adjustRightInd w:val="0"/>
                    <w:snapToGrid w:val="0"/>
                    <w:jc w:val="center"/>
                    <w:rPr>
                      <w:rFonts w:hint="default" w:ascii="Times New Roman" w:hAnsi="Times New Roman" w:cs="Times New Roman"/>
                      <w:b/>
                      <w:bCs/>
                      <w:color w:val="auto"/>
                      <w:szCs w:val="21"/>
                    </w:rPr>
                  </w:pPr>
                </w:p>
              </w:tc>
              <w:tc>
                <w:tcPr>
                  <w:tcW w:w="1914" w:type="pct"/>
                  <w:vMerge w:val="continue"/>
                  <w:noWrap w:val="0"/>
                  <w:vAlign w:val="center"/>
                </w:tcPr>
                <w:p>
                  <w:pPr>
                    <w:adjustRightInd w:val="0"/>
                    <w:snapToGrid w:val="0"/>
                    <w:jc w:val="center"/>
                    <w:rPr>
                      <w:rFonts w:hint="default" w:ascii="Times New Roman" w:hAnsi="Times New Roman" w:cs="Times New Roman"/>
                      <w:b/>
                      <w:bCs/>
                      <w:color w:val="auto"/>
                      <w:szCs w:val="21"/>
                    </w:rPr>
                  </w:pPr>
                </w:p>
              </w:tc>
              <w:tc>
                <w:tcPr>
                  <w:tcW w:w="2196" w:type="pct"/>
                  <w:vMerge w:val="continue"/>
                  <w:noWrap w:val="0"/>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3" w:hRule="atLeast"/>
              </w:trPr>
              <w:tc>
                <w:tcPr>
                  <w:tcW w:w="890"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914"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p>
              </w:tc>
              <w:tc>
                <w:tcPr>
                  <w:tcW w:w="2196" w:type="pct"/>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lang w:val="en-US" w:eastAsia="zh-CN"/>
                    </w:rPr>
                    <w:t>0.0035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3" w:hRule="atLeast"/>
              </w:trPr>
              <w:tc>
                <w:tcPr>
                  <w:tcW w:w="890"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914"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p>
              </w:tc>
              <w:tc>
                <w:tcPr>
                  <w:tcW w:w="2196" w:type="pct"/>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lang w:val="en-US" w:eastAsia="zh-CN"/>
                    </w:rPr>
                    <w:t>0.127</w:t>
                  </w:r>
                </w:p>
              </w:tc>
            </w:tr>
          </w:tbl>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rPr>
              <w:t>2.2 地表水环境影响分析</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lang w:val="zh-TW"/>
              </w:rPr>
              <w:t>（</w:t>
            </w:r>
            <w:r>
              <w:rPr>
                <w:rFonts w:hint="default" w:ascii="Times New Roman" w:hAnsi="Times New Roman" w:cs="Times New Roman"/>
                <w:color w:val="auto"/>
              </w:rPr>
              <w:t>1</w:t>
            </w:r>
            <w:r>
              <w:rPr>
                <w:rFonts w:hint="default" w:ascii="Times New Roman" w:hAnsi="Times New Roman" w:cs="Times New Roman"/>
                <w:color w:val="auto"/>
                <w:lang w:val="zh-TW"/>
              </w:rPr>
              <w:t>）</w:t>
            </w:r>
            <w:r>
              <w:rPr>
                <w:rFonts w:hint="default" w:ascii="Times New Roman" w:hAnsi="Times New Roman" w:cs="Times New Roman"/>
                <w:color w:val="auto"/>
              </w:rPr>
              <w:t>地表水环境影响分析</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lang w:val="zh-TW"/>
              </w:rPr>
              <w:t>本项目</w:t>
            </w:r>
            <w:r>
              <w:rPr>
                <w:rFonts w:hint="default" w:ascii="Times New Roman" w:hAnsi="Times New Roman" w:cs="Times New Roman"/>
                <w:color w:val="auto"/>
                <w:lang w:val="en-US" w:eastAsia="zh-CN"/>
              </w:rPr>
              <w:t>渗滤液</w:t>
            </w:r>
            <w:r>
              <w:rPr>
                <w:rFonts w:hint="default" w:ascii="Times New Roman" w:hAnsi="Times New Roman" w:cs="Times New Roman"/>
                <w:color w:val="auto"/>
                <w:lang w:val="zh-TW"/>
              </w:rPr>
              <w:t>处理规模</w:t>
            </w:r>
            <w:r>
              <w:rPr>
                <w:rFonts w:hint="default" w:ascii="Times New Roman" w:hAnsi="Times New Roman" w:cs="Times New Roman"/>
                <w:color w:val="auto"/>
                <w:lang w:val="en-US" w:eastAsia="zh-CN"/>
              </w:rPr>
              <w:t>200</w:t>
            </w:r>
            <w:r>
              <w:rPr>
                <w:rFonts w:hint="default" w:ascii="Times New Roman" w:hAnsi="Times New Roman" w:cs="Times New Roman"/>
                <w:color w:val="auto"/>
                <w:lang w:val="zh-TW" w:eastAsia="zh-TW"/>
              </w:rPr>
              <w:t>m</w:t>
            </w:r>
            <w:r>
              <w:rPr>
                <w:rFonts w:hint="default" w:ascii="Times New Roman" w:hAnsi="Times New Roman" w:cs="Times New Roman"/>
                <w:color w:val="auto"/>
                <w:vertAlign w:val="superscript"/>
                <w:lang w:val="zh-TW" w:eastAsia="zh-TW"/>
              </w:rPr>
              <w:t>3</w:t>
            </w:r>
            <w:r>
              <w:rPr>
                <w:rFonts w:hint="default" w:ascii="Times New Roman" w:hAnsi="Times New Roman" w:cs="Times New Roman"/>
                <w:color w:val="auto"/>
                <w:lang w:val="zh-TW" w:eastAsia="zh-TW"/>
              </w:rPr>
              <w:t>/d</w:t>
            </w:r>
            <w:r>
              <w:rPr>
                <w:rFonts w:hint="eastAsia" w:ascii="Times New Roman" w:cs="Times New Roman"/>
                <w:color w:val="auto"/>
                <w:lang w:val="zh-TW" w:eastAsia="zh-CN"/>
              </w:rPr>
              <w:t>，</w:t>
            </w:r>
            <w:r>
              <w:rPr>
                <w:rFonts w:hint="eastAsia" w:ascii="Times New Roman" w:cs="Times New Roman"/>
                <w:color w:val="auto"/>
                <w:lang w:val="en-US" w:eastAsia="zh-CN"/>
              </w:rPr>
              <w:t>排放量150</w:t>
            </w:r>
            <w:r>
              <w:rPr>
                <w:rFonts w:hint="default" w:ascii="Times New Roman" w:hAnsi="Times New Roman" w:cs="Times New Roman"/>
                <w:color w:val="auto"/>
                <w:lang w:val="zh-TW" w:eastAsia="zh-TW"/>
              </w:rPr>
              <w:t>m</w:t>
            </w:r>
            <w:r>
              <w:rPr>
                <w:rFonts w:hint="default" w:ascii="Times New Roman" w:hAnsi="Times New Roman" w:cs="Times New Roman"/>
                <w:color w:val="auto"/>
                <w:vertAlign w:val="superscript"/>
                <w:lang w:val="zh-TW" w:eastAsia="zh-TW"/>
              </w:rPr>
              <w:t>3</w:t>
            </w:r>
            <w:r>
              <w:rPr>
                <w:rFonts w:hint="default" w:ascii="Times New Roman" w:hAnsi="Times New Roman" w:cs="Times New Roman"/>
                <w:color w:val="auto"/>
                <w:lang w:val="zh-TW" w:eastAsia="zh-TW"/>
              </w:rPr>
              <w:t>/d</w:t>
            </w:r>
            <w:r>
              <w:rPr>
                <w:rFonts w:hint="default" w:ascii="Times New Roman" w:hAnsi="Times New Roman" w:cs="Times New Roman"/>
                <w:color w:val="auto"/>
                <w:lang w:val="zh-TW"/>
              </w:rPr>
              <w:t>，</w:t>
            </w:r>
            <w:r>
              <w:rPr>
                <w:rFonts w:hint="default" w:ascii="Times New Roman" w:hAnsi="Times New Roman" w:cs="Times New Roman"/>
                <w:color w:val="auto"/>
              </w:rPr>
              <w:t>主要污染物为COD、BOD</w:t>
            </w:r>
            <w:r>
              <w:rPr>
                <w:rFonts w:hint="default" w:ascii="Times New Roman" w:hAnsi="Times New Roman" w:cs="Times New Roman"/>
                <w:color w:val="auto"/>
                <w:vertAlign w:val="subscript"/>
              </w:rPr>
              <w:t>5</w:t>
            </w:r>
            <w:r>
              <w:rPr>
                <w:rFonts w:hint="default" w:ascii="Times New Roman" w:hAnsi="Times New Roman" w:cs="Times New Roman"/>
                <w:color w:val="auto"/>
              </w:rPr>
              <w:t>、SS、NH</w:t>
            </w:r>
            <w:r>
              <w:rPr>
                <w:rFonts w:hint="default" w:ascii="Times New Roman" w:hAnsi="Times New Roman" w:cs="Times New Roman"/>
                <w:color w:val="auto"/>
                <w:vertAlign w:val="subscript"/>
              </w:rPr>
              <w:t>3</w:t>
            </w:r>
            <w:r>
              <w:rPr>
                <w:rFonts w:hint="default" w:ascii="Times New Roman" w:hAnsi="Times New Roman" w:cs="Times New Roman"/>
                <w:color w:val="auto"/>
              </w:rPr>
              <w:t>-N、TN、TP等，出水水质执行</w:t>
            </w:r>
            <w:r>
              <w:rPr>
                <w:rFonts w:hint="default" w:ascii="Times New Roman" w:hAnsi="Times New Roman" w:cs="Times New Roman"/>
                <w:color w:val="auto"/>
                <w:sz w:val="24"/>
                <w:szCs w:val="22"/>
              </w:rPr>
              <w:t>《</w:t>
            </w:r>
            <w:r>
              <w:rPr>
                <w:rFonts w:hint="default" w:ascii="Times New Roman" w:hAnsi="Times New Roman" w:cs="Times New Roman"/>
                <w:color w:val="auto"/>
                <w:sz w:val="24"/>
                <w:szCs w:val="22"/>
                <w:lang w:val="en-US" w:eastAsia="zh-CN"/>
              </w:rPr>
              <w:t>生活垃圾填埋场污染控制标准</w:t>
            </w:r>
            <w:r>
              <w:rPr>
                <w:rFonts w:hint="default" w:ascii="Times New Roman" w:hAnsi="Times New Roman" w:cs="Times New Roman"/>
                <w:color w:val="auto"/>
                <w:sz w:val="24"/>
                <w:szCs w:val="22"/>
              </w:rPr>
              <w:t>》（GB</w:t>
            </w:r>
            <w:r>
              <w:rPr>
                <w:rFonts w:hint="default" w:ascii="Times New Roman" w:hAnsi="Times New Roman" w:cs="Times New Roman"/>
                <w:color w:val="auto"/>
                <w:sz w:val="24"/>
                <w:szCs w:val="22"/>
                <w:lang w:val="en-US" w:eastAsia="zh-CN"/>
              </w:rPr>
              <w:t>16889-2008</w:t>
            </w:r>
            <w:r>
              <w:rPr>
                <w:rFonts w:hint="default" w:ascii="Times New Roman" w:hAnsi="Times New Roman" w:cs="Times New Roman"/>
                <w:color w:val="auto"/>
                <w:sz w:val="24"/>
                <w:szCs w:val="22"/>
              </w:rPr>
              <w:t>）</w:t>
            </w:r>
            <w:r>
              <w:rPr>
                <w:rFonts w:hint="default" w:ascii="Times New Roman" w:hAnsi="Times New Roman" w:cs="Times New Roman"/>
                <w:color w:val="auto"/>
                <w:sz w:val="24"/>
                <w:szCs w:val="22"/>
                <w:lang w:val="en-US" w:eastAsia="zh-CN"/>
              </w:rPr>
              <w:t>中表2规定的水污染物排放浓度限值</w:t>
            </w:r>
            <w:r>
              <w:rPr>
                <w:rFonts w:hint="default" w:ascii="Times New Roman" w:hAnsi="Times New Roman" w:cs="Times New Roman"/>
                <w:color w:val="auto"/>
              </w:rPr>
              <w:t>，</w:t>
            </w:r>
            <w:r>
              <w:rPr>
                <w:rFonts w:hint="default" w:ascii="Times New Roman" w:hAnsi="Times New Roman" w:cs="Times New Roman"/>
                <w:color w:val="auto"/>
                <w:lang w:val="en-US" w:eastAsia="zh-CN"/>
              </w:rPr>
              <w:t>处理后运送至同江城市洁源污水处理厂处置</w:t>
            </w:r>
            <w:r>
              <w:rPr>
                <w:rFonts w:hint="default" w:ascii="Times New Roman" w:hAnsi="Times New Roman" w:cs="Times New Roman"/>
                <w:color w:val="auto"/>
              </w:rPr>
              <w:t>，对地表水环境影响</w:t>
            </w:r>
            <w:r>
              <w:rPr>
                <w:rFonts w:hint="default" w:ascii="Times New Roman" w:hAnsi="Times New Roman" w:cs="Times New Roman"/>
                <w:color w:val="auto"/>
                <w:lang w:val="en-US" w:eastAsia="zh-CN"/>
              </w:rPr>
              <w:t>较小</w:t>
            </w:r>
            <w:r>
              <w:rPr>
                <w:rFonts w:hint="default" w:ascii="Times New Roman" w:hAnsi="Times New Roman" w:cs="Times New Roman"/>
                <w:color w:val="auto"/>
              </w:rPr>
              <w:t>。</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rPr>
              <w:t>根据《环境影响评价技术导则 地表水环境》（HJ 2.3-2018）中关于地表水环境影响评价工作分级要求，不</w:t>
            </w:r>
            <w:r>
              <w:rPr>
                <w:rFonts w:hint="default" w:ascii="Times New Roman" w:hAnsi="Times New Roman" w:cs="Times New Roman"/>
                <w:color w:val="auto"/>
                <w:lang w:val="en-US" w:eastAsia="zh-CN"/>
              </w:rPr>
              <w:t>直接</w:t>
            </w:r>
            <w:r>
              <w:rPr>
                <w:rFonts w:hint="default" w:ascii="Times New Roman" w:hAnsi="Times New Roman" w:cs="Times New Roman"/>
                <w:color w:val="auto"/>
              </w:rPr>
              <w:t>排放到外环境，评价等级为三级B。</w:t>
            </w:r>
          </w:p>
          <w:p>
            <w:pPr>
              <w:pStyle w:val="41"/>
              <w:snapToGrid w:val="0"/>
              <w:spacing w:line="360" w:lineRule="auto"/>
              <w:ind w:firstLine="482"/>
              <w:rPr>
                <w:rFonts w:hint="default" w:ascii="Times New Roman" w:hAnsi="Times New Roman" w:cs="Times New Roman"/>
                <w:color w:val="auto"/>
                <w:lang w:val="zh-TW"/>
              </w:rPr>
            </w:pPr>
            <w:r>
              <w:rPr>
                <w:rFonts w:hint="default" w:ascii="Times New Roman" w:hAnsi="Times New Roman" w:cs="Times New Roman"/>
                <w:color w:val="auto"/>
                <w:lang w:val="zh-TW"/>
              </w:rPr>
              <w:t>（</w:t>
            </w:r>
            <w:r>
              <w:rPr>
                <w:rFonts w:hint="default" w:ascii="Times New Roman" w:hAnsi="Times New Roman" w:cs="Times New Roman"/>
                <w:color w:val="auto"/>
              </w:rPr>
              <w:t>2</w:t>
            </w:r>
            <w:r>
              <w:rPr>
                <w:rFonts w:hint="default" w:ascii="Times New Roman" w:hAnsi="Times New Roman" w:cs="Times New Roman"/>
                <w:color w:val="auto"/>
                <w:lang w:val="zh-TW"/>
              </w:rPr>
              <w:t>）水污染控制和水环境影响减缓措施有效性</w:t>
            </w:r>
          </w:p>
          <w:p>
            <w:pPr>
              <w:snapToGrid w:val="0"/>
              <w:spacing w:line="360" w:lineRule="auto"/>
              <w:ind w:firstLine="480" w:firstLineChars="200"/>
              <w:rPr>
                <w:rFonts w:hint="default" w:ascii="Times New Roman" w:hAnsi="Times New Roman" w:cs="Times New Roman"/>
                <w:color w:val="auto"/>
                <w:sz w:val="24"/>
                <w:szCs w:val="22"/>
                <w:lang w:val="en-US" w:eastAsia="zh-CN"/>
              </w:rPr>
            </w:pPr>
            <w:r>
              <w:rPr>
                <w:rStyle w:val="45"/>
                <w:rFonts w:hint="default" w:ascii="Times New Roman" w:hAnsi="Times New Roman" w:eastAsia="宋体" w:cs="Times New Roman"/>
                <w:color w:val="auto"/>
                <w:sz w:val="24"/>
                <w:szCs w:val="24"/>
              </w:rPr>
              <w:t>项目生活污水与</w:t>
            </w:r>
            <w:r>
              <w:rPr>
                <w:rStyle w:val="45"/>
                <w:rFonts w:hint="default" w:ascii="Times New Roman" w:hAnsi="Times New Roman" w:cs="Times New Roman"/>
                <w:color w:val="auto"/>
                <w:sz w:val="24"/>
                <w:szCs w:val="24"/>
                <w:lang w:val="en-US" w:eastAsia="zh-CN"/>
              </w:rPr>
              <w:t>垃圾渗滤液</w:t>
            </w:r>
            <w:r>
              <w:rPr>
                <w:rStyle w:val="45"/>
                <w:rFonts w:hint="default" w:ascii="Times New Roman" w:hAnsi="Times New Roman" w:eastAsia="宋体" w:cs="Times New Roman"/>
                <w:color w:val="auto"/>
                <w:sz w:val="24"/>
                <w:szCs w:val="24"/>
              </w:rPr>
              <w:t>一起排入</w:t>
            </w:r>
            <w:r>
              <w:rPr>
                <w:rStyle w:val="45"/>
                <w:rFonts w:hint="default" w:ascii="Times New Roman" w:hAnsi="Times New Roman" w:cs="Times New Roman"/>
                <w:color w:val="auto"/>
                <w:sz w:val="24"/>
                <w:szCs w:val="24"/>
                <w:lang w:val="en-US" w:eastAsia="zh-CN"/>
              </w:rPr>
              <w:t>垃圾渗滤液处理车间</w:t>
            </w:r>
            <w:r>
              <w:rPr>
                <w:rStyle w:val="45"/>
                <w:rFonts w:hint="default" w:ascii="Times New Roman" w:hAnsi="Times New Roman" w:eastAsia="宋体" w:cs="Times New Roman"/>
                <w:color w:val="auto"/>
                <w:sz w:val="24"/>
                <w:szCs w:val="24"/>
              </w:rPr>
              <w:t>，污水处理站采用“</w:t>
            </w:r>
            <w:r>
              <w:rPr>
                <w:rFonts w:hint="default" w:ascii="Times New Roman" w:hAnsi="Times New Roman" w:cs="Times New Roman"/>
                <w:color w:val="auto"/>
                <w:sz w:val="24"/>
                <w:szCs w:val="22"/>
              </w:rPr>
              <w:t>渗滤液→调节池→气浮设备→原水灌→两级DTRO系统→达标排放</w:t>
            </w:r>
            <w:r>
              <w:rPr>
                <w:rStyle w:val="45"/>
                <w:rFonts w:hint="default" w:ascii="Times New Roman" w:hAnsi="Times New Roman" w:eastAsia="宋体" w:cs="Times New Roman"/>
                <w:color w:val="auto"/>
                <w:sz w:val="24"/>
                <w:szCs w:val="24"/>
              </w:rPr>
              <w:t>”处理工艺，</w:t>
            </w:r>
            <w:r>
              <w:rPr>
                <w:rStyle w:val="45"/>
                <w:rFonts w:hint="default" w:ascii="Times New Roman" w:hAnsi="Times New Roman" w:cs="Times New Roman"/>
                <w:color w:val="auto"/>
                <w:sz w:val="24"/>
                <w:szCs w:val="24"/>
                <w:lang w:val="en-US" w:eastAsia="zh-CN"/>
              </w:rPr>
              <w:t>出水用罐车拉运至同江城市洁源污水处理厂处置。根据国内垃圾渗滤液处理现状实例，采用</w:t>
            </w:r>
            <w:r>
              <w:rPr>
                <w:rFonts w:hint="default" w:ascii="Times New Roman" w:hAnsi="Times New Roman" w:cs="Times New Roman"/>
                <w:color w:val="auto"/>
                <w:sz w:val="24"/>
                <w:szCs w:val="22"/>
              </w:rPr>
              <w:t>两级DTRO</w:t>
            </w:r>
            <w:r>
              <w:rPr>
                <w:rFonts w:hint="default" w:ascii="Times New Roman" w:hAnsi="Times New Roman" w:cs="Times New Roman"/>
                <w:color w:val="auto"/>
                <w:sz w:val="24"/>
                <w:szCs w:val="22"/>
                <w:lang w:val="en-US" w:eastAsia="zh-CN"/>
              </w:rPr>
              <w:t>工艺能够实习废水稳定达标排放，各构筑物进出水质及去除率表5-8，可知本工艺能够实现处理后的垃圾渗滤液稳定达标排放。</w:t>
            </w:r>
          </w:p>
          <w:p>
            <w:pPr>
              <w:snapToGrid w:val="0"/>
              <w:spacing w:line="360" w:lineRule="auto"/>
              <w:ind w:firstLine="480" w:firstLineChars="200"/>
              <w:rPr>
                <w:rStyle w:val="45"/>
                <w:rFonts w:hint="default" w:ascii="Times New Roman" w:hAnsi="Times New Roman" w:cs="Times New Roman"/>
                <w:color w:val="auto"/>
                <w:sz w:val="24"/>
                <w:szCs w:val="24"/>
                <w:lang w:val="en-US" w:eastAsia="zh-CN"/>
              </w:rPr>
            </w:pPr>
            <w:r>
              <w:rPr>
                <w:rStyle w:val="45"/>
                <w:rFonts w:hint="default" w:ascii="Times New Roman" w:hAnsi="Times New Roman" w:cs="Times New Roman"/>
                <w:color w:val="auto"/>
                <w:sz w:val="24"/>
                <w:szCs w:val="24"/>
                <w:lang w:val="en-US" w:eastAsia="zh-CN"/>
              </w:rPr>
              <w:t>该</w:t>
            </w:r>
            <w:r>
              <w:rPr>
                <w:rStyle w:val="45"/>
                <w:rFonts w:hint="default" w:ascii="Times New Roman" w:hAnsi="Times New Roman" w:eastAsia="宋体" w:cs="Times New Roman"/>
                <w:color w:val="auto"/>
                <w:sz w:val="24"/>
                <w:szCs w:val="24"/>
              </w:rPr>
              <w:t>工艺优点包括工程造价低、土建施工方</w:t>
            </w:r>
            <w:r>
              <w:rPr>
                <w:rStyle w:val="45"/>
                <w:rFonts w:hint="default" w:ascii="Times New Roman" w:hAnsi="Times New Roman" w:cs="Times New Roman"/>
                <w:color w:val="auto"/>
                <w:sz w:val="24"/>
                <w:szCs w:val="24"/>
                <w:lang w:val="en-US" w:eastAsia="zh-CN"/>
              </w:rPr>
              <w:t>便，处理效率较高；工艺简单可靠、技术成熟、管理方便、易于实现等。DTRO膜技术即碟管式膜技术，它的膜组件构造与传统的卷式膜着截然不同，原液流道：碟管式膜组件具有专利的流道设计形式，采用开放式流道，料液通过入口进入压力容器中，从导流盘与外壳之间的通道流到组件的另一端，在另一端法兰处，料液通过8个通道进入导流盘中，被处理的液体以最短的距离快速流经过滤膜，然后180º逆转到另一膜面，再从导流盘中心的槽口流入到下一个导流盘，从而在膜表面形成由导流盘圆周到圆中心，再到圆周，再到圆中心的双”S”形路线，浓缩液最后从进料端法兰处流出。这种特殊的水力学设计使处理液在压力作用下流经滤膜表面遇放射线碰撞时形成湍流，增加透过速率和自清洗功能，从而有效地避免了膜堵塞和浓度极化现象，成功地延长了膜片的使用寿命；清洗时也容易将膜片上的积垢洗净，保证碟管式膜组适用于处理高浑浊度和高含砂系数的废水，适应更恶劣的进水条件。</w:t>
            </w:r>
          </w:p>
          <w:p>
            <w:pPr>
              <w:snapToGrid w:val="0"/>
              <w:spacing w:line="360" w:lineRule="auto"/>
              <w:ind w:firstLine="480" w:firstLineChars="200"/>
              <w:rPr>
                <w:rStyle w:val="45"/>
                <w:rFonts w:hint="default" w:ascii="Times New Roman" w:hAnsi="Times New Roman" w:cs="Times New Roman"/>
                <w:color w:val="auto"/>
                <w:sz w:val="24"/>
                <w:szCs w:val="24"/>
                <w:lang w:val="en-US" w:eastAsia="zh-CN"/>
              </w:rPr>
            </w:pPr>
            <w:r>
              <w:rPr>
                <w:rStyle w:val="45"/>
                <w:rFonts w:hint="default" w:ascii="Times New Roman" w:hAnsi="Times New Roman" w:cs="Times New Roman"/>
                <w:color w:val="auto"/>
                <w:sz w:val="24"/>
                <w:szCs w:val="24"/>
                <w:lang w:val="en-US" w:eastAsia="zh-CN"/>
              </w:rPr>
              <w:t>透过液流道：过滤膜片由两张同心环状反渗透膜组成，膜中间夹着一层丝状支架，使通过膜片的净水可以快速流向出口。这三层环状材料的外环用超声波技术焊接，内环开口，为净水出口。渗透液在膜片中间沿丝状支架流到中心拉杆外围的透过液通道，导流盘上的O型密封圈防止原水进入透过液通道。所示透过液从膜片到中心的距离非常短，且对于组件内所的过滤膜片均相等。</w:t>
            </w:r>
          </w:p>
          <w:p>
            <w:pPr>
              <w:snapToGrid w:val="0"/>
              <w:spacing w:line="360" w:lineRule="auto"/>
              <w:ind w:firstLine="480" w:firstLineChars="200"/>
              <w:rPr>
                <w:rStyle w:val="45"/>
                <w:rFonts w:hint="default" w:ascii="Times New Roman" w:hAnsi="Times New Roman" w:cs="Times New Roman"/>
                <w:color w:val="auto"/>
                <w:sz w:val="24"/>
                <w:szCs w:val="24"/>
                <w:lang w:val="en-US" w:eastAsia="zh-CN"/>
              </w:rPr>
            </w:pPr>
            <w:r>
              <w:rPr>
                <w:rStyle w:val="45"/>
                <w:rFonts w:hint="default" w:ascii="Times New Roman" w:hAnsi="Times New Roman" w:cs="Times New Roman"/>
                <w:color w:val="auto"/>
                <w:sz w:val="24"/>
                <w:szCs w:val="24"/>
                <w:lang w:val="en-US" w:eastAsia="zh-CN"/>
              </w:rPr>
              <w:t>DTRO膜柱独特的结构使其具有以下特点，这也是膜分离工艺应用于渗滤液处理所必需的特性。</w:t>
            </w:r>
          </w:p>
          <w:p>
            <w:pPr>
              <w:snapToGrid w:val="0"/>
              <w:spacing w:line="360" w:lineRule="auto"/>
              <w:ind w:firstLine="480" w:firstLineChars="200"/>
              <w:rPr>
                <w:rStyle w:val="45"/>
                <w:rFonts w:hint="default" w:ascii="Times New Roman" w:hAnsi="Times New Roman" w:cs="Times New Roman"/>
                <w:color w:val="auto"/>
                <w:sz w:val="24"/>
                <w:szCs w:val="24"/>
                <w:lang w:val="en-US" w:eastAsia="zh-CN"/>
              </w:rPr>
            </w:pPr>
            <w:r>
              <w:rPr>
                <w:rStyle w:val="45"/>
                <w:rFonts w:hint="default" w:ascii="Times New Roman" w:hAnsi="Times New Roman" w:cs="Times New Roman"/>
                <w:color w:val="auto"/>
                <w:sz w:val="24"/>
                <w:szCs w:val="24"/>
                <w:lang w:val="en-US" w:eastAsia="zh-CN"/>
              </w:rPr>
              <w:t>1）最低程度的膜结垢和污染现象</w:t>
            </w:r>
          </w:p>
          <w:p>
            <w:pPr>
              <w:snapToGrid w:val="0"/>
              <w:spacing w:line="360" w:lineRule="auto"/>
              <w:ind w:firstLine="480" w:firstLineChars="200"/>
              <w:rPr>
                <w:rStyle w:val="45"/>
                <w:rFonts w:hint="default" w:ascii="Times New Roman" w:hAnsi="Times New Roman" w:cs="Times New Roman"/>
                <w:color w:val="auto"/>
                <w:sz w:val="24"/>
                <w:szCs w:val="24"/>
                <w:lang w:val="en-US" w:eastAsia="zh-CN"/>
              </w:rPr>
            </w:pPr>
            <w:r>
              <w:rPr>
                <w:rStyle w:val="45"/>
                <w:rFonts w:hint="default" w:ascii="Times New Roman" w:hAnsi="Times New Roman" w:cs="Times New Roman"/>
                <w:color w:val="auto"/>
                <w:sz w:val="24"/>
                <w:szCs w:val="24"/>
                <w:lang w:val="en-US" w:eastAsia="zh-CN"/>
              </w:rPr>
              <w:t>DTRO组件具备开放式宽流道及独特的放射线导流盘，料液在组件中形成湍流状态，最大程度上减少了膜表面结垢、污染及浓差极化现象的产生，使得DTRO组件即使在高压操作压力下也能体现其优越的性能。</w:t>
            </w:r>
          </w:p>
          <w:p>
            <w:pPr>
              <w:snapToGrid w:val="0"/>
              <w:spacing w:line="360" w:lineRule="auto"/>
              <w:ind w:firstLine="480" w:firstLineChars="200"/>
              <w:rPr>
                <w:rStyle w:val="45"/>
                <w:rFonts w:hint="default" w:ascii="Times New Roman" w:hAnsi="Times New Roman" w:cs="Times New Roman"/>
                <w:color w:val="auto"/>
                <w:sz w:val="24"/>
                <w:szCs w:val="24"/>
                <w:lang w:val="en-US" w:eastAsia="zh-CN"/>
              </w:rPr>
            </w:pPr>
            <w:r>
              <w:rPr>
                <w:rStyle w:val="45"/>
                <w:rFonts w:hint="default" w:ascii="Times New Roman" w:hAnsi="Times New Roman" w:cs="Times New Roman"/>
                <w:color w:val="auto"/>
                <w:sz w:val="24"/>
                <w:szCs w:val="24"/>
                <w:lang w:val="en-US" w:eastAsia="zh-CN"/>
              </w:rPr>
              <w:t>2）膜使用寿命长</w:t>
            </w:r>
          </w:p>
          <w:p>
            <w:pPr>
              <w:snapToGrid w:val="0"/>
              <w:spacing w:line="360" w:lineRule="auto"/>
              <w:ind w:firstLine="480" w:firstLineChars="200"/>
              <w:rPr>
                <w:rStyle w:val="45"/>
                <w:rFonts w:hint="default" w:ascii="Times New Roman" w:hAnsi="Times New Roman" w:cs="Times New Roman"/>
                <w:color w:val="auto"/>
                <w:sz w:val="24"/>
                <w:szCs w:val="24"/>
                <w:lang w:val="en-US" w:eastAsia="zh-CN"/>
              </w:rPr>
            </w:pPr>
            <w:r>
              <w:rPr>
                <w:rStyle w:val="45"/>
                <w:rFonts w:hint="default" w:ascii="Times New Roman" w:hAnsi="Times New Roman" w:cs="Times New Roman"/>
                <w:color w:val="auto"/>
                <w:sz w:val="24"/>
                <w:szCs w:val="24"/>
                <w:lang w:val="en-US" w:eastAsia="zh-CN"/>
              </w:rPr>
              <w:t>DTRO膜组件有效避免膜的结垢，膜污染减轻，使反渗透膜的寿命延长。DTRO的特殊结构及水力学设计使膜组易于清洗，清洗后通量恢复性非常好，从而延长了膜片寿命。</w:t>
            </w:r>
          </w:p>
          <w:p>
            <w:pPr>
              <w:snapToGrid w:val="0"/>
              <w:spacing w:line="360" w:lineRule="auto"/>
              <w:ind w:firstLine="480" w:firstLineChars="200"/>
              <w:rPr>
                <w:rStyle w:val="45"/>
                <w:rFonts w:hint="default" w:ascii="Times New Roman" w:hAnsi="Times New Roman" w:cs="Times New Roman"/>
                <w:color w:val="auto"/>
                <w:sz w:val="24"/>
                <w:szCs w:val="24"/>
                <w:lang w:val="en-US" w:eastAsia="zh-CN"/>
              </w:rPr>
            </w:pPr>
            <w:r>
              <w:rPr>
                <w:rStyle w:val="45"/>
                <w:rFonts w:hint="default" w:ascii="Times New Roman" w:hAnsi="Times New Roman" w:cs="Times New Roman"/>
                <w:color w:val="auto"/>
                <w:sz w:val="24"/>
                <w:szCs w:val="24"/>
                <w:lang w:val="en-US" w:eastAsia="zh-CN"/>
              </w:rPr>
              <w:t>3）组件易于维护</w:t>
            </w:r>
          </w:p>
          <w:p>
            <w:pPr>
              <w:snapToGrid w:val="0"/>
              <w:spacing w:line="360" w:lineRule="auto"/>
              <w:ind w:firstLine="480" w:firstLineChars="200"/>
              <w:rPr>
                <w:rStyle w:val="45"/>
                <w:rFonts w:hint="default" w:ascii="Times New Roman" w:hAnsi="Times New Roman" w:cs="Times New Roman"/>
                <w:color w:val="auto"/>
                <w:sz w:val="24"/>
                <w:szCs w:val="24"/>
                <w:lang w:val="en-US" w:eastAsia="zh-CN"/>
              </w:rPr>
            </w:pPr>
            <w:r>
              <w:rPr>
                <w:rStyle w:val="45"/>
                <w:rFonts w:hint="default" w:ascii="Times New Roman" w:hAnsi="Times New Roman" w:cs="Times New Roman"/>
                <w:color w:val="auto"/>
                <w:sz w:val="24"/>
                <w:szCs w:val="24"/>
                <w:lang w:val="en-US" w:eastAsia="zh-CN"/>
              </w:rPr>
              <w:t>DTRO膜组件采用标准化设计，组件易于拆卸维护，打开DTRO组件可以轻松检查维护任何一片过滤膜片及其它部件，维修简单，当零部件数量不够时，组件允许少装一些膜片及导流盘而不影响DTRO膜组件的使用，这是其它形式膜组件所无法达到的。</w:t>
            </w:r>
          </w:p>
          <w:p>
            <w:pPr>
              <w:snapToGrid w:val="0"/>
              <w:spacing w:line="360" w:lineRule="auto"/>
              <w:ind w:firstLine="480" w:firstLineChars="200"/>
              <w:rPr>
                <w:rStyle w:val="45"/>
                <w:rFonts w:hint="default" w:ascii="Times New Roman" w:hAnsi="Times New Roman" w:cs="Times New Roman"/>
                <w:color w:val="auto"/>
                <w:sz w:val="24"/>
                <w:szCs w:val="24"/>
                <w:lang w:val="en-US" w:eastAsia="zh-CN"/>
              </w:rPr>
            </w:pPr>
            <w:r>
              <w:rPr>
                <w:rStyle w:val="45"/>
                <w:rFonts w:hint="default" w:ascii="Times New Roman" w:hAnsi="Times New Roman" w:cs="Times New Roman"/>
                <w:color w:val="auto"/>
                <w:sz w:val="24"/>
                <w:szCs w:val="24"/>
                <w:lang w:val="en-US" w:eastAsia="zh-CN"/>
              </w:rPr>
              <w:t>4）过滤膜片更换费用低</w:t>
            </w:r>
          </w:p>
          <w:p>
            <w:pPr>
              <w:snapToGrid w:val="0"/>
              <w:spacing w:line="360" w:lineRule="auto"/>
              <w:ind w:firstLine="480" w:firstLineChars="200"/>
              <w:rPr>
                <w:rStyle w:val="45"/>
                <w:rFonts w:hint="default" w:ascii="Times New Roman" w:hAnsi="Times New Roman" w:cs="Times New Roman"/>
                <w:color w:val="auto"/>
                <w:sz w:val="24"/>
                <w:szCs w:val="24"/>
                <w:lang w:val="en-US" w:eastAsia="zh-CN"/>
              </w:rPr>
            </w:pPr>
            <w:r>
              <w:rPr>
                <w:rStyle w:val="45"/>
                <w:rFonts w:hint="default" w:ascii="Times New Roman" w:hAnsi="Times New Roman" w:cs="Times New Roman"/>
                <w:color w:val="auto"/>
                <w:sz w:val="24"/>
                <w:szCs w:val="24"/>
                <w:lang w:val="en-US" w:eastAsia="zh-CN"/>
              </w:rPr>
              <w:t>DTRO组件内部任何单个部件均允许单独更换。过滤部分由多个过滤膜片及导流盘装配而成，当过滤膜片需更换时可进行单个更换，对于过滤性能好的膜片仍可继续使用，这最大程序减少了换膜成本，这是卷式、中空纤维等其它形式膜组件所无法达到的，比如当卷式膜出现补丁、局部泄漏等质量问题或需更换新膜时只能整个膜组件更换。</w:t>
            </w:r>
          </w:p>
          <w:p>
            <w:pPr>
              <w:snapToGrid w:val="0"/>
              <w:spacing w:line="360" w:lineRule="auto"/>
              <w:ind w:firstLine="480" w:firstLineChars="200"/>
              <w:rPr>
                <w:rStyle w:val="45"/>
                <w:rFonts w:hint="default" w:ascii="Times New Roman" w:hAnsi="Times New Roman" w:cs="Times New Roman"/>
                <w:color w:val="auto"/>
                <w:sz w:val="24"/>
                <w:szCs w:val="24"/>
                <w:lang w:val="en-US" w:eastAsia="zh-CN"/>
              </w:rPr>
            </w:pPr>
            <w:r>
              <w:rPr>
                <w:rStyle w:val="45"/>
                <w:rFonts w:hint="default" w:ascii="Times New Roman" w:hAnsi="Times New Roman" w:cs="Times New Roman"/>
                <w:color w:val="auto"/>
                <w:sz w:val="24"/>
                <w:szCs w:val="24"/>
                <w:lang w:val="en-US" w:eastAsia="zh-CN"/>
              </w:rPr>
              <w:t>5）出水水质好、稳定，受外界因素影响小</w:t>
            </w:r>
          </w:p>
          <w:p>
            <w:pPr>
              <w:snapToGrid w:val="0"/>
              <w:spacing w:line="360" w:lineRule="auto"/>
              <w:ind w:firstLine="480" w:firstLineChars="200"/>
              <w:rPr>
                <w:rStyle w:val="45"/>
                <w:rFonts w:hint="default" w:ascii="Times New Roman" w:hAnsi="Times New Roman" w:cs="Times New Roman"/>
                <w:color w:val="auto"/>
                <w:sz w:val="24"/>
                <w:szCs w:val="24"/>
                <w:lang w:val="en-US" w:eastAsia="zh-CN"/>
              </w:rPr>
            </w:pPr>
            <w:r>
              <w:rPr>
                <w:rStyle w:val="45"/>
                <w:rFonts w:hint="default" w:ascii="Times New Roman" w:hAnsi="Times New Roman" w:cs="Times New Roman"/>
                <w:color w:val="auto"/>
                <w:sz w:val="24"/>
                <w:szCs w:val="24"/>
                <w:lang w:val="en-US" w:eastAsia="zh-CN"/>
              </w:rPr>
              <w:t>由于影响膜系统截留率的因素较少，所以系统出水水质很稳定，不受可生化性、炭氮比等因素的影响，对于处理不宜采用生化处理的老垃圾场渗滤液有着很大的优势；</w:t>
            </w:r>
          </w:p>
          <w:p>
            <w:pPr>
              <w:snapToGrid w:val="0"/>
              <w:spacing w:line="360" w:lineRule="auto"/>
              <w:ind w:firstLine="480" w:firstLineChars="200"/>
              <w:rPr>
                <w:rStyle w:val="45"/>
                <w:rFonts w:hint="default" w:ascii="Times New Roman" w:hAnsi="Times New Roman" w:cs="Times New Roman"/>
                <w:color w:val="auto"/>
                <w:sz w:val="24"/>
                <w:szCs w:val="24"/>
                <w:lang w:val="en-US" w:eastAsia="zh-CN"/>
              </w:rPr>
            </w:pPr>
            <w:r>
              <w:rPr>
                <w:rStyle w:val="45"/>
                <w:rFonts w:hint="default" w:ascii="Times New Roman" w:hAnsi="Times New Roman" w:cs="Times New Roman"/>
                <w:color w:val="auto"/>
                <w:sz w:val="24"/>
                <w:szCs w:val="24"/>
                <w:lang w:val="en-US" w:eastAsia="zh-CN"/>
              </w:rPr>
              <w:t>6）运行灵活</w:t>
            </w:r>
          </w:p>
          <w:p>
            <w:pPr>
              <w:snapToGrid w:val="0"/>
              <w:spacing w:line="360" w:lineRule="auto"/>
              <w:ind w:firstLine="480" w:firstLineChars="200"/>
              <w:rPr>
                <w:rStyle w:val="45"/>
                <w:rFonts w:hint="default" w:ascii="Times New Roman" w:hAnsi="Times New Roman" w:cs="Times New Roman"/>
                <w:color w:val="auto"/>
                <w:sz w:val="24"/>
                <w:szCs w:val="24"/>
                <w:lang w:val="en-US" w:eastAsia="zh-CN"/>
              </w:rPr>
            </w:pPr>
            <w:r>
              <w:rPr>
                <w:rStyle w:val="45"/>
                <w:rFonts w:hint="default" w:ascii="Times New Roman" w:hAnsi="Times New Roman" w:cs="Times New Roman"/>
                <w:color w:val="auto"/>
                <w:sz w:val="24"/>
                <w:szCs w:val="24"/>
                <w:lang w:val="en-US" w:eastAsia="zh-CN"/>
              </w:rPr>
              <w:t>DTRO膜系统作为一套物理分离设备，操作十分灵活，可以连续运行，也可间歇运行，还可以调整系统的串并联方式，来适应水质水量的要求；</w:t>
            </w:r>
          </w:p>
          <w:p>
            <w:pPr>
              <w:snapToGrid w:val="0"/>
              <w:spacing w:line="360" w:lineRule="auto"/>
              <w:ind w:firstLine="480" w:firstLineChars="200"/>
              <w:rPr>
                <w:rStyle w:val="45"/>
                <w:rFonts w:hint="default" w:ascii="Times New Roman" w:hAnsi="Times New Roman" w:cs="Times New Roman"/>
                <w:color w:val="auto"/>
                <w:sz w:val="24"/>
                <w:szCs w:val="24"/>
                <w:lang w:val="en-US" w:eastAsia="zh-CN"/>
              </w:rPr>
            </w:pPr>
            <w:r>
              <w:rPr>
                <w:rStyle w:val="45"/>
                <w:rFonts w:hint="default" w:ascii="Times New Roman" w:hAnsi="Times New Roman" w:cs="Times New Roman"/>
                <w:color w:val="auto"/>
                <w:sz w:val="24"/>
                <w:szCs w:val="24"/>
                <w:lang w:val="en-US" w:eastAsia="zh-CN"/>
              </w:rPr>
              <w:t>7）建设周期短，调试、启动迅速</w:t>
            </w:r>
          </w:p>
          <w:p>
            <w:pPr>
              <w:snapToGrid w:val="0"/>
              <w:spacing w:line="360" w:lineRule="auto"/>
              <w:ind w:firstLine="480" w:firstLineChars="200"/>
              <w:rPr>
                <w:rStyle w:val="45"/>
                <w:rFonts w:hint="default" w:ascii="Times New Roman" w:hAnsi="Times New Roman" w:cs="Times New Roman"/>
                <w:color w:val="auto"/>
                <w:sz w:val="24"/>
                <w:szCs w:val="24"/>
                <w:lang w:val="en-US" w:eastAsia="zh-CN"/>
              </w:rPr>
            </w:pPr>
            <w:r>
              <w:rPr>
                <w:rStyle w:val="45"/>
                <w:rFonts w:hint="default" w:ascii="Times New Roman" w:hAnsi="Times New Roman" w:cs="Times New Roman"/>
                <w:color w:val="auto"/>
                <w:sz w:val="24"/>
                <w:szCs w:val="24"/>
                <w:lang w:val="en-US" w:eastAsia="zh-CN"/>
              </w:rPr>
              <w:t>DTRO膜系统的建设主要为机械加工，附以配套的厂房、水池建设，规模很小，建设速度快。设备运抵现场后只需两周左右的时间安装调试工作就可完成；</w:t>
            </w:r>
          </w:p>
          <w:p>
            <w:pPr>
              <w:snapToGrid w:val="0"/>
              <w:spacing w:line="360" w:lineRule="auto"/>
              <w:ind w:firstLine="480" w:firstLineChars="200"/>
              <w:rPr>
                <w:rStyle w:val="45"/>
                <w:rFonts w:hint="default" w:ascii="Times New Roman" w:hAnsi="Times New Roman" w:cs="Times New Roman"/>
                <w:color w:val="auto"/>
                <w:sz w:val="24"/>
                <w:szCs w:val="24"/>
                <w:lang w:val="en-US" w:eastAsia="zh-CN"/>
              </w:rPr>
            </w:pPr>
            <w:r>
              <w:rPr>
                <w:rStyle w:val="45"/>
                <w:rFonts w:hint="default" w:ascii="Times New Roman" w:hAnsi="Times New Roman" w:cs="Times New Roman"/>
                <w:color w:val="auto"/>
                <w:sz w:val="24"/>
                <w:szCs w:val="24"/>
                <w:lang w:val="en-US" w:eastAsia="zh-CN"/>
              </w:rPr>
              <w:t>8）自动化程度高，操作运行简便</w:t>
            </w:r>
          </w:p>
          <w:p>
            <w:pPr>
              <w:snapToGrid w:val="0"/>
              <w:spacing w:line="360" w:lineRule="auto"/>
              <w:ind w:firstLine="480" w:firstLineChars="200"/>
              <w:rPr>
                <w:rStyle w:val="45"/>
                <w:rFonts w:hint="default" w:ascii="Times New Roman" w:hAnsi="Times New Roman" w:cs="Times New Roman"/>
                <w:color w:val="auto"/>
                <w:sz w:val="24"/>
                <w:szCs w:val="24"/>
                <w:lang w:val="en-US" w:eastAsia="zh-CN"/>
              </w:rPr>
            </w:pPr>
            <w:r>
              <w:rPr>
                <w:rStyle w:val="45"/>
                <w:rFonts w:hint="default" w:ascii="Times New Roman" w:hAnsi="Times New Roman" w:cs="Times New Roman"/>
                <w:color w:val="auto"/>
                <w:sz w:val="24"/>
                <w:szCs w:val="24"/>
                <w:lang w:val="en-US" w:eastAsia="zh-CN"/>
              </w:rPr>
              <w:t>DTRO膜系统为全自动式，整个系统设有完善的监测、控制系统，PLC可以根据传感器参数自动调节，适时发出报警信号，对系统形成保护，操作人员只需根据操作手册查找错误代码排除故障，对操作人员的经验没有过高的要求；</w:t>
            </w:r>
          </w:p>
          <w:p>
            <w:pPr>
              <w:snapToGrid w:val="0"/>
              <w:spacing w:line="360" w:lineRule="auto"/>
              <w:ind w:firstLine="480" w:firstLineChars="200"/>
              <w:rPr>
                <w:rStyle w:val="45"/>
                <w:rFonts w:hint="default" w:ascii="Times New Roman" w:hAnsi="Times New Roman" w:cs="Times New Roman"/>
                <w:color w:val="auto"/>
                <w:sz w:val="24"/>
                <w:szCs w:val="24"/>
                <w:lang w:val="en-US" w:eastAsia="zh-CN"/>
              </w:rPr>
            </w:pPr>
            <w:r>
              <w:rPr>
                <w:rStyle w:val="45"/>
                <w:rFonts w:hint="default" w:ascii="Times New Roman" w:hAnsi="Times New Roman" w:cs="Times New Roman"/>
                <w:color w:val="auto"/>
                <w:sz w:val="24"/>
                <w:szCs w:val="24"/>
                <w:lang w:val="en-US" w:eastAsia="zh-CN"/>
              </w:rPr>
              <w:t>9）占地面积小</w:t>
            </w:r>
          </w:p>
          <w:p>
            <w:pPr>
              <w:snapToGrid w:val="0"/>
              <w:spacing w:line="360" w:lineRule="auto"/>
              <w:ind w:firstLine="480" w:firstLineChars="200"/>
              <w:rPr>
                <w:rStyle w:val="45"/>
                <w:rFonts w:hint="default" w:ascii="Times New Roman" w:hAnsi="Times New Roman" w:cs="Times New Roman"/>
                <w:color w:val="auto"/>
                <w:sz w:val="24"/>
                <w:szCs w:val="24"/>
                <w:lang w:val="en-US" w:eastAsia="zh-CN"/>
              </w:rPr>
            </w:pPr>
            <w:r>
              <w:rPr>
                <w:rStyle w:val="45"/>
                <w:rFonts w:hint="default" w:ascii="Times New Roman" w:hAnsi="Times New Roman" w:cs="Times New Roman"/>
                <w:color w:val="auto"/>
                <w:sz w:val="24"/>
                <w:szCs w:val="24"/>
                <w:lang w:val="en-US" w:eastAsia="zh-CN"/>
              </w:rPr>
              <w:t>DTRO膜系统为集成式安装，附属构筑物及设施也是一些小型构筑物，占地面积很小；</w:t>
            </w:r>
          </w:p>
          <w:p>
            <w:pPr>
              <w:snapToGrid w:val="0"/>
              <w:spacing w:line="360" w:lineRule="auto"/>
              <w:ind w:firstLine="480" w:firstLineChars="200"/>
              <w:rPr>
                <w:rStyle w:val="45"/>
                <w:rFonts w:hint="default" w:ascii="Times New Roman" w:hAnsi="Times New Roman" w:cs="Times New Roman"/>
                <w:color w:val="auto"/>
                <w:sz w:val="24"/>
                <w:szCs w:val="24"/>
                <w:lang w:val="en-US" w:eastAsia="zh-CN"/>
              </w:rPr>
            </w:pPr>
            <w:r>
              <w:rPr>
                <w:rStyle w:val="45"/>
                <w:rFonts w:hint="default" w:ascii="Times New Roman" w:hAnsi="Times New Roman" w:cs="Times New Roman"/>
                <w:color w:val="auto"/>
                <w:sz w:val="24"/>
                <w:szCs w:val="24"/>
                <w:lang w:val="en-US" w:eastAsia="zh-CN"/>
              </w:rPr>
              <w:t>10）可移动性能强</w:t>
            </w:r>
          </w:p>
          <w:p>
            <w:pPr>
              <w:snapToGrid w:val="0"/>
              <w:spacing w:line="360" w:lineRule="auto"/>
              <w:ind w:firstLine="480" w:firstLineChars="200"/>
              <w:rPr>
                <w:rStyle w:val="45"/>
                <w:rFonts w:hint="default" w:ascii="Times New Roman" w:hAnsi="Times New Roman" w:cs="Times New Roman"/>
                <w:color w:val="auto"/>
                <w:sz w:val="24"/>
                <w:szCs w:val="24"/>
                <w:lang w:val="en-US" w:eastAsia="zh-CN"/>
              </w:rPr>
            </w:pPr>
            <w:r>
              <w:rPr>
                <w:rStyle w:val="45"/>
                <w:rFonts w:hint="default" w:ascii="Times New Roman" w:hAnsi="Times New Roman" w:cs="Times New Roman"/>
                <w:color w:val="auto"/>
                <w:sz w:val="24"/>
                <w:szCs w:val="24"/>
                <w:lang w:val="en-US" w:eastAsia="zh-CN"/>
              </w:rPr>
              <w:t>可以安装在集装箱内，也可以安装在厂房里，一个项目结束后可以移至其它项目继续使用。</w:t>
            </w:r>
          </w:p>
          <w:p>
            <w:pPr>
              <w:snapToGrid w:val="0"/>
              <w:spacing w:line="360" w:lineRule="auto"/>
              <w:ind w:firstLine="480" w:firstLineChars="200"/>
              <w:rPr>
                <w:rStyle w:val="45"/>
                <w:rFonts w:hint="default" w:ascii="Times New Roman" w:hAnsi="Times New Roman" w:cs="Times New Roman"/>
                <w:color w:val="auto"/>
                <w:sz w:val="24"/>
                <w:szCs w:val="24"/>
                <w:lang w:val="en-US" w:eastAsia="zh-CN"/>
              </w:rPr>
            </w:pPr>
            <w:r>
              <w:rPr>
                <w:rStyle w:val="45"/>
                <w:rFonts w:hint="default" w:ascii="Times New Roman" w:hAnsi="Times New Roman" w:cs="Times New Roman"/>
                <w:color w:val="auto"/>
                <w:sz w:val="24"/>
                <w:szCs w:val="24"/>
                <w:lang w:val="en-US" w:eastAsia="zh-CN"/>
              </w:rPr>
              <w:t>（3）同江市洁源污水处理厂</w:t>
            </w:r>
          </w:p>
          <w:p>
            <w:pPr>
              <w:snapToGrid w:val="0"/>
              <w:spacing w:line="360" w:lineRule="auto"/>
              <w:ind w:firstLine="480" w:firstLineChars="200"/>
              <w:rPr>
                <w:rStyle w:val="45"/>
                <w:rFonts w:hint="default" w:ascii="Times New Roman" w:hAnsi="Times New Roman" w:cs="Times New Roman"/>
                <w:color w:val="auto"/>
                <w:sz w:val="24"/>
                <w:szCs w:val="24"/>
                <w:lang w:val="en-US" w:eastAsia="zh-CN"/>
              </w:rPr>
            </w:pPr>
            <w:r>
              <w:rPr>
                <w:rStyle w:val="45"/>
                <w:rFonts w:hint="default" w:ascii="Times New Roman" w:hAnsi="Times New Roman" w:cs="Times New Roman"/>
                <w:color w:val="auto"/>
                <w:sz w:val="24"/>
                <w:szCs w:val="24"/>
                <w:lang w:val="en-US" w:eastAsia="zh-CN"/>
              </w:rPr>
              <w:t>同江市洁源污水处理厂坐落于黑龙江佳木斯市，厂区具体位于同江市区东南友谊路与新城街交汇处东南，设计处理能力为日处理污水2.00万立方米。主要建设内容包括厂区土建施工，工艺设备、工艺管道安装，电气、自控系统安装，照明，防雷接地，采暖，通风，厂区道路施工及绿化等。同江市洁源污水处理厂（</w:t>
            </w:r>
            <w:r>
              <w:rPr>
                <w:rStyle w:val="45"/>
                <w:rFonts w:hint="eastAsia" w:cs="Times New Roman"/>
                <w:color w:val="auto"/>
                <w:sz w:val="24"/>
                <w:szCs w:val="24"/>
                <w:lang w:val="en-US" w:eastAsia="zh-CN"/>
              </w:rPr>
              <w:t>同江市洁源污水处理厂</w:t>
            </w:r>
            <w:r>
              <w:rPr>
                <w:rStyle w:val="45"/>
                <w:rFonts w:hint="default" w:ascii="Times New Roman" w:hAnsi="Times New Roman" w:cs="Times New Roman"/>
                <w:color w:val="auto"/>
                <w:sz w:val="24"/>
                <w:szCs w:val="24"/>
                <w:lang w:val="en-US" w:eastAsia="zh-CN"/>
              </w:rPr>
              <w:t>）自2010年7月正式投入运行以来，污水处理设备运转良好，日平均处理污水量为1.15 万立方米。该项目采用先进的污水处理设备，厂区主体工艺采用MBR处理工艺，剩余处理能力0.85万m</w:t>
            </w:r>
            <w:r>
              <w:rPr>
                <w:rStyle w:val="45"/>
                <w:rFonts w:hint="default" w:ascii="Times New Roman" w:hAnsi="Times New Roman" w:cs="Times New Roman"/>
                <w:color w:val="auto"/>
                <w:sz w:val="24"/>
                <w:szCs w:val="24"/>
                <w:vertAlign w:val="superscript"/>
                <w:lang w:val="en-US" w:eastAsia="zh-CN"/>
              </w:rPr>
              <w:t>3</w:t>
            </w:r>
            <w:r>
              <w:rPr>
                <w:rStyle w:val="45"/>
                <w:rFonts w:hint="default" w:ascii="Times New Roman" w:hAnsi="Times New Roman" w:cs="Times New Roman"/>
                <w:color w:val="auto"/>
                <w:sz w:val="24"/>
                <w:szCs w:val="24"/>
                <w:lang w:val="en-US" w:eastAsia="zh-CN"/>
              </w:rPr>
              <w:t>/d。本项目为改扩建项目，原有垃圾渗滤液处理后用罐车拉运至该污水处理厂，本次扩建后采用同样的方式，日产污水200m</w:t>
            </w:r>
            <w:r>
              <w:rPr>
                <w:rStyle w:val="45"/>
                <w:rFonts w:hint="default" w:ascii="Times New Roman" w:hAnsi="Times New Roman" w:cs="Times New Roman"/>
                <w:color w:val="auto"/>
                <w:sz w:val="24"/>
                <w:szCs w:val="24"/>
                <w:vertAlign w:val="superscript"/>
                <w:lang w:val="en-US" w:eastAsia="zh-CN"/>
              </w:rPr>
              <w:t>3</w:t>
            </w:r>
            <w:r>
              <w:rPr>
                <w:rStyle w:val="45"/>
                <w:rFonts w:hint="default" w:ascii="Times New Roman" w:hAnsi="Times New Roman" w:cs="Times New Roman"/>
                <w:color w:val="auto"/>
                <w:sz w:val="24"/>
                <w:szCs w:val="24"/>
                <w:lang w:val="en-US" w:eastAsia="zh-CN"/>
              </w:rPr>
              <w:t>/d，其中150m</w:t>
            </w:r>
            <w:r>
              <w:rPr>
                <w:rStyle w:val="45"/>
                <w:rFonts w:hint="default" w:ascii="Times New Roman" w:hAnsi="Times New Roman" w:cs="Times New Roman"/>
                <w:color w:val="auto"/>
                <w:sz w:val="24"/>
                <w:szCs w:val="24"/>
                <w:vertAlign w:val="superscript"/>
                <w:lang w:val="en-US" w:eastAsia="zh-CN"/>
              </w:rPr>
              <w:t>3/</w:t>
            </w:r>
            <w:r>
              <w:rPr>
                <w:rStyle w:val="45"/>
                <w:rFonts w:hint="default" w:ascii="Times New Roman" w:hAnsi="Times New Roman" w:cs="Times New Roman"/>
                <w:color w:val="auto"/>
                <w:sz w:val="24"/>
                <w:szCs w:val="24"/>
                <w:lang w:val="en-US" w:eastAsia="zh-CN"/>
              </w:rPr>
              <w:t>d用罐车拉运至该污水处理厂，污水处理厂从处理余量以及工艺均能满足本项目污水的需求。因此本项目处理后的污水拉运至同江市洁源污水处理厂可行。</w:t>
            </w:r>
          </w:p>
          <w:p>
            <w:pPr>
              <w:adjustRightInd w:val="0"/>
              <w:snapToGrid w:val="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w:t>
            </w:r>
            <w:r>
              <w:rPr>
                <w:rFonts w:hint="default" w:ascii="Times New Roman" w:hAnsi="Times New Roman" w:cs="Times New Roman"/>
                <w:b/>
                <w:color w:val="auto"/>
                <w:sz w:val="24"/>
                <w:szCs w:val="24"/>
                <w:lang w:val="en-US" w:eastAsia="zh-CN"/>
              </w:rPr>
              <w:t>7-12</w:t>
            </w:r>
            <w:r>
              <w:rPr>
                <w:rFonts w:hint="default" w:ascii="Times New Roman" w:hAnsi="Times New Roman" w:cs="Times New Roman"/>
                <w:b/>
                <w:color w:val="auto"/>
                <w:sz w:val="24"/>
                <w:szCs w:val="24"/>
              </w:rPr>
              <w:t xml:space="preserve"> 废水类别、污染物及污染治理设施信息表</w:t>
            </w:r>
          </w:p>
          <w:tbl>
            <w:tblPr>
              <w:tblStyle w:val="33"/>
              <w:tblW w:w="91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742"/>
              <w:gridCol w:w="934"/>
              <w:gridCol w:w="573"/>
              <w:gridCol w:w="592"/>
              <w:gridCol w:w="961"/>
              <w:gridCol w:w="1021"/>
              <w:gridCol w:w="1107"/>
              <w:gridCol w:w="786"/>
              <w:gridCol w:w="754"/>
              <w:gridCol w:w="12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dxa"/>
                  <w:vMerge w:val="restart"/>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sz w:val="18"/>
                      <w:szCs w:val="18"/>
                    </w:rPr>
                    <w:t>序号</w:t>
                  </w:r>
                </w:p>
              </w:tc>
              <w:tc>
                <w:tcPr>
                  <w:tcW w:w="764" w:type="dxa"/>
                  <w:vMerge w:val="restart"/>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sz w:val="18"/>
                      <w:szCs w:val="18"/>
                    </w:rPr>
                    <w:t>废水类别</w:t>
                  </w:r>
                </w:p>
              </w:tc>
              <w:tc>
                <w:tcPr>
                  <w:tcW w:w="940" w:type="dxa"/>
                  <w:vMerge w:val="restart"/>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sz w:val="18"/>
                      <w:szCs w:val="18"/>
                    </w:rPr>
                    <w:t>污染物种类</w:t>
                  </w:r>
                </w:p>
              </w:tc>
              <w:tc>
                <w:tcPr>
                  <w:tcW w:w="584" w:type="dxa"/>
                  <w:vMerge w:val="restart"/>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排放去向</w:t>
                  </w:r>
                </w:p>
              </w:tc>
              <w:tc>
                <w:tcPr>
                  <w:tcW w:w="604" w:type="dxa"/>
                  <w:vMerge w:val="restart"/>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排放</w:t>
                  </w:r>
                </w:p>
                <w:p>
                  <w:pPr>
                    <w:pStyle w:val="132"/>
                    <w:keepNext w:val="0"/>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sz w:val="18"/>
                      <w:szCs w:val="18"/>
                    </w:rPr>
                    <w:t>规律</w:t>
                  </w:r>
                </w:p>
              </w:tc>
              <w:tc>
                <w:tcPr>
                  <w:tcW w:w="3165" w:type="dxa"/>
                  <w:gridSpan w:val="3"/>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sz w:val="18"/>
                      <w:szCs w:val="18"/>
                    </w:rPr>
                    <w:t>污染治理设施</w:t>
                  </w:r>
                </w:p>
              </w:tc>
              <w:tc>
                <w:tcPr>
                  <w:tcW w:w="580" w:type="dxa"/>
                  <w:vMerge w:val="restart"/>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sz w:val="18"/>
                      <w:szCs w:val="18"/>
                    </w:rPr>
                    <w:t>排放口编号</w:t>
                  </w:r>
                </w:p>
              </w:tc>
              <w:tc>
                <w:tcPr>
                  <w:tcW w:w="777" w:type="dxa"/>
                  <w:vMerge w:val="restart"/>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sz w:val="18"/>
                      <w:szCs w:val="18"/>
                    </w:rPr>
                    <w:t>排放口设施是否符合要求</w:t>
                  </w:r>
                </w:p>
              </w:tc>
              <w:tc>
                <w:tcPr>
                  <w:tcW w:w="1253" w:type="dxa"/>
                  <w:vMerge w:val="restart"/>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sz w:val="18"/>
                      <w:szCs w:val="18"/>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auto"/>
                      <w:sz w:val="18"/>
                      <w:szCs w:val="18"/>
                    </w:rPr>
                  </w:pPr>
                </w:p>
              </w:tc>
              <w:tc>
                <w:tcPr>
                  <w:tcW w:w="76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auto"/>
                      <w:sz w:val="18"/>
                      <w:szCs w:val="18"/>
                    </w:rPr>
                  </w:pPr>
                </w:p>
              </w:tc>
              <w:tc>
                <w:tcPr>
                  <w:tcW w:w="9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auto"/>
                      <w:sz w:val="18"/>
                      <w:szCs w:val="18"/>
                    </w:rPr>
                  </w:pPr>
                </w:p>
              </w:tc>
              <w:tc>
                <w:tcPr>
                  <w:tcW w:w="5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auto"/>
                      <w:sz w:val="18"/>
                      <w:szCs w:val="18"/>
                    </w:rPr>
                  </w:pPr>
                </w:p>
              </w:tc>
              <w:tc>
                <w:tcPr>
                  <w:tcW w:w="6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auto"/>
                      <w:sz w:val="18"/>
                      <w:szCs w:val="18"/>
                    </w:rPr>
                  </w:pPr>
                </w:p>
              </w:tc>
              <w:tc>
                <w:tcPr>
                  <w:tcW w:w="973"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sz w:val="18"/>
                      <w:szCs w:val="18"/>
                    </w:rPr>
                    <w:t>污染治理设施编号</w:t>
                  </w:r>
                </w:p>
              </w:tc>
              <w:tc>
                <w:tcPr>
                  <w:tcW w:w="1060"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sz w:val="18"/>
                      <w:szCs w:val="18"/>
                    </w:rPr>
                    <w:t>污染治理设施名称</w:t>
                  </w:r>
                </w:p>
              </w:tc>
              <w:tc>
                <w:tcPr>
                  <w:tcW w:w="1132"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sz w:val="18"/>
                      <w:szCs w:val="18"/>
                    </w:rPr>
                    <w:t>污染治理设施工艺</w:t>
                  </w:r>
                </w:p>
              </w:tc>
              <w:tc>
                <w:tcPr>
                  <w:tcW w:w="58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auto"/>
                      <w:sz w:val="18"/>
                      <w:szCs w:val="18"/>
                    </w:rPr>
                  </w:pPr>
                </w:p>
              </w:tc>
              <w:tc>
                <w:tcPr>
                  <w:tcW w:w="77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auto"/>
                      <w:sz w:val="18"/>
                      <w:szCs w:val="18"/>
                    </w:rPr>
                  </w:pPr>
                </w:p>
              </w:tc>
              <w:tc>
                <w:tcPr>
                  <w:tcW w:w="125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auto"/>
                      <w:sz w:val="18"/>
                      <w:szCs w:val="18"/>
                    </w:rPr>
                  </w:pPr>
                  <w:r>
                    <w:rPr>
                      <w:rFonts w:hint="default" w:ascii="Times New Roman" w:hAnsi="Times New Roman" w:cs="Times New Roman"/>
                      <w:color w:val="auto"/>
                      <w:sz w:val="18"/>
                      <w:szCs w:val="18"/>
                    </w:rPr>
                    <w:t>1</w:t>
                  </w:r>
                </w:p>
              </w:tc>
              <w:tc>
                <w:tcPr>
                  <w:tcW w:w="7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color w:val="auto"/>
                      <w:sz w:val="18"/>
                      <w:szCs w:val="18"/>
                      <w:lang w:val="en-US" w:eastAsia="zh-CN"/>
                    </w:rPr>
                  </w:pPr>
                  <w:r>
                    <w:rPr>
                      <w:rFonts w:hint="default" w:ascii="Times New Roman" w:hAnsi="Times New Roman" w:cs="Times New Roman"/>
                      <w:b/>
                      <w:color w:val="auto"/>
                      <w:sz w:val="18"/>
                      <w:szCs w:val="18"/>
                      <w:lang w:val="en-US" w:eastAsia="zh-CN"/>
                    </w:rPr>
                    <w:t>垃圾渗滤液</w:t>
                  </w:r>
                </w:p>
              </w:tc>
              <w:tc>
                <w:tcPr>
                  <w:tcW w:w="9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auto"/>
                      <w:sz w:val="18"/>
                      <w:szCs w:val="18"/>
                    </w:rPr>
                  </w:pPr>
                  <w:r>
                    <w:rPr>
                      <w:rFonts w:hint="default" w:ascii="Times New Roman" w:hAnsi="Times New Roman" w:cs="Times New Roman"/>
                      <w:color w:val="auto"/>
                      <w:sz w:val="18"/>
                      <w:szCs w:val="18"/>
                    </w:rPr>
                    <w:t>COD、BOD</w:t>
                  </w:r>
                  <w:r>
                    <w:rPr>
                      <w:rFonts w:hint="default" w:ascii="Times New Roman" w:hAnsi="Times New Roman" w:cs="Times New Roman"/>
                      <w:color w:val="auto"/>
                      <w:sz w:val="18"/>
                      <w:szCs w:val="18"/>
                      <w:vertAlign w:val="subscript"/>
                    </w:rPr>
                    <w:t>5</w:t>
                  </w:r>
                  <w:r>
                    <w:rPr>
                      <w:rFonts w:hint="default" w:ascii="Times New Roman" w:hAnsi="Times New Roman" w:cs="Times New Roman"/>
                      <w:color w:val="auto"/>
                      <w:sz w:val="18"/>
                      <w:szCs w:val="18"/>
                    </w:rPr>
                    <w:t>、SS、氨氮、总氮、总磷</w:t>
                  </w:r>
                </w:p>
              </w:tc>
              <w:tc>
                <w:tcPr>
                  <w:tcW w:w="5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color w:val="auto"/>
                      <w:sz w:val="18"/>
                      <w:szCs w:val="18"/>
                      <w:lang w:val="en-US" w:eastAsia="zh-CN"/>
                    </w:rPr>
                  </w:pPr>
                  <w:r>
                    <w:rPr>
                      <w:rFonts w:hint="default" w:ascii="Times New Roman" w:hAnsi="Times New Roman" w:cs="Times New Roman"/>
                      <w:color w:val="auto"/>
                      <w:sz w:val="18"/>
                      <w:szCs w:val="18"/>
                    </w:rPr>
                    <w:t>处理后回</w:t>
                  </w:r>
                  <w:r>
                    <w:rPr>
                      <w:rFonts w:hint="default" w:ascii="Times New Roman" w:hAnsi="Times New Roman" w:cs="Times New Roman"/>
                      <w:color w:val="auto"/>
                      <w:sz w:val="18"/>
                      <w:szCs w:val="18"/>
                      <w:lang w:val="en-US" w:eastAsia="zh-CN"/>
                    </w:rPr>
                    <w:t>外运至城市污水处理厂</w:t>
                  </w:r>
                </w:p>
              </w:tc>
              <w:tc>
                <w:tcPr>
                  <w:tcW w:w="6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auto"/>
                      <w:sz w:val="18"/>
                      <w:szCs w:val="18"/>
                    </w:rPr>
                  </w:pPr>
                  <w:r>
                    <w:rPr>
                      <w:rFonts w:hint="default" w:ascii="Times New Roman" w:hAnsi="Times New Roman" w:cs="Times New Roman"/>
                      <w:color w:val="auto"/>
                      <w:sz w:val="18"/>
                      <w:szCs w:val="18"/>
                    </w:rPr>
                    <w:t>间断排放流量稳定</w:t>
                  </w:r>
                </w:p>
              </w:tc>
              <w:tc>
                <w:tcPr>
                  <w:tcW w:w="973"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color w:val="auto"/>
                      <w:sz w:val="18"/>
                      <w:szCs w:val="18"/>
                    </w:rPr>
                  </w:pPr>
                  <w:r>
                    <w:rPr>
                      <w:rFonts w:hint="default" w:ascii="Times New Roman" w:hAnsi="Times New Roman" w:eastAsia="宋体" w:cs="Times New Roman"/>
                      <w:color w:val="auto"/>
                      <w:sz w:val="18"/>
                      <w:szCs w:val="18"/>
                      <w:lang w:val="en-US" w:eastAsia="zh-CN"/>
                    </w:rPr>
                    <w:t>T</w:t>
                  </w:r>
                  <w:r>
                    <w:rPr>
                      <w:rFonts w:hint="default" w:ascii="Times New Roman" w:hAnsi="Times New Roman" w:eastAsia="宋体" w:cs="Times New Roman"/>
                      <w:color w:val="auto"/>
                      <w:sz w:val="18"/>
                      <w:szCs w:val="18"/>
                    </w:rPr>
                    <w:t>W001</w:t>
                  </w:r>
                </w:p>
              </w:tc>
              <w:tc>
                <w:tcPr>
                  <w:tcW w:w="1060"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color w:val="auto"/>
                      <w:sz w:val="18"/>
                      <w:szCs w:val="18"/>
                      <w:lang w:eastAsia="zh-CN"/>
                    </w:rPr>
                  </w:pPr>
                  <w:r>
                    <w:rPr>
                      <w:rFonts w:hint="default" w:ascii="Times New Roman" w:hAnsi="Times New Roman" w:eastAsia="宋体" w:cs="Times New Roman"/>
                      <w:color w:val="auto"/>
                      <w:kern w:val="2"/>
                      <w:sz w:val="18"/>
                      <w:szCs w:val="18"/>
                    </w:rPr>
                    <w:t>渗滤液处理</w:t>
                  </w:r>
                  <w:r>
                    <w:rPr>
                      <w:rFonts w:hint="default" w:ascii="Times New Roman" w:hAnsi="Times New Roman" w:eastAsia="宋体" w:cs="Times New Roman"/>
                      <w:color w:val="auto"/>
                      <w:kern w:val="2"/>
                      <w:sz w:val="18"/>
                      <w:szCs w:val="18"/>
                      <w:lang w:val="en-US" w:eastAsia="zh-CN"/>
                    </w:rPr>
                    <w:t>车间</w:t>
                  </w:r>
                </w:p>
              </w:tc>
              <w:tc>
                <w:tcPr>
                  <w:tcW w:w="11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渗滤液→调节池→气浮设备→原水灌→两级DTRO系统→达标排放。</w:t>
                  </w:r>
                </w:p>
                <w:p>
                  <w:pPr>
                    <w:pStyle w:val="132"/>
                    <w:keepNext w:val="0"/>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b/>
                      <w:color w:val="auto"/>
                      <w:sz w:val="18"/>
                      <w:szCs w:val="18"/>
                    </w:rPr>
                  </w:pPr>
                </w:p>
              </w:tc>
              <w:tc>
                <w:tcPr>
                  <w:tcW w:w="5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auto"/>
                      <w:sz w:val="18"/>
                      <w:szCs w:val="18"/>
                    </w:rPr>
                  </w:pPr>
                  <w:r>
                    <w:rPr>
                      <w:rFonts w:hint="default" w:ascii="Times New Roman" w:hAnsi="Times New Roman" w:cs="Times New Roman"/>
                      <w:color w:val="auto"/>
                      <w:sz w:val="18"/>
                      <w:szCs w:val="18"/>
                      <w:lang w:val="en-US" w:eastAsia="zh-CN"/>
                    </w:rPr>
                    <w:t>D</w:t>
                  </w:r>
                  <w:r>
                    <w:rPr>
                      <w:rFonts w:hint="default" w:ascii="Times New Roman" w:hAnsi="Times New Roman" w:eastAsia="宋体" w:cs="Times New Roman"/>
                      <w:color w:val="auto"/>
                      <w:sz w:val="18"/>
                      <w:szCs w:val="18"/>
                    </w:rPr>
                    <w:t>W001</w:t>
                  </w:r>
                </w:p>
              </w:tc>
              <w:tc>
                <w:tcPr>
                  <w:tcW w:w="7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color w:val="auto"/>
                      <w:sz w:val="18"/>
                      <w:szCs w:val="18"/>
                      <w:lang w:eastAsia="zh-CN"/>
                    </w:rPr>
                  </w:pPr>
                  <w:r>
                    <w:rPr>
                      <w:rFonts w:hint="default" w:ascii="Times New Roman" w:hAnsi="Times New Roman" w:cs="Times New Roman"/>
                      <w:color w:val="auto"/>
                      <w:sz w:val="18"/>
                      <w:szCs w:val="18"/>
                      <w:lang w:val="en-US" w:eastAsia="zh-CN"/>
                    </w:rPr>
                    <w:t>是</w:t>
                  </w:r>
                </w:p>
              </w:tc>
              <w:tc>
                <w:tcPr>
                  <w:tcW w:w="1253" w:type="dxa"/>
                  <w:tcBorders>
                    <w:tl2br w:val="nil"/>
                    <w:tr2bl w:val="nil"/>
                  </w:tcBorders>
                  <w:noWrap w:val="0"/>
                  <w:vAlign w:val="center"/>
                </w:tcPr>
                <w:p>
                  <w:pPr>
                    <w:pStyle w:val="132"/>
                    <w:keepNext w:val="0"/>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√企业总排</w:t>
                  </w:r>
                </w:p>
                <w:p>
                  <w:pPr>
                    <w:pStyle w:val="132"/>
                    <w:keepNext w:val="0"/>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口雨水排放</w:t>
                  </w:r>
                </w:p>
                <w:p>
                  <w:pPr>
                    <w:pStyle w:val="132"/>
                    <w:keepNext w:val="0"/>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口清静下水排放</w:t>
                  </w:r>
                </w:p>
                <w:p>
                  <w:pPr>
                    <w:pStyle w:val="132"/>
                    <w:keepNext w:val="0"/>
                    <w:keepLines w:val="0"/>
                    <w:pageBreakBefore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口温排水排放</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auto"/>
                      <w:sz w:val="18"/>
                      <w:szCs w:val="18"/>
                    </w:rPr>
                  </w:pPr>
                  <w:r>
                    <w:rPr>
                      <w:rFonts w:hint="default" w:ascii="Times New Roman" w:hAnsi="Times New Roman" w:cs="Times New Roman"/>
                      <w:color w:val="auto"/>
                      <w:sz w:val="18"/>
                      <w:szCs w:val="18"/>
                    </w:rPr>
                    <w:t>口车间或车间处理设施排放</w:t>
                  </w:r>
                </w:p>
              </w:tc>
            </w:tr>
          </w:tbl>
          <w:p>
            <w:pPr>
              <w:pStyle w:val="68"/>
              <w:ind w:firstLine="0" w:firstLineChars="0"/>
              <w:rPr>
                <w:rFonts w:hint="default" w:ascii="Times New Roman" w:hAnsi="Times New Roman" w:cs="Times New Roman"/>
                <w:color w:val="auto"/>
              </w:rPr>
            </w:pPr>
            <w:bookmarkStart w:id="25" w:name="_Toc526174972"/>
            <w:bookmarkStart w:id="26" w:name="_Toc10816040"/>
            <w:bookmarkStart w:id="27" w:name="_Toc525899420"/>
            <w:bookmarkStart w:id="28" w:name="_Toc526598097"/>
            <w:bookmarkStart w:id="29" w:name="_Toc527204345"/>
            <w:bookmarkStart w:id="30" w:name="_Toc526596732"/>
            <w:bookmarkStart w:id="31" w:name="_Toc526952241"/>
            <w:bookmarkStart w:id="32" w:name="_Toc10817656"/>
            <w:bookmarkStart w:id="33" w:name="_Toc530820054"/>
            <w:bookmarkStart w:id="34" w:name="_Toc532442790"/>
            <w:bookmarkStart w:id="35" w:name="_Toc530819682"/>
            <w:bookmarkStart w:id="36" w:name="_Toc526164320"/>
            <w:r>
              <w:rPr>
                <w:rFonts w:hint="default" w:ascii="Times New Roman" w:hAnsi="Times New Roman" w:cs="Times New Roman"/>
                <w:color w:val="auto"/>
              </w:rPr>
              <w:t>2.3 运营期地下水环境影响</w:t>
            </w:r>
            <w:bookmarkEnd w:id="25"/>
            <w:bookmarkEnd w:id="26"/>
            <w:bookmarkEnd w:id="27"/>
            <w:bookmarkEnd w:id="28"/>
            <w:bookmarkEnd w:id="29"/>
            <w:bookmarkEnd w:id="30"/>
            <w:bookmarkEnd w:id="31"/>
            <w:bookmarkEnd w:id="32"/>
            <w:bookmarkEnd w:id="33"/>
            <w:bookmarkEnd w:id="34"/>
            <w:bookmarkEnd w:id="35"/>
            <w:bookmarkEnd w:id="36"/>
            <w:r>
              <w:rPr>
                <w:rFonts w:hint="default" w:ascii="Times New Roman" w:hAnsi="Times New Roman" w:cs="Times New Roman"/>
                <w:color w:val="auto"/>
              </w:rPr>
              <w:t>分析</w:t>
            </w:r>
          </w:p>
          <w:p>
            <w:pPr>
              <w:snapToGrid w:val="0"/>
              <w:spacing w:line="360" w:lineRule="auto"/>
              <w:ind w:firstLine="480"/>
              <w:rPr>
                <w:rFonts w:hint="default" w:ascii="Times New Roman" w:hAnsi="Times New Roman" w:cs="Times New Roman"/>
                <w:color w:val="auto"/>
                <w:sz w:val="24"/>
                <w:szCs w:val="22"/>
                <w:lang w:val="en-US"/>
              </w:rPr>
            </w:pPr>
            <w:r>
              <w:rPr>
                <w:rFonts w:hint="default" w:ascii="Times New Roman" w:hAnsi="Times New Roman" w:cs="Times New Roman"/>
                <w:color w:val="auto"/>
                <w:kern w:val="40"/>
                <w:sz w:val="24"/>
                <w:szCs w:val="22"/>
              </w:rPr>
              <w:t>建设项目环境影响评价分类管理名录》（2017年）（环境保护部令第44号）及《关于修改&lt;建设项目环境影响评价分类管理名录&gt;部分内容的决定》（生态环境保护部 第1号）的规定内容</w:t>
            </w:r>
            <w:r>
              <w:rPr>
                <w:rFonts w:hint="default" w:ascii="Times New Roman" w:hAnsi="Times New Roman" w:cs="Times New Roman"/>
                <w:color w:val="auto"/>
                <w:sz w:val="24"/>
              </w:rPr>
              <w:t>本项目属于“三十三、水的生产和供应工程”中的“</w:t>
            </w:r>
            <w:r>
              <w:rPr>
                <w:rFonts w:hint="default" w:ascii="Times New Roman" w:hAnsi="Times New Roman" w:eastAsia="Times New Roman" w:cs="Times New Roman"/>
                <w:color w:val="auto"/>
                <w:sz w:val="24"/>
              </w:rPr>
              <w:t xml:space="preserve">97 </w:t>
            </w:r>
            <w:r>
              <w:rPr>
                <w:rFonts w:hint="default" w:ascii="Times New Roman" w:hAnsi="Times New Roman" w:cs="Times New Roman"/>
                <w:color w:val="auto"/>
                <w:sz w:val="24"/>
              </w:rPr>
              <w:t>工业废水处理”，本项目为垃圾填埋场配套环保设施，不属于“新建、扩建集中处理”的工业废水的集中处理，属于“其他”，</w:t>
            </w:r>
            <w:r>
              <w:rPr>
                <w:rFonts w:hint="default" w:ascii="Times New Roman" w:hAnsi="Times New Roman" w:cs="Times New Roman"/>
                <w:color w:val="auto"/>
                <w:sz w:val="24"/>
                <w:szCs w:val="22"/>
                <w:lang w:val="en-US" w:eastAsia="zh-CN"/>
              </w:rPr>
              <w:t>依据《环境影响评价技术导则 地下水环境》（HJ610-2016）附录 A，地下水环境影响评价类别属于“І类”。项目地下水环境影响评价见地下水环境影响评价专章。</w:t>
            </w:r>
          </w:p>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rPr>
              <w:t>2.4运营期声环境影响分析</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本项目营运期来源于风机、泵等备噪声。项目设备均位于厂房内，设备也将选购节能、低耗、低噪先进设备，设备安装过程做好基础减振、消声等防护措施，厂房加强隔声防护。</w:t>
            </w:r>
          </w:p>
          <w:p>
            <w:pPr>
              <w:pStyle w:val="67"/>
              <w:rPr>
                <w:rFonts w:hint="default" w:ascii="Times New Roman" w:hAnsi="Times New Roman" w:cs="Times New Roman"/>
                <w:color w:val="auto"/>
              </w:rPr>
            </w:pPr>
            <w:r>
              <w:rPr>
                <w:rFonts w:hint="default" w:ascii="Times New Roman" w:hAnsi="Times New Roman" w:cs="Times New Roman"/>
                <w:color w:val="auto"/>
              </w:rPr>
              <w:t>点声源在预测点的声压级</w:t>
            </w:r>
          </w:p>
          <w:p>
            <w:pPr>
              <w:pStyle w:val="67"/>
              <w:ind w:firstLine="0" w:firstLineChars="0"/>
              <w:jc w:val="center"/>
              <w:rPr>
                <w:rFonts w:hint="default" w:ascii="Times New Roman" w:hAnsi="Times New Roman" w:cs="Times New Roman"/>
                <w:color w:val="auto"/>
                <w:vertAlign w:val="subscript"/>
              </w:rPr>
            </w:pPr>
            <w:r>
              <w:rPr>
                <w:rFonts w:hint="default" w:ascii="Times New Roman" w:hAnsi="Times New Roman" w:cs="Times New Roman"/>
                <w:color w:val="auto"/>
              </w:rPr>
              <w:t>L</w:t>
            </w:r>
            <w:r>
              <w:rPr>
                <w:rFonts w:hint="default" w:ascii="Times New Roman" w:hAnsi="Times New Roman" w:cs="Times New Roman"/>
                <w:color w:val="auto"/>
                <w:vertAlign w:val="subscript"/>
              </w:rPr>
              <w:t>oct</w:t>
            </w:r>
            <w:r>
              <w:rPr>
                <w:rFonts w:hint="default" w:ascii="Times New Roman" w:hAnsi="Times New Roman" w:cs="Times New Roman"/>
                <w:color w:val="auto"/>
              </w:rPr>
              <w:t>(r) = L</w:t>
            </w:r>
            <w:r>
              <w:rPr>
                <w:rFonts w:hint="default" w:ascii="Times New Roman" w:hAnsi="Times New Roman" w:cs="Times New Roman"/>
                <w:color w:val="auto"/>
                <w:vertAlign w:val="subscript"/>
              </w:rPr>
              <w:t>oct</w:t>
            </w:r>
            <w:r>
              <w:rPr>
                <w:rFonts w:hint="default" w:ascii="Times New Roman" w:hAnsi="Times New Roman" w:cs="Times New Roman"/>
                <w:color w:val="auto"/>
              </w:rPr>
              <w:t>(r</w:t>
            </w:r>
            <w:r>
              <w:rPr>
                <w:rFonts w:hint="default" w:ascii="Times New Roman" w:hAnsi="Times New Roman" w:cs="Times New Roman"/>
                <w:color w:val="auto"/>
                <w:vertAlign w:val="subscript"/>
              </w:rPr>
              <w:t>0</w:t>
            </w:r>
            <w:r>
              <w:rPr>
                <w:rFonts w:hint="default" w:ascii="Times New Roman" w:hAnsi="Times New Roman" w:cs="Times New Roman"/>
                <w:color w:val="auto"/>
              </w:rPr>
              <w:t>) - 20lg(r/r</w:t>
            </w:r>
            <w:r>
              <w:rPr>
                <w:rFonts w:hint="default" w:ascii="Times New Roman" w:hAnsi="Times New Roman" w:cs="Times New Roman"/>
                <w:color w:val="auto"/>
                <w:vertAlign w:val="subscript"/>
              </w:rPr>
              <w:t>0</w:t>
            </w:r>
            <w:r>
              <w:rPr>
                <w:rFonts w:hint="default" w:ascii="Times New Roman" w:hAnsi="Times New Roman" w:cs="Times New Roman"/>
                <w:color w:val="auto"/>
              </w:rPr>
              <w:t>) - △L</w:t>
            </w:r>
            <w:r>
              <w:rPr>
                <w:rFonts w:hint="default" w:ascii="Times New Roman" w:hAnsi="Times New Roman" w:cs="Times New Roman"/>
                <w:color w:val="auto"/>
                <w:vertAlign w:val="subscript"/>
              </w:rPr>
              <w:t>oct</w:t>
            </w:r>
          </w:p>
          <w:p>
            <w:pPr>
              <w:pStyle w:val="67"/>
              <w:rPr>
                <w:rFonts w:hint="default" w:ascii="Times New Roman" w:hAnsi="Times New Roman" w:cs="Times New Roman"/>
                <w:color w:val="auto"/>
              </w:rPr>
            </w:pPr>
            <w:r>
              <w:rPr>
                <w:rFonts w:hint="default" w:ascii="Times New Roman" w:hAnsi="Times New Roman" w:cs="Times New Roman"/>
                <w:color w:val="auto"/>
              </w:rPr>
              <w:t>式中：</w:t>
            </w:r>
          </w:p>
          <w:p>
            <w:pPr>
              <w:pStyle w:val="67"/>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oct</w:t>
            </w:r>
            <w:r>
              <w:rPr>
                <w:rFonts w:hint="default" w:ascii="Times New Roman" w:hAnsi="Times New Roman" w:cs="Times New Roman"/>
                <w:color w:val="auto"/>
              </w:rPr>
              <w:t>(r)、L</w:t>
            </w:r>
            <w:r>
              <w:rPr>
                <w:rFonts w:hint="default" w:ascii="Times New Roman" w:hAnsi="Times New Roman" w:cs="Times New Roman"/>
                <w:color w:val="auto"/>
                <w:vertAlign w:val="subscript"/>
              </w:rPr>
              <w:t>oct</w:t>
            </w:r>
            <w:r>
              <w:rPr>
                <w:rFonts w:hint="default" w:ascii="Times New Roman" w:hAnsi="Times New Roman" w:cs="Times New Roman"/>
                <w:color w:val="auto"/>
              </w:rPr>
              <w:t>(r</w:t>
            </w:r>
            <w:r>
              <w:rPr>
                <w:rFonts w:hint="default" w:ascii="Times New Roman" w:hAnsi="Times New Roman" w:cs="Times New Roman"/>
                <w:color w:val="auto"/>
                <w:vertAlign w:val="subscript"/>
              </w:rPr>
              <w:t>0</w:t>
            </w:r>
            <w:r>
              <w:rPr>
                <w:rFonts w:hint="default" w:ascii="Times New Roman" w:hAnsi="Times New Roman" w:cs="Times New Roman"/>
                <w:color w:val="auto"/>
              </w:rPr>
              <w:t>) — 距声源r、r</w:t>
            </w:r>
            <w:r>
              <w:rPr>
                <w:rFonts w:hint="default" w:ascii="Times New Roman" w:hAnsi="Times New Roman" w:cs="Times New Roman"/>
                <w:color w:val="auto"/>
                <w:vertAlign w:val="subscript"/>
              </w:rPr>
              <w:t>0</w:t>
            </w:r>
            <w:r>
              <w:rPr>
                <w:rFonts w:hint="default" w:ascii="Times New Roman" w:hAnsi="Times New Roman" w:cs="Times New Roman"/>
                <w:color w:val="auto"/>
              </w:rPr>
              <w:t>处的声压级，dB；</w:t>
            </w:r>
          </w:p>
          <w:p>
            <w:pPr>
              <w:pStyle w:val="67"/>
              <w:rPr>
                <w:rFonts w:hint="default" w:ascii="Times New Roman" w:hAnsi="Times New Roman" w:cs="Times New Roman"/>
                <w:color w:val="auto"/>
              </w:rPr>
            </w:pPr>
            <w:r>
              <w:rPr>
                <w:rFonts w:hint="default" w:ascii="Times New Roman" w:hAnsi="Times New Roman" w:cs="Times New Roman"/>
                <w:color w:val="auto"/>
              </w:rPr>
              <w:t>r、r</w:t>
            </w:r>
            <w:r>
              <w:rPr>
                <w:rFonts w:hint="default" w:ascii="Times New Roman" w:hAnsi="Times New Roman" w:cs="Times New Roman"/>
                <w:color w:val="auto"/>
                <w:vertAlign w:val="subscript"/>
              </w:rPr>
              <w:t xml:space="preserve">0 </w:t>
            </w:r>
            <w:r>
              <w:rPr>
                <w:rFonts w:hint="default" w:ascii="Times New Roman" w:hAnsi="Times New Roman" w:cs="Times New Roman"/>
                <w:color w:val="auto"/>
              </w:rPr>
              <w:t>— 预测点到声源的距离，m；</w:t>
            </w:r>
          </w:p>
          <w:p>
            <w:pPr>
              <w:pStyle w:val="67"/>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 xml:space="preserve">oct </w:t>
            </w:r>
            <w:r>
              <w:rPr>
                <w:rFonts w:hint="default" w:ascii="Times New Roman" w:hAnsi="Times New Roman" w:cs="Times New Roman"/>
                <w:color w:val="auto"/>
              </w:rPr>
              <w:t>— 各种因素引起的衰减量，dB。</w:t>
            </w:r>
          </w:p>
          <w:p>
            <w:pPr>
              <w:pStyle w:val="67"/>
              <w:rPr>
                <w:rFonts w:hint="default" w:ascii="Times New Roman" w:hAnsi="Times New Roman" w:cs="Times New Roman"/>
                <w:color w:val="auto"/>
              </w:rPr>
            </w:pPr>
            <w:r>
              <w:rPr>
                <w:rFonts w:hint="default" w:ascii="Times New Roman" w:hAnsi="Times New Roman" w:cs="Times New Roman"/>
                <w:color w:val="auto"/>
              </w:rPr>
              <w:t>各等效声源在预测点处产生的总等效声压级</w:t>
            </w:r>
          </w:p>
          <w:p>
            <w:pPr>
              <w:pStyle w:val="67"/>
              <w:rPr>
                <w:rFonts w:hint="default" w:ascii="Times New Roman" w:hAnsi="Times New Roman" w:cs="Times New Roman"/>
                <w:color w:val="auto"/>
              </w:rPr>
            </w:pPr>
            <w:r>
              <w:rPr>
                <w:rFonts w:hint="default" w:ascii="Times New Roman" w:hAnsi="Times New Roman" w:cs="Times New Roman"/>
                <w:color w:val="auto"/>
              </w:rPr>
              <w:t xml:space="preserve">        L</w:t>
            </w:r>
            <w:r>
              <w:rPr>
                <w:rFonts w:hint="default" w:ascii="Times New Roman" w:hAnsi="Times New Roman" w:cs="Times New Roman"/>
                <w:color w:val="auto"/>
                <w:vertAlign w:val="subscript"/>
              </w:rPr>
              <w:t>eq</w:t>
            </w:r>
            <w:r>
              <w:rPr>
                <w:rFonts w:hint="default" w:ascii="Times New Roman" w:hAnsi="Times New Roman" w:cs="Times New Roman"/>
                <w:color w:val="auto"/>
              </w:rPr>
              <w:t>(T)=10 lg(</w:t>
            </w:r>
            <w:r>
              <w:rPr>
                <w:rFonts w:hint="default" w:ascii="Times New Roman" w:hAnsi="Times New Roman" w:cs="Times New Roman"/>
                <w:color w:val="auto"/>
              </w:rPr>
              <w:drawing>
                <wp:inline distT="0" distB="0" distL="0" distR="0">
                  <wp:extent cx="163830" cy="387985"/>
                  <wp:effectExtent l="0" t="0" r="0" b="12700"/>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63830" cy="387985"/>
                          </a:xfrm>
                          <a:prstGeom prst="rect">
                            <a:avLst/>
                          </a:prstGeom>
                          <a:noFill/>
                          <a:ln>
                            <a:noFill/>
                          </a:ln>
                        </pic:spPr>
                      </pic:pic>
                    </a:graphicData>
                  </a:graphic>
                </wp:inline>
              </w:drawing>
            </w:r>
            <w:r>
              <w:rPr>
                <w:rFonts w:hint="default" w:ascii="Times New Roman" w:hAnsi="Times New Roman" w:cs="Times New Roman"/>
                <w:color w:val="auto"/>
              </w:rPr>
              <w:t>) [</w:t>
            </w:r>
            <w:r>
              <w:rPr>
                <w:rFonts w:hint="default" w:ascii="Times New Roman" w:hAnsi="Times New Roman" w:cs="Times New Roman"/>
                <w:color w:val="auto"/>
              </w:rPr>
              <w:drawing>
                <wp:inline distT="0" distB="0" distL="0" distR="0">
                  <wp:extent cx="880110" cy="422910"/>
                  <wp:effectExtent l="0" t="0" r="0" b="15875"/>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80110" cy="422910"/>
                          </a:xfrm>
                          <a:prstGeom prst="rect">
                            <a:avLst/>
                          </a:prstGeom>
                          <a:noFill/>
                          <a:ln>
                            <a:noFill/>
                          </a:ln>
                        </pic:spPr>
                      </pic:pic>
                    </a:graphicData>
                  </a:graphic>
                </wp:inline>
              </w:drawing>
            </w:r>
            <w:r>
              <w:rPr>
                <w:rFonts w:hint="default" w:ascii="Times New Roman" w:hAnsi="Times New Roman" w:cs="Times New Roman"/>
                <w:color w:val="auto"/>
              </w:rPr>
              <w:t>+</w:t>
            </w:r>
            <w:r>
              <w:rPr>
                <w:rFonts w:hint="default" w:ascii="Times New Roman" w:hAnsi="Times New Roman" w:cs="Times New Roman"/>
                <w:color w:val="auto"/>
              </w:rPr>
              <w:drawing>
                <wp:inline distT="0" distB="0" distL="0" distR="0">
                  <wp:extent cx="120650" cy="215900"/>
                  <wp:effectExtent l="0" t="0" r="0" b="0"/>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0650" cy="215900"/>
                          </a:xfrm>
                          <a:prstGeom prst="rect">
                            <a:avLst/>
                          </a:prstGeom>
                          <a:noFill/>
                          <a:ln>
                            <a:noFill/>
                          </a:ln>
                        </pic:spPr>
                      </pic:pic>
                    </a:graphicData>
                  </a:graphic>
                </wp:inline>
              </w:drawing>
            </w:r>
            <w:r>
              <w:rPr>
                <w:rFonts w:hint="default" w:ascii="Times New Roman" w:hAnsi="Times New Roman" w:cs="Times New Roman"/>
                <w:color w:val="auto"/>
              </w:rPr>
              <w:drawing>
                <wp:inline distT="0" distB="0" distL="0" distR="0">
                  <wp:extent cx="974725" cy="422910"/>
                  <wp:effectExtent l="0" t="0" r="0" b="15875"/>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74725" cy="422910"/>
                          </a:xfrm>
                          <a:prstGeom prst="rect">
                            <a:avLst/>
                          </a:prstGeom>
                          <a:noFill/>
                          <a:ln>
                            <a:noFill/>
                          </a:ln>
                        </pic:spPr>
                      </pic:pic>
                    </a:graphicData>
                  </a:graphic>
                </wp:inline>
              </w:drawing>
            </w:r>
            <w:r>
              <w:rPr>
                <w:rFonts w:hint="default" w:ascii="Times New Roman" w:hAnsi="Times New Roman" w:cs="Times New Roman"/>
                <w:color w:val="auto"/>
              </w:rPr>
              <w:t>]</w:t>
            </w:r>
          </w:p>
          <w:p>
            <w:pPr>
              <w:pStyle w:val="67"/>
              <w:rPr>
                <w:rFonts w:hint="default" w:ascii="Times New Roman" w:hAnsi="Times New Roman" w:cs="Times New Roman"/>
                <w:color w:val="auto"/>
              </w:rPr>
            </w:pPr>
            <w:r>
              <w:rPr>
                <w:rFonts w:hint="default" w:ascii="Times New Roman" w:hAnsi="Times New Roman" w:cs="Times New Roman"/>
                <w:color w:val="auto"/>
              </w:rPr>
              <w:t>式中 ：</w:t>
            </w:r>
          </w:p>
          <w:p>
            <w:pPr>
              <w:pStyle w:val="67"/>
              <w:rPr>
                <w:rFonts w:hint="default" w:ascii="Times New Roman" w:hAnsi="Times New Roman" w:cs="Times New Roman"/>
                <w:color w:val="auto"/>
              </w:rPr>
            </w:pPr>
            <w:r>
              <w:rPr>
                <w:rFonts w:hint="default" w:ascii="Times New Roman" w:hAnsi="Times New Roman" w:cs="Times New Roman"/>
                <w:color w:val="auto"/>
              </w:rPr>
              <w:t>T — 计算等效声级的时间，h；</w:t>
            </w:r>
          </w:p>
          <w:p>
            <w:pPr>
              <w:pStyle w:val="67"/>
              <w:rPr>
                <w:rFonts w:hint="default" w:ascii="Times New Roman" w:hAnsi="Times New Roman" w:cs="Times New Roman"/>
                <w:color w:val="auto"/>
              </w:rPr>
            </w:pPr>
            <w:r>
              <w:rPr>
                <w:rFonts w:hint="default" w:ascii="Times New Roman" w:hAnsi="Times New Roman" w:cs="Times New Roman"/>
                <w:color w:val="auto"/>
              </w:rPr>
              <w:t>N — 室外声源数，个；</w:t>
            </w:r>
          </w:p>
          <w:p>
            <w:pPr>
              <w:pStyle w:val="67"/>
              <w:rPr>
                <w:rFonts w:hint="default" w:ascii="Times New Roman" w:hAnsi="Times New Roman" w:cs="Times New Roman"/>
                <w:color w:val="auto"/>
              </w:rPr>
            </w:pPr>
            <w:r>
              <w:rPr>
                <w:rFonts w:hint="default" w:ascii="Times New Roman" w:hAnsi="Times New Roman" w:cs="Times New Roman"/>
                <w:color w:val="auto"/>
              </w:rPr>
              <w:t>M — 等效室外声源数，个。</w:t>
            </w:r>
          </w:p>
          <w:p>
            <w:pPr>
              <w:adjustRightInd/>
              <w:spacing w:line="360" w:lineRule="auto"/>
              <w:ind w:firstLine="480" w:firstLineChars="200"/>
              <w:textAlignment w:val="auto"/>
              <w:rPr>
                <w:rFonts w:hint="default" w:ascii="Times New Roman" w:hAnsi="Times New Roman" w:cs="Times New Roman"/>
                <w:color w:val="auto"/>
                <w:kern w:val="2"/>
                <w:sz w:val="24"/>
                <w:szCs w:val="22"/>
              </w:rPr>
            </w:pPr>
            <w:r>
              <w:rPr>
                <w:rFonts w:hint="default" w:ascii="Times New Roman" w:hAnsi="Times New Roman" w:cs="Times New Roman"/>
                <w:color w:val="auto"/>
                <w:kern w:val="2"/>
                <w:sz w:val="24"/>
                <w:szCs w:val="22"/>
              </w:rPr>
              <w:t>各噪声源对各厂界影响预测结果见表7-1</w:t>
            </w:r>
            <w:r>
              <w:rPr>
                <w:rFonts w:hint="default" w:ascii="Times New Roman" w:hAnsi="Times New Roman" w:cs="Times New Roman"/>
                <w:color w:val="auto"/>
                <w:kern w:val="2"/>
                <w:sz w:val="24"/>
                <w:szCs w:val="22"/>
                <w:lang w:val="en-US" w:eastAsia="zh-CN"/>
              </w:rPr>
              <w:t>3</w:t>
            </w:r>
            <w:r>
              <w:rPr>
                <w:rFonts w:hint="default" w:ascii="Times New Roman" w:hAnsi="Times New Roman" w:cs="Times New Roman"/>
                <w:color w:val="auto"/>
                <w:kern w:val="2"/>
                <w:sz w:val="24"/>
                <w:szCs w:val="22"/>
              </w:rPr>
              <w:t>。</w:t>
            </w:r>
          </w:p>
          <w:p>
            <w:pPr>
              <w:adjustRightInd/>
              <w:spacing w:line="240" w:lineRule="auto"/>
              <w:jc w:val="center"/>
              <w:textAlignment w:val="auto"/>
              <w:rPr>
                <w:rFonts w:hint="default" w:ascii="Times New Roman" w:hAnsi="Times New Roman" w:cs="Times New Roman"/>
                <w:b/>
                <w:color w:val="auto"/>
                <w:kern w:val="2"/>
                <w:sz w:val="24"/>
                <w:szCs w:val="24"/>
              </w:rPr>
            </w:pPr>
            <w:r>
              <w:rPr>
                <w:rFonts w:hint="default" w:ascii="Times New Roman" w:hAnsi="Times New Roman" w:cs="Times New Roman"/>
                <w:b/>
                <w:color w:val="auto"/>
                <w:kern w:val="2"/>
                <w:sz w:val="24"/>
                <w:szCs w:val="24"/>
              </w:rPr>
              <w:t>表7-1</w:t>
            </w:r>
            <w:r>
              <w:rPr>
                <w:rFonts w:hint="default" w:ascii="Times New Roman" w:hAnsi="Times New Roman" w:cs="Times New Roman"/>
                <w:b/>
                <w:color w:val="auto"/>
                <w:kern w:val="2"/>
                <w:sz w:val="24"/>
                <w:szCs w:val="24"/>
                <w:lang w:val="en-US" w:eastAsia="zh-CN"/>
              </w:rPr>
              <w:t>3</w:t>
            </w:r>
            <w:r>
              <w:rPr>
                <w:rFonts w:hint="default" w:ascii="Times New Roman" w:hAnsi="Times New Roman" w:cs="Times New Roman"/>
                <w:b/>
                <w:color w:val="auto"/>
                <w:kern w:val="2"/>
                <w:sz w:val="24"/>
                <w:szCs w:val="24"/>
              </w:rPr>
              <w:t>噪声预测结果  单位：dB（A）</w:t>
            </w:r>
          </w:p>
          <w:tbl>
            <w:tblPr>
              <w:tblStyle w:val="33"/>
              <w:tblW w:w="896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218"/>
              <w:gridCol w:w="3373"/>
              <w:gridCol w:w="336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8" w:type="dxa"/>
                  <w:vMerge w:val="restart"/>
                  <w:vAlign w:val="center"/>
                </w:tcPr>
                <w:p>
                  <w:pPr>
                    <w:adjustRightInd/>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点位</w:t>
                  </w:r>
                </w:p>
              </w:tc>
              <w:tc>
                <w:tcPr>
                  <w:tcW w:w="3373" w:type="dxa"/>
                  <w:vAlign w:val="center"/>
                </w:tcPr>
                <w:p>
                  <w:pPr>
                    <w:adjustRightInd/>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昼间</w:t>
                  </w:r>
                </w:p>
              </w:tc>
              <w:tc>
                <w:tcPr>
                  <w:tcW w:w="3369" w:type="dxa"/>
                  <w:vAlign w:val="center"/>
                </w:tcPr>
                <w:p>
                  <w:pPr>
                    <w:adjustRightInd/>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8" w:type="dxa"/>
                  <w:vMerge w:val="continue"/>
                  <w:vAlign w:val="center"/>
                </w:tcPr>
                <w:p>
                  <w:pPr>
                    <w:adjustRightInd/>
                    <w:snapToGrid w:val="0"/>
                    <w:spacing w:line="240" w:lineRule="auto"/>
                    <w:jc w:val="center"/>
                    <w:textAlignment w:val="auto"/>
                    <w:rPr>
                      <w:rFonts w:hint="default" w:ascii="Times New Roman" w:hAnsi="Times New Roman" w:cs="Times New Roman"/>
                      <w:color w:val="auto"/>
                      <w:kern w:val="2"/>
                      <w:szCs w:val="21"/>
                    </w:rPr>
                  </w:pPr>
                </w:p>
              </w:tc>
              <w:tc>
                <w:tcPr>
                  <w:tcW w:w="3373" w:type="dxa"/>
                  <w:vAlign w:val="center"/>
                </w:tcPr>
                <w:p>
                  <w:pPr>
                    <w:adjustRightInd/>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贡献值</w:t>
                  </w:r>
                </w:p>
              </w:tc>
              <w:tc>
                <w:tcPr>
                  <w:tcW w:w="3369" w:type="dxa"/>
                  <w:vAlign w:val="center"/>
                </w:tcPr>
                <w:p>
                  <w:pPr>
                    <w:adjustRightInd/>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贡献值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8" w:type="dxa"/>
                  <w:vAlign w:val="center"/>
                </w:tcPr>
                <w:p>
                  <w:pPr>
                    <w:adjustRightInd/>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厂界东</w:t>
                  </w:r>
                </w:p>
              </w:tc>
              <w:tc>
                <w:tcPr>
                  <w:tcW w:w="3373" w:type="dxa"/>
                  <w:vAlign w:val="center"/>
                </w:tcPr>
                <w:p>
                  <w:pPr>
                    <w:adjustRightInd/>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47.25</w:t>
                  </w:r>
                </w:p>
              </w:tc>
              <w:tc>
                <w:tcPr>
                  <w:tcW w:w="3369" w:type="dxa"/>
                  <w:vAlign w:val="center"/>
                </w:tcPr>
                <w:p>
                  <w:pPr>
                    <w:adjustRightInd/>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47.25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8" w:type="dxa"/>
                  <w:vAlign w:val="center"/>
                </w:tcPr>
                <w:p>
                  <w:pPr>
                    <w:adjustRightInd/>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厂界南</w:t>
                  </w:r>
                </w:p>
              </w:tc>
              <w:tc>
                <w:tcPr>
                  <w:tcW w:w="3373" w:type="dxa"/>
                  <w:vAlign w:val="center"/>
                </w:tcPr>
                <w:p>
                  <w:pPr>
                    <w:adjustRightInd/>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42.68</w:t>
                  </w:r>
                </w:p>
              </w:tc>
              <w:tc>
                <w:tcPr>
                  <w:tcW w:w="3369" w:type="dxa"/>
                  <w:vAlign w:val="center"/>
                </w:tcPr>
                <w:p>
                  <w:pPr>
                    <w:adjustRightInd/>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42.68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8" w:type="dxa"/>
                  <w:vAlign w:val="center"/>
                </w:tcPr>
                <w:p>
                  <w:pPr>
                    <w:adjustRightInd/>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厂界西</w:t>
                  </w:r>
                </w:p>
              </w:tc>
              <w:tc>
                <w:tcPr>
                  <w:tcW w:w="3373" w:type="dxa"/>
                  <w:vAlign w:val="center"/>
                </w:tcPr>
                <w:p>
                  <w:pPr>
                    <w:adjustRightInd/>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41.42</w:t>
                  </w:r>
                </w:p>
              </w:tc>
              <w:tc>
                <w:tcPr>
                  <w:tcW w:w="3369" w:type="dxa"/>
                  <w:vAlign w:val="center"/>
                </w:tcPr>
                <w:p>
                  <w:pPr>
                    <w:adjustRightInd/>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41.42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8" w:type="dxa"/>
                  <w:vAlign w:val="center"/>
                </w:tcPr>
                <w:p>
                  <w:pPr>
                    <w:adjustRightInd/>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厂界北</w:t>
                  </w:r>
                </w:p>
              </w:tc>
              <w:tc>
                <w:tcPr>
                  <w:tcW w:w="3373" w:type="dxa"/>
                  <w:vAlign w:val="center"/>
                </w:tcPr>
                <w:p>
                  <w:pPr>
                    <w:adjustRightInd/>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48.82</w:t>
                  </w:r>
                </w:p>
              </w:tc>
              <w:tc>
                <w:tcPr>
                  <w:tcW w:w="3369" w:type="dxa"/>
                  <w:vAlign w:val="center"/>
                </w:tcPr>
                <w:p>
                  <w:pPr>
                    <w:adjustRightInd/>
                    <w:snapToGrid w:val="0"/>
                    <w:spacing w:line="240" w:lineRule="auto"/>
                    <w:jc w:val="center"/>
                    <w:textAlignment w:val="auto"/>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48.82</w:t>
                  </w:r>
                </w:p>
              </w:tc>
            </w:tr>
          </w:tbl>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由预测结果可知，厂界噪声可以达到</w:t>
            </w:r>
            <w:r>
              <w:rPr>
                <w:rFonts w:hint="default" w:ascii="Times New Roman" w:hAnsi="Times New Roman" w:cs="Times New Roman"/>
                <w:bCs/>
                <w:color w:val="auto"/>
                <w:sz w:val="24"/>
                <w:szCs w:val="24"/>
              </w:rPr>
              <w:t>《工业企业厂界环境噪声排放标准》</w:t>
            </w:r>
            <w:r>
              <w:rPr>
                <w:rFonts w:hint="default" w:ascii="Times New Roman" w:hAnsi="Times New Roman" w:cs="Times New Roman"/>
                <w:color w:val="auto"/>
                <w:sz w:val="24"/>
                <w:szCs w:val="24"/>
              </w:rPr>
              <w:t>（GB12348-2008）的2 类标准，即昼间≤60dB(A)，夜间≤50dB(A)。</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为了确保运营期噪声对环境产生的影响降到最低，拟采取以下措施：</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①在设备选型上，选购低噪声环保设备并加强设备的日常维护；</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②在安装环节，采用混凝土底座，并加装减振垫，以达到隔声、减振效果，降低噪声污染；</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③水泵设减振、管道采用柔性连接，利用水泵房的墙体进行隔声，门窗采用隔声效果好的塑钢门窗或双层隔声门窗；</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④厂区周边加强绿化，达到吸声的效果。</w:t>
            </w:r>
          </w:p>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rPr>
              <w:t>2.5运营期固体废物环境影响分析</w:t>
            </w:r>
          </w:p>
          <w:p>
            <w:pPr>
              <w:pStyle w:val="41"/>
              <w:snapToGrid w:val="0"/>
              <w:spacing w:line="360" w:lineRule="auto"/>
              <w:ind w:firstLine="480" w:firstLineChars="200"/>
              <w:rPr>
                <w:rFonts w:hint="default" w:ascii="Times New Roman" w:hAnsi="Times New Roman" w:cs="Times New Roman"/>
                <w:bCs/>
                <w:color w:val="auto"/>
                <w:lang w:val="en-US" w:eastAsia="zh-CN"/>
              </w:rPr>
            </w:pPr>
            <w:r>
              <w:rPr>
                <w:rFonts w:hint="default" w:ascii="Times New Roman" w:hAnsi="Times New Roman" w:cs="Times New Roman"/>
                <w:bCs/>
                <w:color w:val="auto"/>
              </w:rPr>
              <w:t>项目运营期固体废物主要</w:t>
            </w:r>
            <w:r>
              <w:rPr>
                <w:rFonts w:hint="default" w:ascii="Times New Roman" w:hAnsi="Times New Roman" w:cs="Times New Roman"/>
                <w:bCs/>
                <w:color w:val="auto"/>
                <w:lang w:val="en-US" w:eastAsia="zh-CN"/>
              </w:rPr>
              <w:t>有污泥、生活垃圾、废机油、废膜。</w:t>
            </w:r>
          </w:p>
          <w:p>
            <w:pPr>
              <w:pStyle w:val="41"/>
              <w:snapToGrid w:val="0"/>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bCs/>
                <w:color w:val="auto"/>
                <w:lang w:val="en-US" w:eastAsia="zh-CN"/>
              </w:rPr>
              <w:t>生活垃圾、</w:t>
            </w:r>
            <w:r>
              <w:rPr>
                <w:rFonts w:hint="default" w:ascii="Times New Roman" w:hAnsi="Times New Roman" w:cs="Times New Roman"/>
                <w:bCs/>
                <w:color w:val="auto"/>
              </w:rPr>
              <w:t>污泥进入现有生活垃圾填埋场卫生填埋。</w:t>
            </w:r>
          </w:p>
          <w:p>
            <w:pPr>
              <w:pStyle w:val="41"/>
              <w:snapToGrid w:val="0"/>
              <w:spacing w:line="360" w:lineRule="auto"/>
              <w:ind w:firstLine="480" w:firstLineChars="200"/>
              <w:rPr>
                <w:rFonts w:hint="default" w:ascii="Times New Roman" w:hAnsi="Times New Roman" w:cs="Times New Roman"/>
                <w:bCs/>
                <w:color w:val="auto"/>
                <w:lang w:eastAsia="zh-CN"/>
              </w:rPr>
            </w:pPr>
            <w:r>
              <w:rPr>
                <w:rFonts w:hint="default" w:ascii="Times New Roman" w:hAnsi="Times New Roman" w:cs="Times New Roman"/>
                <w:bCs/>
                <w:color w:val="auto"/>
              </w:rPr>
              <w:t>废机油</w:t>
            </w:r>
            <w:r>
              <w:rPr>
                <w:rFonts w:hint="eastAsia" w:ascii="Times New Roman" w:hAnsi="Times New Roman" w:cs="Times New Roman"/>
                <w:bCs/>
                <w:color w:val="auto"/>
                <w:lang w:eastAsia="zh-CN"/>
              </w:rPr>
              <w:t>、</w:t>
            </w:r>
            <w:r>
              <w:rPr>
                <w:rFonts w:hint="eastAsia" w:ascii="Times New Roman" w:hAnsi="Times New Roman" w:cs="Times New Roman"/>
                <w:bCs/>
                <w:color w:val="auto"/>
                <w:lang w:val="en-US" w:eastAsia="zh-CN"/>
              </w:rPr>
              <w:t>废离子交换树脂</w:t>
            </w:r>
            <w:r>
              <w:rPr>
                <w:rFonts w:hint="default" w:ascii="Times New Roman" w:hAnsi="Times New Roman" w:cs="Times New Roman"/>
                <w:bCs/>
                <w:color w:val="auto"/>
                <w:lang w:val="en-US" w:eastAsia="zh-CN"/>
              </w:rPr>
              <w:t>属于危险废物，</w:t>
            </w:r>
            <w:r>
              <w:rPr>
                <w:rFonts w:hint="default" w:ascii="Times New Roman" w:hAnsi="Times New Roman" w:cs="Times New Roman"/>
                <w:bCs/>
                <w:color w:val="auto"/>
              </w:rPr>
              <w:t>采用桶装存储于危废暂存间，交有资质单位处理。</w:t>
            </w:r>
          </w:p>
          <w:p>
            <w:pPr>
              <w:pStyle w:val="41"/>
              <w:snapToGrid w:val="0"/>
              <w:spacing w:line="360" w:lineRule="auto"/>
              <w:ind w:firstLine="480" w:firstLineChars="20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废水处理系统反渗透膜片需定期更换，产生废反渗透膜，更换周期按3年更换一次，更换后的废膜由厂界回收，不外排。</w:t>
            </w:r>
          </w:p>
          <w:p>
            <w:pPr>
              <w:pStyle w:val="41"/>
              <w:snapToGrid w:val="0"/>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bCs/>
                <w:color w:val="auto"/>
                <w:lang w:val="en-US" w:eastAsia="zh-CN"/>
              </w:rPr>
              <w:t>项目产生的固体废物均得到了妥善处置，对环境影响较小</w:t>
            </w:r>
            <w:r>
              <w:rPr>
                <w:rFonts w:hint="default" w:ascii="Times New Roman" w:hAnsi="Times New Roman" w:cs="Times New Roman"/>
                <w:color w:val="auto"/>
                <w:sz w:val="24"/>
                <w:szCs w:val="22"/>
                <w:lang w:val="en-US" w:eastAsia="zh-CN"/>
              </w:rPr>
              <w:t>。</w:t>
            </w:r>
          </w:p>
          <w:p>
            <w:pPr>
              <w:pStyle w:val="68"/>
              <w:ind w:firstLine="0" w:firstLineChars="0"/>
              <w:rPr>
                <w:rFonts w:hint="default" w:ascii="Times New Roman" w:hAnsi="Times New Roman" w:cs="Times New Roman"/>
                <w:color w:val="auto"/>
                <w:szCs w:val="22"/>
              </w:rPr>
            </w:pPr>
            <w:r>
              <w:rPr>
                <w:rFonts w:hint="default" w:ascii="Times New Roman" w:hAnsi="Times New Roman" w:cs="Times New Roman"/>
                <w:color w:val="auto"/>
                <w:szCs w:val="22"/>
              </w:rPr>
              <w:t>2.6运营期生态环境影响分析</w:t>
            </w:r>
          </w:p>
          <w:p>
            <w:pPr>
              <w:pStyle w:val="41"/>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bCs/>
                <w:color w:val="auto"/>
              </w:rPr>
              <w:t>本项目</w:t>
            </w:r>
            <w:r>
              <w:rPr>
                <w:rFonts w:hint="default" w:ascii="Times New Roman" w:hAnsi="Times New Roman" w:cs="Times New Roman"/>
                <w:bCs/>
                <w:color w:val="auto"/>
                <w:lang w:val="en-US" w:eastAsia="zh-CN"/>
              </w:rPr>
              <w:t>不新增占地</w:t>
            </w:r>
            <w:r>
              <w:rPr>
                <w:rFonts w:hint="default" w:ascii="Times New Roman" w:hAnsi="Times New Roman" w:cs="Times New Roman"/>
                <w:bCs/>
                <w:color w:val="auto"/>
              </w:rPr>
              <w:t>，</w:t>
            </w:r>
            <w:r>
              <w:rPr>
                <w:rFonts w:hint="default" w:ascii="Times New Roman" w:hAnsi="Times New Roman" w:cs="Times New Roman"/>
                <w:bCs/>
                <w:color w:val="auto"/>
                <w:lang w:val="en-US" w:eastAsia="zh-CN"/>
              </w:rPr>
              <w:t>在原垃圾填填埋场厂区内进行扩建，用地性质为工业用地，</w:t>
            </w:r>
            <w:r>
              <w:rPr>
                <w:rFonts w:hint="default" w:ascii="Times New Roman" w:hAnsi="Times New Roman" w:cs="Times New Roman"/>
                <w:bCs/>
                <w:color w:val="auto"/>
              </w:rPr>
              <w:t>对生态环境影响较小。</w:t>
            </w:r>
          </w:p>
          <w:p>
            <w:pPr>
              <w:pStyle w:val="68"/>
              <w:ind w:firstLine="0" w:firstLineChars="0"/>
              <w:rPr>
                <w:rFonts w:hint="eastAsia" w:ascii="Times New Roman" w:hAnsi="Times New Roman" w:cs="Times New Roman"/>
                <w:color w:val="auto"/>
                <w:szCs w:val="22"/>
                <w:lang w:val="en-US" w:eastAsia="zh-CN"/>
              </w:rPr>
            </w:pPr>
            <w:r>
              <w:rPr>
                <w:rFonts w:hint="eastAsia" w:ascii="Times New Roman" w:hAnsi="Times New Roman" w:cs="Times New Roman"/>
                <w:color w:val="auto"/>
                <w:szCs w:val="22"/>
                <w:lang w:val="en-US" w:eastAsia="zh-CN"/>
              </w:rPr>
              <w:t>2.7运营期地下水影响分析</w:t>
            </w:r>
          </w:p>
          <w:p>
            <w:pPr>
              <w:pStyle w:val="41"/>
              <w:snapToGrid w:val="0"/>
              <w:spacing w:line="360" w:lineRule="auto"/>
              <w:ind w:firstLine="480" w:firstLineChars="200"/>
              <w:rPr>
                <w:rFonts w:hint="default" w:ascii="Times New Roman" w:hAnsi="Times New Roman" w:eastAsia="宋体" w:cs="Times New Roman"/>
                <w:bCs/>
                <w:color w:val="auto"/>
                <w:lang w:val="en-US" w:eastAsia="zh-CN"/>
              </w:rPr>
            </w:pPr>
            <w:r>
              <w:rPr>
                <w:rFonts w:hint="eastAsia" w:ascii="Times New Roman" w:hAnsi="Times New Roman" w:cs="Times New Roman"/>
                <w:bCs/>
                <w:color w:val="auto"/>
                <w:lang w:val="en-US" w:eastAsia="zh-CN"/>
              </w:rPr>
              <w:t>引用地下水专题中地下影响分析结论，地下水环境影响评价见地下水专题评价报告。</w:t>
            </w:r>
          </w:p>
          <w:p>
            <w:pPr>
              <w:pStyle w:val="41"/>
              <w:snapToGrid w:val="0"/>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bCs/>
                <w:color w:val="auto"/>
              </w:rPr>
              <w:t>本项目发生泄漏情况下，</w:t>
            </w:r>
            <w:r>
              <w:rPr>
                <w:rFonts w:hint="default" w:ascii="Times New Roman" w:hAnsi="Times New Roman" w:cs="Times New Roman"/>
                <w:bCs/>
                <w:color w:val="auto"/>
                <w:lang w:val="en-US" w:eastAsia="zh-CN"/>
              </w:rPr>
              <w:t>COD</w:t>
            </w:r>
            <w:r>
              <w:rPr>
                <w:rFonts w:hint="default" w:ascii="Times New Roman" w:hAnsi="Times New Roman" w:cs="Times New Roman"/>
                <w:bCs/>
                <w:color w:val="auto"/>
              </w:rPr>
              <w:t>100d影响范围在泄漏点至下游</w:t>
            </w:r>
            <w:r>
              <w:rPr>
                <w:rFonts w:hint="default" w:ascii="Times New Roman" w:hAnsi="Times New Roman" w:cs="Times New Roman"/>
                <w:bCs/>
                <w:color w:val="auto"/>
                <w:lang w:val="en-US" w:eastAsia="zh-CN"/>
              </w:rPr>
              <w:t>54</w:t>
            </w:r>
            <w:r>
              <w:rPr>
                <w:rFonts w:hint="default" w:ascii="Times New Roman" w:hAnsi="Times New Roman" w:cs="Times New Roman"/>
                <w:bCs/>
                <w:color w:val="auto"/>
              </w:rPr>
              <w:t>m范围内，</w:t>
            </w:r>
            <w:r>
              <w:rPr>
                <w:rFonts w:hint="default" w:ascii="Times New Roman" w:hAnsi="Times New Roman" w:cs="Times New Roman"/>
                <w:bCs/>
                <w:color w:val="auto"/>
                <w:lang w:val="en-US" w:eastAsia="zh-CN"/>
              </w:rPr>
              <w:t>26</w:t>
            </w:r>
            <w:r>
              <w:rPr>
                <w:rFonts w:hint="default" w:ascii="Times New Roman" w:hAnsi="Times New Roman" w:cs="Times New Roman"/>
                <w:bCs/>
                <w:color w:val="auto"/>
              </w:rPr>
              <w:t>m处</w:t>
            </w:r>
            <w:r>
              <w:rPr>
                <w:rFonts w:hint="default" w:ascii="Times New Roman" w:hAnsi="Times New Roman" w:cs="Times New Roman"/>
                <w:bCs/>
                <w:color w:val="auto"/>
                <w:lang w:val="en-US" w:eastAsia="zh-CN"/>
              </w:rPr>
              <w:t>COD</w:t>
            </w:r>
            <w:r>
              <w:rPr>
                <w:rFonts w:hint="default" w:ascii="Times New Roman" w:hAnsi="Times New Roman" w:cs="Times New Roman"/>
                <w:bCs/>
                <w:color w:val="auto"/>
              </w:rPr>
              <w:t>可以满足《地下水质量标准》（GB/T14848-2017）Ⅲ类标准；</w:t>
            </w:r>
            <w:r>
              <w:rPr>
                <w:rFonts w:hint="default" w:ascii="Times New Roman" w:hAnsi="Times New Roman" w:cs="Times New Roman"/>
                <w:bCs/>
                <w:color w:val="auto"/>
                <w:lang w:val="en-US" w:eastAsia="zh-CN"/>
              </w:rPr>
              <w:t>COD</w:t>
            </w:r>
            <w:r>
              <w:rPr>
                <w:rFonts w:hint="default" w:ascii="Times New Roman" w:hAnsi="Times New Roman" w:cs="Times New Roman"/>
                <w:bCs/>
                <w:color w:val="auto"/>
              </w:rPr>
              <w:t>1000d影响范围在泄漏点至下游</w:t>
            </w:r>
            <w:r>
              <w:rPr>
                <w:rFonts w:hint="default" w:ascii="Times New Roman" w:hAnsi="Times New Roman" w:cs="Times New Roman"/>
                <w:bCs/>
                <w:color w:val="auto"/>
                <w:lang w:val="en-US" w:eastAsia="zh-CN"/>
              </w:rPr>
              <w:t>1</w:t>
            </w:r>
            <w:r>
              <w:rPr>
                <w:rFonts w:hint="default" w:ascii="Times New Roman" w:hAnsi="Times New Roman" w:cs="Times New Roman"/>
                <w:bCs/>
                <w:color w:val="auto"/>
              </w:rPr>
              <w:t>00m范围内，</w:t>
            </w:r>
            <w:r>
              <w:rPr>
                <w:rFonts w:hint="default" w:ascii="Times New Roman" w:hAnsi="Times New Roman" w:cs="Times New Roman"/>
                <w:bCs/>
                <w:color w:val="auto"/>
                <w:lang w:val="en-US" w:eastAsia="zh-CN"/>
              </w:rPr>
              <w:t>95</w:t>
            </w:r>
            <w:r>
              <w:rPr>
                <w:rFonts w:hint="default" w:ascii="Times New Roman" w:hAnsi="Times New Roman" w:cs="Times New Roman"/>
                <w:bCs/>
                <w:color w:val="auto"/>
              </w:rPr>
              <w:t>m处</w:t>
            </w:r>
            <w:r>
              <w:rPr>
                <w:rFonts w:hint="default" w:ascii="Times New Roman" w:hAnsi="Times New Roman" w:cs="Times New Roman"/>
                <w:bCs/>
                <w:color w:val="auto"/>
                <w:lang w:val="en-US" w:eastAsia="zh-CN"/>
              </w:rPr>
              <w:t>COD</w:t>
            </w:r>
            <w:r>
              <w:rPr>
                <w:rFonts w:hint="default" w:ascii="Times New Roman" w:hAnsi="Times New Roman" w:cs="Times New Roman"/>
                <w:bCs/>
                <w:color w:val="auto"/>
              </w:rPr>
              <w:t>可以满足《地下水质量标准》（GB/T14848-2017）Ⅲ类标准。</w:t>
            </w:r>
            <w:r>
              <w:rPr>
                <w:rFonts w:hint="default" w:ascii="Times New Roman" w:hAnsi="Times New Roman" w:cs="Times New Roman"/>
                <w:bCs/>
                <w:color w:val="auto"/>
                <w:lang w:val="en-US" w:eastAsia="zh-CN"/>
              </w:rPr>
              <w:t>氨氮</w:t>
            </w:r>
            <w:r>
              <w:rPr>
                <w:rFonts w:hint="default" w:ascii="Times New Roman" w:hAnsi="Times New Roman" w:cs="Times New Roman"/>
                <w:bCs/>
                <w:color w:val="auto"/>
              </w:rPr>
              <w:t>100d影响范围在泄漏点至下游</w:t>
            </w:r>
            <w:r>
              <w:rPr>
                <w:rFonts w:hint="default" w:ascii="Times New Roman" w:hAnsi="Times New Roman" w:cs="Times New Roman"/>
                <w:bCs/>
                <w:color w:val="auto"/>
                <w:lang w:val="en-US" w:eastAsia="zh-CN"/>
              </w:rPr>
              <w:t>54</w:t>
            </w:r>
            <w:r>
              <w:rPr>
                <w:rFonts w:hint="default" w:ascii="Times New Roman" w:hAnsi="Times New Roman" w:cs="Times New Roman"/>
                <w:bCs/>
                <w:color w:val="auto"/>
              </w:rPr>
              <w:t>m范围内，</w:t>
            </w:r>
            <w:r>
              <w:rPr>
                <w:rFonts w:hint="default" w:ascii="Times New Roman" w:hAnsi="Times New Roman" w:cs="Times New Roman"/>
                <w:bCs/>
                <w:color w:val="auto"/>
                <w:lang w:val="en-US" w:eastAsia="zh-CN"/>
              </w:rPr>
              <w:t>25</w:t>
            </w:r>
            <w:r>
              <w:rPr>
                <w:rFonts w:hint="default" w:ascii="Times New Roman" w:hAnsi="Times New Roman" w:cs="Times New Roman"/>
                <w:bCs/>
                <w:color w:val="auto"/>
              </w:rPr>
              <w:t>m处</w:t>
            </w:r>
            <w:r>
              <w:rPr>
                <w:rFonts w:hint="default" w:ascii="Times New Roman" w:hAnsi="Times New Roman" w:cs="Times New Roman"/>
                <w:bCs/>
                <w:color w:val="auto"/>
                <w:lang w:val="en-US" w:eastAsia="zh-CN"/>
              </w:rPr>
              <w:t>氨氮</w:t>
            </w:r>
            <w:r>
              <w:rPr>
                <w:rFonts w:hint="default" w:ascii="Times New Roman" w:hAnsi="Times New Roman" w:cs="Times New Roman"/>
                <w:bCs/>
                <w:color w:val="auto"/>
              </w:rPr>
              <w:t>可以满足《地下水质量标准》（GB/T14848-2017）Ⅲ类标准；</w:t>
            </w:r>
            <w:r>
              <w:rPr>
                <w:rFonts w:hint="default" w:ascii="Times New Roman" w:hAnsi="Times New Roman" w:cs="Times New Roman"/>
                <w:bCs/>
                <w:color w:val="auto"/>
                <w:lang w:val="en-US" w:eastAsia="zh-CN"/>
              </w:rPr>
              <w:t>氨氮</w:t>
            </w:r>
            <w:r>
              <w:rPr>
                <w:rFonts w:hint="default" w:ascii="Times New Roman" w:hAnsi="Times New Roman" w:cs="Times New Roman"/>
                <w:bCs/>
                <w:color w:val="auto"/>
              </w:rPr>
              <w:t>1000d影响范围在泄漏点至下游</w:t>
            </w:r>
            <w:r>
              <w:rPr>
                <w:rFonts w:hint="default" w:ascii="Times New Roman" w:hAnsi="Times New Roman" w:cs="Times New Roman"/>
                <w:bCs/>
                <w:color w:val="auto"/>
                <w:lang w:val="en-US" w:eastAsia="zh-CN"/>
              </w:rPr>
              <w:t>1</w:t>
            </w:r>
            <w:r>
              <w:rPr>
                <w:rFonts w:hint="default" w:ascii="Times New Roman" w:hAnsi="Times New Roman" w:cs="Times New Roman"/>
                <w:bCs/>
                <w:color w:val="auto"/>
              </w:rPr>
              <w:t>00m范围内，</w:t>
            </w:r>
            <w:r>
              <w:rPr>
                <w:rFonts w:hint="default" w:ascii="Times New Roman" w:hAnsi="Times New Roman" w:cs="Times New Roman"/>
                <w:bCs/>
                <w:color w:val="auto"/>
                <w:lang w:val="en-US" w:eastAsia="zh-CN"/>
              </w:rPr>
              <w:t>91</w:t>
            </w:r>
            <w:r>
              <w:rPr>
                <w:rFonts w:hint="default" w:ascii="Times New Roman" w:hAnsi="Times New Roman" w:cs="Times New Roman"/>
                <w:bCs/>
                <w:color w:val="auto"/>
              </w:rPr>
              <w:t>m处</w:t>
            </w:r>
            <w:r>
              <w:rPr>
                <w:rFonts w:hint="default" w:ascii="Times New Roman" w:hAnsi="Times New Roman" w:cs="Times New Roman"/>
                <w:bCs/>
                <w:color w:val="auto"/>
                <w:lang w:val="en-US" w:eastAsia="zh-CN"/>
              </w:rPr>
              <w:t>氨氮</w:t>
            </w:r>
            <w:r>
              <w:rPr>
                <w:rFonts w:hint="default" w:ascii="Times New Roman" w:hAnsi="Times New Roman" w:cs="Times New Roman"/>
                <w:bCs/>
                <w:color w:val="auto"/>
              </w:rPr>
              <w:t>可以满足《地下水质量标准》（GB/T14848-2017）Ⅲ类标准。</w:t>
            </w:r>
          </w:p>
          <w:p>
            <w:pPr>
              <w:pStyle w:val="41"/>
              <w:snapToGrid w:val="0"/>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bCs/>
                <w:color w:val="auto"/>
              </w:rPr>
              <w:t>项目评价范围内地下水流向下游500m范围无地下水饮用水井，非正常状况下，污水泄漏不会对地下水流向下游地下饮用水造成影响。</w:t>
            </w:r>
          </w:p>
          <w:p>
            <w:pPr>
              <w:pStyle w:val="68"/>
              <w:ind w:firstLine="0" w:firstLineChars="0"/>
              <w:rPr>
                <w:rFonts w:hint="default" w:ascii="Times New Roman" w:hAnsi="Times New Roman" w:cs="Times New Roman"/>
                <w:color w:val="auto"/>
                <w:szCs w:val="22"/>
              </w:rPr>
            </w:pPr>
            <w:r>
              <w:rPr>
                <w:rFonts w:hint="default" w:ascii="Times New Roman" w:hAnsi="Times New Roman" w:cs="Times New Roman"/>
                <w:color w:val="auto"/>
                <w:szCs w:val="22"/>
              </w:rPr>
              <w:t>2.</w:t>
            </w:r>
            <w:r>
              <w:rPr>
                <w:rFonts w:hint="eastAsia" w:ascii="Times New Roman" w:hAnsi="Times New Roman" w:cs="Times New Roman"/>
                <w:color w:val="auto"/>
                <w:szCs w:val="22"/>
                <w:lang w:val="en-US" w:eastAsia="zh-CN"/>
              </w:rPr>
              <w:t>8</w:t>
            </w:r>
            <w:r>
              <w:rPr>
                <w:rFonts w:hint="default" w:ascii="Times New Roman" w:hAnsi="Times New Roman" w:cs="Times New Roman"/>
                <w:color w:val="auto"/>
                <w:szCs w:val="22"/>
              </w:rPr>
              <w:t>土壤环境影响分析</w:t>
            </w:r>
          </w:p>
          <w:p>
            <w:pPr>
              <w:pStyle w:val="41"/>
              <w:spacing w:line="360" w:lineRule="auto"/>
              <w:ind w:firstLine="480" w:firstLineChars="200"/>
              <w:rPr>
                <w:rFonts w:hint="default" w:ascii="Times New Roman" w:hAnsi="Times New Roman" w:cs="Times New Roman"/>
                <w:color w:val="auto"/>
                <w:kern w:val="2"/>
              </w:rPr>
            </w:pPr>
            <w:r>
              <w:rPr>
                <w:rFonts w:hint="default" w:ascii="Times New Roman" w:hAnsi="Times New Roman" w:cs="Times New Roman"/>
                <w:color w:val="auto"/>
                <w:kern w:val="2"/>
              </w:rPr>
              <w:t>本项目为污水处理厂建设项目，根据《环境影响评价技术导则 土壤环境》（HJ964-2018）附录A土壤环境影响评价项目类别，</w:t>
            </w:r>
            <w:r>
              <w:rPr>
                <w:rFonts w:hint="default" w:ascii="Times New Roman" w:hAnsi="Times New Roman" w:cs="Times New Roman"/>
                <w:color w:val="auto"/>
                <w:kern w:val="2"/>
                <w:lang w:val="en-US" w:eastAsia="zh-CN"/>
              </w:rPr>
              <w:t>工业废水处理</w:t>
            </w:r>
            <w:r>
              <w:rPr>
                <w:rFonts w:hint="default" w:ascii="Times New Roman" w:hAnsi="Times New Roman" w:cs="Times New Roman"/>
                <w:color w:val="auto"/>
                <w:kern w:val="2"/>
              </w:rPr>
              <w:t>项目为</w:t>
            </w:r>
            <w:r>
              <w:rPr>
                <w:rFonts w:hint="default" w:ascii="Times New Roman" w:hAnsi="Times New Roman" w:eastAsia="宋体" w:cs="Times New Roman"/>
                <w:color w:val="auto"/>
                <w:kern w:val="2"/>
              </w:rPr>
              <w:t>Ⅱ</w:t>
            </w:r>
            <w:r>
              <w:rPr>
                <w:rFonts w:hint="default" w:ascii="Times New Roman" w:hAnsi="Times New Roman" w:cs="Times New Roman"/>
                <w:color w:val="auto"/>
                <w:kern w:val="2"/>
              </w:rPr>
              <w:t>类项目，为污染型建设项目，按占地规模、建设项目所在地周边的土壤环境敏感程进行判定。具体判定依据见下表。</w:t>
            </w:r>
          </w:p>
          <w:p>
            <w:pPr>
              <w:adjustRightInd/>
              <w:spacing w:line="240" w:lineRule="auto"/>
              <w:jc w:val="center"/>
              <w:textAlignment w:val="auto"/>
              <w:rPr>
                <w:rFonts w:hint="default" w:ascii="Times New Roman" w:hAnsi="Times New Roman" w:cs="Times New Roman"/>
                <w:b/>
                <w:color w:val="auto"/>
                <w:kern w:val="2"/>
                <w:sz w:val="24"/>
                <w:szCs w:val="24"/>
              </w:rPr>
            </w:pPr>
            <w:r>
              <w:rPr>
                <w:rFonts w:hint="default" w:ascii="Times New Roman" w:hAnsi="Times New Roman" w:cs="Times New Roman"/>
                <w:b/>
                <w:color w:val="auto"/>
                <w:kern w:val="2"/>
                <w:sz w:val="24"/>
                <w:szCs w:val="24"/>
              </w:rPr>
              <w:t>表7-1</w:t>
            </w:r>
            <w:r>
              <w:rPr>
                <w:rFonts w:hint="default" w:ascii="Times New Roman" w:hAnsi="Times New Roman" w:cs="Times New Roman"/>
                <w:b/>
                <w:color w:val="auto"/>
                <w:kern w:val="2"/>
                <w:sz w:val="24"/>
                <w:szCs w:val="24"/>
                <w:lang w:val="en-US" w:eastAsia="zh-CN"/>
              </w:rPr>
              <w:t>4</w:t>
            </w:r>
            <w:r>
              <w:rPr>
                <w:rFonts w:hint="default" w:ascii="Times New Roman" w:hAnsi="Times New Roman" w:cs="Times New Roman"/>
                <w:b/>
                <w:color w:val="auto"/>
                <w:kern w:val="2"/>
                <w:sz w:val="24"/>
                <w:szCs w:val="24"/>
              </w:rPr>
              <w:t xml:space="preserve"> 占地规模</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36"/>
              <w:gridCol w:w="48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499" w:type="pct"/>
                  <w:tcBorders>
                    <w:top w:val="single" w:color="auto" w:sz="12" w:space="0"/>
                    <w:left w:val="nil"/>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类型</w:t>
                  </w:r>
                </w:p>
              </w:tc>
              <w:tc>
                <w:tcPr>
                  <w:tcW w:w="2501" w:type="pct"/>
                  <w:tcBorders>
                    <w:top w:val="single" w:color="auto" w:sz="12" w:space="0"/>
                    <w:left w:val="single" w:color="auto" w:sz="4" w:space="0"/>
                    <w:bottom w:val="single" w:color="auto" w:sz="4" w:space="0"/>
                    <w:right w:val="nil"/>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占地规模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499" w:type="pct"/>
                  <w:tcBorders>
                    <w:top w:val="single" w:color="auto" w:sz="4" w:space="0"/>
                    <w:left w:val="nil"/>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大型</w:t>
                  </w:r>
                </w:p>
              </w:tc>
              <w:tc>
                <w:tcPr>
                  <w:tcW w:w="2501" w:type="pct"/>
                  <w:tcBorders>
                    <w:top w:val="single" w:color="auto" w:sz="4" w:space="0"/>
                    <w:left w:val="single" w:color="auto" w:sz="4" w:space="0"/>
                    <w:bottom w:val="single" w:color="auto" w:sz="4" w:space="0"/>
                    <w:right w:val="nil"/>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≥50hm</w:t>
                  </w:r>
                  <w:r>
                    <w:rPr>
                      <w:rFonts w:hint="default" w:ascii="Times New Roman" w:hAnsi="Times New Roman" w:cs="Times New Roman"/>
                      <w:color w:val="auto"/>
                      <w:sz w:val="21"/>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499" w:type="pct"/>
                  <w:tcBorders>
                    <w:top w:val="single" w:color="auto" w:sz="4" w:space="0"/>
                    <w:left w:val="nil"/>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中型</w:t>
                  </w:r>
                </w:p>
              </w:tc>
              <w:tc>
                <w:tcPr>
                  <w:tcW w:w="2501" w:type="pct"/>
                  <w:tcBorders>
                    <w:top w:val="single" w:color="auto" w:sz="4" w:space="0"/>
                    <w:left w:val="single" w:color="auto" w:sz="4" w:space="0"/>
                    <w:bottom w:val="single" w:color="auto" w:sz="4" w:space="0"/>
                    <w:right w:val="nil"/>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5-50 hm</w:t>
                  </w:r>
                  <w:r>
                    <w:rPr>
                      <w:rFonts w:hint="default" w:ascii="Times New Roman" w:hAnsi="Times New Roman" w:cs="Times New Roman"/>
                      <w:color w:val="auto"/>
                      <w:sz w:val="21"/>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499" w:type="pct"/>
                  <w:tcBorders>
                    <w:top w:val="single" w:color="auto" w:sz="4" w:space="0"/>
                    <w:left w:val="nil"/>
                    <w:bottom w:val="single" w:color="auto" w:sz="12"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小型</w:t>
                  </w:r>
                </w:p>
              </w:tc>
              <w:tc>
                <w:tcPr>
                  <w:tcW w:w="2501" w:type="pct"/>
                  <w:tcBorders>
                    <w:top w:val="single" w:color="auto" w:sz="4" w:space="0"/>
                    <w:left w:val="single" w:color="auto" w:sz="4" w:space="0"/>
                    <w:bottom w:val="single" w:color="auto" w:sz="12" w:space="0"/>
                    <w:right w:val="nil"/>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 hm</w:t>
                  </w:r>
                  <w:r>
                    <w:rPr>
                      <w:rFonts w:hint="default" w:ascii="Times New Roman" w:hAnsi="Times New Roman" w:cs="Times New Roman"/>
                      <w:color w:val="auto"/>
                      <w:sz w:val="21"/>
                      <w:szCs w:val="21"/>
                      <w:vertAlign w:val="superscript"/>
                    </w:rPr>
                    <w:t>2</w:t>
                  </w:r>
                </w:p>
              </w:tc>
            </w:tr>
          </w:tbl>
          <w:p>
            <w:pPr>
              <w:adjustRightInd/>
              <w:spacing w:line="240" w:lineRule="auto"/>
              <w:jc w:val="center"/>
              <w:textAlignment w:val="auto"/>
              <w:rPr>
                <w:rFonts w:hint="default" w:ascii="Times New Roman" w:hAnsi="Times New Roman" w:cs="Times New Roman"/>
                <w:b/>
                <w:color w:val="auto"/>
                <w:kern w:val="2"/>
                <w:sz w:val="24"/>
                <w:szCs w:val="24"/>
              </w:rPr>
            </w:pPr>
            <w:r>
              <w:rPr>
                <w:rFonts w:hint="default" w:ascii="Times New Roman" w:hAnsi="Times New Roman" w:cs="Times New Roman"/>
                <w:b/>
                <w:color w:val="auto"/>
                <w:kern w:val="2"/>
                <w:sz w:val="24"/>
                <w:szCs w:val="24"/>
              </w:rPr>
              <w:t>表7-1</w:t>
            </w:r>
            <w:r>
              <w:rPr>
                <w:rFonts w:hint="default" w:ascii="Times New Roman" w:hAnsi="Times New Roman" w:cs="Times New Roman"/>
                <w:b/>
                <w:color w:val="auto"/>
                <w:kern w:val="2"/>
                <w:sz w:val="24"/>
                <w:szCs w:val="24"/>
                <w:lang w:val="en-US" w:eastAsia="zh-CN"/>
              </w:rPr>
              <w:t>5</w:t>
            </w:r>
            <w:r>
              <w:rPr>
                <w:rFonts w:hint="default" w:ascii="Times New Roman" w:hAnsi="Times New Roman" w:cs="Times New Roman"/>
                <w:b/>
                <w:color w:val="auto"/>
                <w:kern w:val="2"/>
                <w:sz w:val="24"/>
                <w:szCs w:val="24"/>
              </w:rPr>
              <w:t xml:space="preserve"> 污染影响型敏感程度分级表</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44"/>
              <w:gridCol w:w="75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8" w:type="pct"/>
                  <w:tcBorders>
                    <w:top w:val="single" w:color="auto" w:sz="12" w:space="0"/>
                    <w:left w:val="nil"/>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敏感程度</w:t>
                  </w:r>
                </w:p>
              </w:tc>
              <w:tc>
                <w:tcPr>
                  <w:tcW w:w="3892" w:type="pct"/>
                  <w:tcBorders>
                    <w:top w:val="single" w:color="auto" w:sz="12" w:space="0"/>
                    <w:left w:val="single" w:color="auto" w:sz="4" w:space="0"/>
                    <w:bottom w:val="single" w:color="auto" w:sz="4" w:space="0"/>
                    <w:right w:val="nil"/>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判别依据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8" w:type="pct"/>
                  <w:tcBorders>
                    <w:top w:val="single" w:color="auto" w:sz="4" w:space="0"/>
                    <w:left w:val="nil"/>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敏感</w:t>
                  </w:r>
                </w:p>
              </w:tc>
              <w:tc>
                <w:tcPr>
                  <w:tcW w:w="3892" w:type="pct"/>
                  <w:tcBorders>
                    <w:top w:val="single" w:color="auto" w:sz="4" w:space="0"/>
                    <w:left w:val="single" w:color="auto" w:sz="4" w:space="0"/>
                    <w:bottom w:val="single" w:color="auto" w:sz="4" w:space="0"/>
                    <w:right w:val="nil"/>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建设项目周边存在耕地、园地、牧草地、饮用水水源地或居民区、学校、医院、疗养院、养老院等土壤环境敏感目标的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8" w:type="pct"/>
                  <w:tcBorders>
                    <w:top w:val="single" w:color="auto" w:sz="4" w:space="0"/>
                    <w:left w:val="nil"/>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较敏感</w:t>
                  </w:r>
                </w:p>
              </w:tc>
              <w:tc>
                <w:tcPr>
                  <w:tcW w:w="3892" w:type="pct"/>
                  <w:tcBorders>
                    <w:top w:val="single" w:color="auto" w:sz="4" w:space="0"/>
                    <w:left w:val="single" w:color="auto" w:sz="4" w:space="0"/>
                    <w:bottom w:val="single" w:color="auto" w:sz="4" w:space="0"/>
                    <w:right w:val="nil"/>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建设项目周边存在其他土壤环境敏感目标泊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8" w:type="pct"/>
                  <w:tcBorders>
                    <w:top w:val="single" w:color="auto" w:sz="4" w:space="0"/>
                    <w:left w:val="nil"/>
                    <w:bottom w:val="single" w:color="auto" w:sz="12"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不敏感</w:t>
                  </w:r>
                </w:p>
              </w:tc>
              <w:tc>
                <w:tcPr>
                  <w:tcW w:w="3892" w:type="pct"/>
                  <w:tcBorders>
                    <w:top w:val="single" w:color="auto" w:sz="4" w:space="0"/>
                    <w:left w:val="single" w:color="auto" w:sz="4" w:space="0"/>
                    <w:bottom w:val="single" w:color="auto" w:sz="12" w:space="0"/>
                    <w:right w:val="nil"/>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其他情况</w:t>
                  </w:r>
                </w:p>
              </w:tc>
            </w:tr>
          </w:tbl>
          <w:p>
            <w:pPr>
              <w:adjustRightInd/>
              <w:spacing w:line="240" w:lineRule="auto"/>
              <w:jc w:val="center"/>
              <w:textAlignment w:val="auto"/>
              <w:rPr>
                <w:rFonts w:hint="default" w:ascii="Times New Roman" w:hAnsi="Times New Roman" w:cs="Times New Roman"/>
                <w:b/>
                <w:color w:val="auto"/>
                <w:kern w:val="2"/>
                <w:sz w:val="24"/>
                <w:szCs w:val="24"/>
              </w:rPr>
            </w:pPr>
            <w:r>
              <w:rPr>
                <w:rFonts w:hint="default" w:ascii="Times New Roman" w:hAnsi="Times New Roman" w:cs="Times New Roman"/>
                <w:b/>
                <w:color w:val="auto"/>
                <w:kern w:val="2"/>
                <w:sz w:val="24"/>
                <w:szCs w:val="24"/>
              </w:rPr>
              <w:t>表7-1</w:t>
            </w:r>
            <w:r>
              <w:rPr>
                <w:rFonts w:hint="default" w:ascii="Times New Roman" w:hAnsi="Times New Roman" w:cs="Times New Roman"/>
                <w:b/>
                <w:color w:val="auto"/>
                <w:kern w:val="2"/>
                <w:sz w:val="24"/>
                <w:szCs w:val="24"/>
                <w:lang w:val="en-US" w:eastAsia="zh-CN"/>
              </w:rPr>
              <w:t>6</w:t>
            </w:r>
            <w:r>
              <w:rPr>
                <w:rFonts w:hint="default" w:ascii="Times New Roman" w:hAnsi="Times New Roman" w:cs="Times New Roman"/>
                <w:b/>
                <w:color w:val="auto"/>
                <w:kern w:val="2"/>
                <w:sz w:val="24"/>
                <w:szCs w:val="24"/>
              </w:rPr>
              <w:t xml:space="preserve"> 污染影响型评价工作等级划分表</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41"/>
              <w:gridCol w:w="967"/>
              <w:gridCol w:w="967"/>
              <w:gridCol w:w="968"/>
              <w:gridCol w:w="968"/>
              <w:gridCol w:w="968"/>
              <w:gridCol w:w="968"/>
              <w:gridCol w:w="968"/>
              <w:gridCol w:w="9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13" w:type="pct"/>
                  <w:vMerge w:val="restart"/>
                  <w:tcBorders>
                    <w:top w:val="single" w:color="auto" w:sz="12" w:space="0"/>
                    <w:left w:val="nil"/>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p>
              </w:tc>
              <w:tc>
                <w:tcPr>
                  <w:tcW w:w="1487" w:type="pct"/>
                  <w:gridSpan w:val="3"/>
                  <w:tcBorders>
                    <w:top w:val="single" w:color="auto" w:sz="12"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Ⅰ</w:t>
                  </w:r>
                </w:p>
              </w:tc>
              <w:tc>
                <w:tcPr>
                  <w:tcW w:w="1500" w:type="pct"/>
                  <w:gridSpan w:val="3"/>
                  <w:tcBorders>
                    <w:top w:val="single" w:color="auto" w:sz="12"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1500" w:type="pct"/>
                  <w:gridSpan w:val="3"/>
                  <w:tcBorders>
                    <w:top w:val="single" w:color="auto" w:sz="12" w:space="0"/>
                    <w:left w:val="single" w:color="auto" w:sz="4" w:space="0"/>
                    <w:bottom w:val="single" w:color="auto" w:sz="4" w:space="0"/>
                    <w:right w:val="nil"/>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13" w:type="pct"/>
                  <w:vMerge w:val="continue"/>
                  <w:tcBorders>
                    <w:top w:val="single" w:color="auto" w:sz="12" w:space="0"/>
                    <w:left w:val="nil"/>
                    <w:bottom w:val="single" w:color="auto" w:sz="4" w:space="0"/>
                    <w:right w:val="single" w:color="auto" w:sz="4" w:space="0"/>
                  </w:tcBorders>
                  <w:vAlign w:val="center"/>
                </w:tcPr>
                <w:p>
                  <w:pPr>
                    <w:widowControl/>
                    <w:adjustRightInd/>
                    <w:spacing w:line="240" w:lineRule="auto"/>
                    <w:jc w:val="left"/>
                    <w:textAlignment w:val="auto"/>
                    <w:rPr>
                      <w:rFonts w:hint="default" w:ascii="Times New Roman" w:hAnsi="Times New Roman" w:cs="Times New Roman"/>
                      <w:color w:val="auto"/>
                      <w:szCs w:val="21"/>
                    </w:rPr>
                  </w:pPr>
                </w:p>
              </w:tc>
              <w:tc>
                <w:tcPr>
                  <w:tcW w:w="487" w:type="pct"/>
                  <w:tcBorders>
                    <w:top w:val="single" w:color="auto" w:sz="4"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w:t>
                  </w:r>
                </w:p>
              </w:tc>
              <w:tc>
                <w:tcPr>
                  <w:tcW w:w="500" w:type="pct"/>
                  <w:tcBorders>
                    <w:top w:val="single" w:color="auto" w:sz="4"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w:t>
                  </w:r>
                </w:p>
              </w:tc>
              <w:tc>
                <w:tcPr>
                  <w:tcW w:w="500" w:type="pct"/>
                  <w:tcBorders>
                    <w:top w:val="single" w:color="auto" w:sz="4"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w:t>
                  </w:r>
                </w:p>
              </w:tc>
              <w:tc>
                <w:tcPr>
                  <w:tcW w:w="500" w:type="pct"/>
                  <w:tcBorders>
                    <w:top w:val="single" w:color="auto" w:sz="4"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w:t>
                  </w:r>
                </w:p>
              </w:tc>
              <w:tc>
                <w:tcPr>
                  <w:tcW w:w="500" w:type="pct"/>
                  <w:tcBorders>
                    <w:top w:val="single" w:color="auto" w:sz="4"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w:t>
                  </w:r>
                </w:p>
              </w:tc>
              <w:tc>
                <w:tcPr>
                  <w:tcW w:w="500" w:type="pct"/>
                  <w:tcBorders>
                    <w:top w:val="single" w:color="auto" w:sz="4"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w:t>
                  </w:r>
                </w:p>
              </w:tc>
              <w:tc>
                <w:tcPr>
                  <w:tcW w:w="500" w:type="pct"/>
                  <w:tcBorders>
                    <w:top w:val="single" w:color="auto" w:sz="4"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w:t>
                  </w:r>
                </w:p>
              </w:tc>
              <w:tc>
                <w:tcPr>
                  <w:tcW w:w="500" w:type="pct"/>
                  <w:tcBorders>
                    <w:top w:val="single" w:color="auto" w:sz="4"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w:t>
                  </w:r>
                </w:p>
              </w:tc>
              <w:tc>
                <w:tcPr>
                  <w:tcW w:w="501" w:type="pct"/>
                  <w:tcBorders>
                    <w:top w:val="single" w:color="auto" w:sz="4" w:space="0"/>
                    <w:left w:val="single" w:color="auto" w:sz="4" w:space="0"/>
                    <w:bottom w:val="single" w:color="auto" w:sz="4" w:space="0"/>
                    <w:right w:val="nil"/>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13" w:type="pct"/>
                  <w:tcBorders>
                    <w:top w:val="single" w:color="auto" w:sz="4" w:space="0"/>
                    <w:left w:val="nil"/>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敏感</w:t>
                  </w:r>
                </w:p>
              </w:tc>
              <w:tc>
                <w:tcPr>
                  <w:tcW w:w="487" w:type="pct"/>
                  <w:tcBorders>
                    <w:top w:val="single" w:color="auto" w:sz="4"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w:t>
                  </w:r>
                </w:p>
              </w:tc>
              <w:tc>
                <w:tcPr>
                  <w:tcW w:w="500" w:type="pct"/>
                  <w:tcBorders>
                    <w:top w:val="single" w:color="auto" w:sz="4"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w:t>
                  </w:r>
                </w:p>
              </w:tc>
              <w:tc>
                <w:tcPr>
                  <w:tcW w:w="500" w:type="pct"/>
                  <w:tcBorders>
                    <w:top w:val="single" w:color="auto" w:sz="4"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w:t>
                  </w:r>
                </w:p>
              </w:tc>
              <w:tc>
                <w:tcPr>
                  <w:tcW w:w="500" w:type="pct"/>
                  <w:tcBorders>
                    <w:top w:val="single" w:color="auto" w:sz="4"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500" w:type="pct"/>
                  <w:tcBorders>
                    <w:top w:val="single" w:color="auto" w:sz="4"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500" w:type="pct"/>
                  <w:tcBorders>
                    <w:top w:val="single" w:color="auto" w:sz="4"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500" w:type="pct"/>
                  <w:tcBorders>
                    <w:top w:val="single" w:color="auto" w:sz="4"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w:t>
                  </w:r>
                </w:p>
              </w:tc>
              <w:tc>
                <w:tcPr>
                  <w:tcW w:w="500" w:type="pct"/>
                  <w:tcBorders>
                    <w:top w:val="single" w:color="auto" w:sz="4"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w:t>
                  </w:r>
                </w:p>
              </w:tc>
              <w:tc>
                <w:tcPr>
                  <w:tcW w:w="501" w:type="pct"/>
                  <w:tcBorders>
                    <w:top w:val="single" w:color="auto" w:sz="4" w:space="0"/>
                    <w:left w:val="single" w:color="auto" w:sz="4" w:space="0"/>
                    <w:bottom w:val="single" w:color="auto" w:sz="4" w:space="0"/>
                    <w:right w:val="nil"/>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13" w:type="pct"/>
                  <w:tcBorders>
                    <w:top w:val="single" w:color="auto" w:sz="4" w:space="0"/>
                    <w:left w:val="nil"/>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较敏感</w:t>
                  </w:r>
                </w:p>
              </w:tc>
              <w:tc>
                <w:tcPr>
                  <w:tcW w:w="487" w:type="pct"/>
                  <w:tcBorders>
                    <w:top w:val="single" w:color="auto" w:sz="4"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w:t>
                  </w:r>
                </w:p>
              </w:tc>
              <w:tc>
                <w:tcPr>
                  <w:tcW w:w="500" w:type="pct"/>
                  <w:tcBorders>
                    <w:top w:val="single" w:color="auto" w:sz="4"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w:t>
                  </w:r>
                </w:p>
              </w:tc>
              <w:tc>
                <w:tcPr>
                  <w:tcW w:w="500" w:type="pct"/>
                  <w:tcBorders>
                    <w:top w:val="single" w:color="auto" w:sz="4"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500" w:type="pct"/>
                  <w:tcBorders>
                    <w:top w:val="single" w:color="auto" w:sz="4"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500" w:type="pct"/>
                  <w:tcBorders>
                    <w:top w:val="single" w:color="auto" w:sz="4"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500" w:type="pct"/>
                  <w:tcBorders>
                    <w:top w:val="single" w:color="auto" w:sz="4"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w:t>
                  </w:r>
                </w:p>
              </w:tc>
              <w:tc>
                <w:tcPr>
                  <w:tcW w:w="500" w:type="pct"/>
                  <w:tcBorders>
                    <w:top w:val="single" w:color="auto" w:sz="4"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w:t>
                  </w:r>
                </w:p>
              </w:tc>
              <w:tc>
                <w:tcPr>
                  <w:tcW w:w="500" w:type="pct"/>
                  <w:tcBorders>
                    <w:top w:val="single" w:color="auto" w:sz="4" w:space="0"/>
                    <w:left w:val="single" w:color="auto" w:sz="4" w:space="0"/>
                    <w:bottom w:val="single" w:color="auto" w:sz="4"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w:t>
                  </w:r>
                </w:p>
              </w:tc>
              <w:tc>
                <w:tcPr>
                  <w:tcW w:w="501" w:type="pct"/>
                  <w:tcBorders>
                    <w:top w:val="single" w:color="auto" w:sz="4" w:space="0"/>
                    <w:left w:val="single" w:color="auto" w:sz="4" w:space="0"/>
                    <w:bottom w:val="single" w:color="auto" w:sz="4" w:space="0"/>
                    <w:right w:val="nil"/>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13" w:type="pct"/>
                  <w:tcBorders>
                    <w:top w:val="single" w:color="auto" w:sz="4" w:space="0"/>
                    <w:left w:val="nil"/>
                    <w:bottom w:val="single" w:color="auto" w:sz="12"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不敏感</w:t>
                  </w:r>
                </w:p>
              </w:tc>
              <w:tc>
                <w:tcPr>
                  <w:tcW w:w="487" w:type="pct"/>
                  <w:tcBorders>
                    <w:top w:val="single" w:color="auto" w:sz="4" w:space="0"/>
                    <w:left w:val="single" w:color="auto" w:sz="4" w:space="0"/>
                    <w:bottom w:val="single" w:color="auto" w:sz="12"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w:t>
                  </w:r>
                </w:p>
              </w:tc>
              <w:tc>
                <w:tcPr>
                  <w:tcW w:w="500" w:type="pct"/>
                  <w:tcBorders>
                    <w:top w:val="single" w:color="auto" w:sz="4" w:space="0"/>
                    <w:left w:val="single" w:color="auto" w:sz="4" w:space="0"/>
                    <w:bottom w:val="single" w:color="auto" w:sz="12"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w:t>
                  </w:r>
                </w:p>
              </w:tc>
              <w:tc>
                <w:tcPr>
                  <w:tcW w:w="500" w:type="pct"/>
                  <w:tcBorders>
                    <w:top w:val="single" w:color="auto" w:sz="4" w:space="0"/>
                    <w:left w:val="single" w:color="auto" w:sz="4" w:space="0"/>
                    <w:bottom w:val="single" w:color="auto" w:sz="12"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500" w:type="pct"/>
                  <w:tcBorders>
                    <w:top w:val="single" w:color="auto" w:sz="4" w:space="0"/>
                    <w:left w:val="single" w:color="auto" w:sz="4" w:space="0"/>
                    <w:bottom w:val="single" w:color="auto" w:sz="12"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500" w:type="pct"/>
                  <w:tcBorders>
                    <w:top w:val="single" w:color="auto" w:sz="4" w:space="0"/>
                    <w:left w:val="single" w:color="auto" w:sz="4" w:space="0"/>
                    <w:bottom w:val="single" w:color="auto" w:sz="12"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w:t>
                  </w:r>
                </w:p>
              </w:tc>
              <w:tc>
                <w:tcPr>
                  <w:tcW w:w="500" w:type="pct"/>
                  <w:tcBorders>
                    <w:top w:val="single" w:color="auto" w:sz="4" w:space="0"/>
                    <w:left w:val="single" w:color="auto" w:sz="4" w:space="0"/>
                    <w:bottom w:val="single" w:color="auto" w:sz="12"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w:t>
                  </w:r>
                </w:p>
              </w:tc>
              <w:tc>
                <w:tcPr>
                  <w:tcW w:w="500" w:type="pct"/>
                  <w:tcBorders>
                    <w:top w:val="single" w:color="auto" w:sz="4" w:space="0"/>
                    <w:left w:val="single" w:color="auto" w:sz="4" w:space="0"/>
                    <w:bottom w:val="single" w:color="auto" w:sz="12"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w:t>
                  </w:r>
                </w:p>
              </w:tc>
              <w:tc>
                <w:tcPr>
                  <w:tcW w:w="500" w:type="pct"/>
                  <w:tcBorders>
                    <w:top w:val="single" w:color="auto" w:sz="4" w:space="0"/>
                    <w:left w:val="single" w:color="auto" w:sz="4" w:space="0"/>
                    <w:bottom w:val="single" w:color="auto" w:sz="12" w:space="0"/>
                    <w:right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1" w:type="pct"/>
                  <w:tcBorders>
                    <w:top w:val="single" w:color="auto" w:sz="4" w:space="0"/>
                    <w:left w:val="single" w:color="auto" w:sz="4" w:space="0"/>
                    <w:bottom w:val="single" w:color="auto" w:sz="12" w:space="0"/>
                    <w:right w:val="nil"/>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pStyle w:val="41"/>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 xml:space="preserve"> 本次占地面积为＜5 hm</w:t>
            </w:r>
            <w:r>
              <w:rPr>
                <w:rFonts w:hint="default" w:ascii="Times New Roman" w:hAnsi="Times New Roman" w:cs="Times New Roman"/>
                <w:color w:val="auto"/>
                <w:vertAlign w:val="superscript"/>
              </w:rPr>
              <w:t>2</w:t>
            </w:r>
            <w:r>
              <w:rPr>
                <w:rFonts w:hint="default" w:ascii="Times New Roman" w:hAnsi="Times New Roman" w:cs="Times New Roman"/>
                <w:color w:val="auto"/>
                <w:vertAlign w:val="baseline"/>
                <w:lang w:eastAsia="zh-CN"/>
              </w:rPr>
              <w:t>，</w:t>
            </w:r>
            <w:r>
              <w:rPr>
                <w:rFonts w:hint="default" w:ascii="Times New Roman" w:hAnsi="Times New Roman" w:cs="Times New Roman"/>
                <w:color w:val="auto"/>
              </w:rPr>
              <w:t>为小型项目；本项目用地为工业用地，污染影响型敏感程度为不敏感；根据污染影响型评价工作等级划分表，本项目土壤</w:t>
            </w:r>
            <w:r>
              <w:rPr>
                <w:rFonts w:hint="default" w:ascii="Times New Roman" w:hAnsi="Times New Roman" w:cs="Times New Roman"/>
                <w:color w:val="auto"/>
                <w:lang w:val="en-US" w:eastAsia="zh-CN"/>
              </w:rPr>
              <w:t>为三级</w:t>
            </w:r>
            <w:r>
              <w:rPr>
                <w:rFonts w:hint="default" w:ascii="Times New Roman" w:hAnsi="Times New Roman" w:cs="Times New Roman"/>
                <w:color w:val="auto"/>
              </w:rPr>
              <w:t>评价。</w:t>
            </w:r>
          </w:p>
          <w:p>
            <w:pPr>
              <w:pStyle w:val="41"/>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影响分析</w:t>
            </w:r>
          </w:p>
          <w:p>
            <w:pPr>
              <w:pStyle w:val="41"/>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土壤环境评价范围为厂区边界外0.05km 范围内。本次评价主要采用定性描述进行预测，项目营运期厂区污染物主要为废水，本次项目大部分处理设施为集装箱式，</w:t>
            </w:r>
            <w:r>
              <w:rPr>
                <w:rFonts w:hint="default" w:ascii="Times New Roman" w:hAnsi="Times New Roman" w:cs="Times New Roman"/>
                <w:color w:val="auto"/>
                <w:lang w:val="en-US" w:eastAsia="zh-CN"/>
              </w:rPr>
              <w:t>原有池体已做</w:t>
            </w:r>
            <w:r>
              <w:rPr>
                <w:rFonts w:hint="default" w:ascii="Times New Roman" w:hAnsi="Times New Roman" w:cs="Times New Roman"/>
                <w:color w:val="auto"/>
              </w:rPr>
              <w:t>防渗处理，厂区内污水管道采用 HDPE 管，各车间及厂区道路均进行硬化后对土壤影响不大。因此项目不会对周边土壤环境造成重大影响，土壤环境影响可接受。</w:t>
            </w:r>
          </w:p>
          <w:p>
            <w:pPr>
              <w:pStyle w:val="41"/>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（2）污染防治措施</w:t>
            </w:r>
          </w:p>
          <w:p>
            <w:pPr>
              <w:pStyle w:val="41"/>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项目对土壤可能造成污染主要为废水发生泄漏事故。针对可能发生的土壤污染，本项目土壤污染防治措施将按照“源头控制、分区防治、污染监控、应急响应”相结合的原则，从污染物的产生、入渗、扩散、应急响应全方位进行防控。要求本项目严格按照防渗的标准和规范对厂区进行分区防渗，并加强管理，对各处理池体及排水管道加强巡查，防止跑冒滴漏对土壤造成污染影响；定期组织污染源和厂区环境监测，及时发现，及时解决。</w:t>
            </w:r>
          </w:p>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rPr>
              <w:t>2.</w:t>
            </w:r>
            <w:r>
              <w:rPr>
                <w:rFonts w:hint="eastAsia" w:ascii="Times New Roman" w:hAnsi="Times New Roman" w:cs="Times New Roman"/>
                <w:color w:val="auto"/>
                <w:lang w:val="en-US" w:eastAsia="zh-CN"/>
              </w:rPr>
              <w:t>9</w:t>
            </w:r>
            <w:r>
              <w:rPr>
                <w:rFonts w:hint="default" w:ascii="Times New Roman" w:hAnsi="Times New Roman" w:cs="Times New Roman"/>
                <w:color w:val="auto"/>
              </w:rPr>
              <w:t>环境风险分析</w:t>
            </w:r>
          </w:p>
          <w:p>
            <w:pPr>
              <w:pStyle w:val="118"/>
              <w:kinsoku w:val="0"/>
              <w:overflowPunct w:val="0"/>
              <w:spacing w:before="135" w:line="357" w:lineRule="auto"/>
              <w:ind w:firstLine="480"/>
              <w:jc w:val="left"/>
              <w:rPr>
                <w:rFonts w:hint="default" w:ascii="Times New Roman" w:hAnsi="Times New Roman" w:cs="Times New Roman"/>
                <w:color w:val="auto"/>
                <w:spacing w:val="-7"/>
                <w:sz w:val="24"/>
              </w:rPr>
            </w:pPr>
            <w:r>
              <w:rPr>
                <w:rFonts w:hint="default" w:ascii="Times New Roman" w:hAnsi="Times New Roman" w:cs="Times New Roman"/>
                <w:color w:val="auto"/>
                <w:sz w:val="24"/>
              </w:rPr>
              <w:t>建设项目环境风险评价是对项目建设和运行期间发生的可预测突发性事件或事故（一般不包括人为破坏及自然灾害）引起的有毒有害、易燃易爆等物质泄漏，或突发事件产生的新的有毒有害物质，所造成的对人身安全与环境的影响和损害进行评估，提出防范、应急与减</w:t>
            </w:r>
            <w:r>
              <w:rPr>
                <w:rFonts w:hint="default" w:ascii="Times New Roman" w:hAnsi="Times New Roman" w:cs="Times New Roman"/>
                <w:color w:val="auto"/>
                <w:spacing w:val="-7"/>
                <w:sz w:val="24"/>
              </w:rPr>
              <w:t>缓措施。本次评价采取分析潜在的危险源和可能造成的污染事故及环境影响进行分析、评价并提出防止事故措施，以达到降低风险，减少危害的目的。</w:t>
            </w:r>
          </w:p>
          <w:p>
            <w:pPr>
              <w:pStyle w:val="118"/>
              <w:kinsoku w:val="0"/>
              <w:overflowPunct w:val="0"/>
              <w:spacing w:before="133"/>
              <w:ind w:left="480"/>
              <w:jc w:val="left"/>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 w:val="24"/>
                <w:szCs w:val="22"/>
                <w:lang w:val="en-US" w:eastAsia="zh-CN" w:bidi="ar-SA"/>
              </w:rPr>
              <w:t>（</w:t>
            </w:r>
            <w:r>
              <w:rPr>
                <w:rFonts w:hint="default" w:ascii="Times New Roman" w:hAnsi="Times New Roman" w:eastAsia="宋体" w:cs="Times New Roman"/>
                <w:color w:val="auto"/>
                <w:sz w:val="24"/>
                <w:szCs w:val="22"/>
                <w:lang w:val="en-US" w:eastAsia="zh-CN" w:bidi="ar-SA"/>
              </w:rPr>
              <w:t>1）风险调查</w:t>
            </w:r>
          </w:p>
          <w:p>
            <w:pPr>
              <w:pStyle w:val="118"/>
              <w:kinsoku w:val="0"/>
              <w:overflowPunct w:val="0"/>
              <w:spacing w:before="214"/>
              <w:ind w:left="480"/>
              <w:jc w:val="left"/>
              <w:rPr>
                <w:rFonts w:hint="default" w:ascii="Times New Roman" w:hAnsi="Times New Roman" w:eastAsia="宋体" w:cs="Times New Roman"/>
                <w:color w:val="auto"/>
                <w:sz w:val="24"/>
                <w:szCs w:val="22"/>
                <w:lang w:val="en-US" w:eastAsia="zh-CN" w:bidi="ar-SA"/>
              </w:rPr>
            </w:pPr>
            <w:r>
              <w:rPr>
                <w:rFonts w:hint="default" w:ascii="Times New Roman" w:hAnsi="Times New Roman" w:eastAsia="宋体" w:cs="Times New Roman"/>
                <w:color w:val="auto"/>
                <w:sz w:val="24"/>
                <w:szCs w:val="22"/>
                <w:lang w:val="en-US" w:eastAsia="zh-CN" w:bidi="ar-SA"/>
              </w:rPr>
              <w:t>①风险源调查</w:t>
            </w:r>
          </w:p>
          <w:p>
            <w:pPr>
              <w:pStyle w:val="118"/>
              <w:kinsoku w:val="0"/>
              <w:overflowPunct w:val="0"/>
              <w:spacing w:before="153" w:line="357" w:lineRule="auto"/>
              <w:ind w:firstLine="480"/>
              <w:jc w:val="left"/>
              <w:rPr>
                <w:rFonts w:hint="default" w:ascii="Times New Roman" w:hAnsi="Times New Roman" w:eastAsia="宋体" w:cs="Times New Roman"/>
                <w:color w:val="auto"/>
                <w:sz w:val="24"/>
                <w:szCs w:val="22"/>
                <w:lang w:val="en-US" w:eastAsia="zh-CN" w:bidi="ar-SA"/>
              </w:rPr>
            </w:pPr>
            <w:r>
              <w:rPr>
                <w:rFonts w:hint="default" w:ascii="Times New Roman" w:hAnsi="Times New Roman" w:eastAsia="宋体" w:cs="Times New Roman"/>
                <w:color w:val="auto"/>
                <w:sz w:val="24"/>
                <w:szCs w:val="22"/>
                <w:lang w:val="en-US" w:eastAsia="zh-CN" w:bidi="ar-SA"/>
              </w:rPr>
              <w:t>项目环境风险调查主要包括危险物质数量和危险物质分布情况、工艺特点等，项目危险物质调查清单见表所示。</w:t>
            </w:r>
          </w:p>
          <w:p>
            <w:pPr>
              <w:pStyle w:val="118"/>
              <w:kinsoku w:val="0"/>
              <w:overflowPunct w:val="0"/>
              <w:spacing w:before="153" w:line="357" w:lineRule="auto"/>
              <w:ind w:firstLine="480"/>
              <w:jc w:val="center"/>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表 7</w:t>
            </w:r>
            <w:r>
              <w:rPr>
                <w:rFonts w:hint="default" w:ascii="Times New Roman" w:hAnsi="Times New Roman" w:cs="Times New Roman"/>
                <w:b/>
                <w:color w:val="auto"/>
                <w:kern w:val="2"/>
                <w:sz w:val="24"/>
                <w:szCs w:val="24"/>
                <w:lang w:val="en-US" w:eastAsia="zh-CN" w:bidi="ar-SA"/>
              </w:rPr>
              <w:t xml:space="preserve">-17 </w:t>
            </w:r>
            <w:r>
              <w:rPr>
                <w:rFonts w:hint="default" w:ascii="Times New Roman" w:hAnsi="Times New Roman" w:eastAsia="宋体" w:cs="Times New Roman"/>
                <w:b/>
                <w:color w:val="auto"/>
                <w:kern w:val="2"/>
                <w:sz w:val="24"/>
                <w:szCs w:val="24"/>
                <w:lang w:val="en-US" w:eastAsia="zh-CN" w:bidi="ar-SA"/>
              </w:rPr>
              <w:tab/>
            </w:r>
            <w:r>
              <w:rPr>
                <w:rFonts w:hint="default" w:ascii="Times New Roman" w:hAnsi="Times New Roman" w:eastAsia="宋体" w:cs="Times New Roman"/>
                <w:b/>
                <w:color w:val="auto"/>
                <w:kern w:val="2"/>
                <w:sz w:val="24"/>
                <w:szCs w:val="24"/>
                <w:lang w:val="en-US" w:eastAsia="zh-CN" w:bidi="ar-SA"/>
              </w:rPr>
              <w:t>建设项目危险物质调查清单</w:t>
            </w:r>
          </w:p>
          <w:tbl>
            <w:tblPr>
              <w:tblStyle w:val="33"/>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79"/>
              <w:gridCol w:w="2099"/>
              <w:gridCol w:w="799"/>
              <w:gridCol w:w="1198"/>
              <w:gridCol w:w="1345"/>
              <w:gridCol w:w="1619"/>
              <w:gridCol w:w="14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10" w:type="pct"/>
                  <w:tcBorders>
                    <w:top w:val="single" w:color="000000" w:sz="12" w:space="0"/>
                    <w:left w:val="nil"/>
                    <w:bottom w:val="single" w:color="000000" w:sz="4" w:space="0"/>
                    <w:right w:val="single" w:color="000000" w:sz="4" w:space="0"/>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危险物</w:t>
                  </w:r>
                </w:p>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质来源</w:t>
                  </w:r>
                </w:p>
              </w:tc>
              <w:tc>
                <w:tcPr>
                  <w:tcW w:w="1085" w:type="pct"/>
                  <w:tcBorders>
                    <w:top w:val="single" w:color="000000" w:sz="12" w:space="0"/>
                    <w:left w:val="single" w:color="000000" w:sz="4" w:space="0"/>
                    <w:bottom w:val="single" w:color="000000" w:sz="4" w:space="0"/>
                    <w:right w:val="single" w:color="000000" w:sz="4" w:space="0"/>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危险物质名称</w:t>
                  </w:r>
                </w:p>
              </w:tc>
              <w:tc>
                <w:tcPr>
                  <w:tcW w:w="413" w:type="pct"/>
                  <w:tcBorders>
                    <w:top w:val="single" w:color="000000" w:sz="12" w:space="0"/>
                    <w:left w:val="single" w:color="000000" w:sz="4" w:space="0"/>
                    <w:bottom w:val="single" w:color="000000" w:sz="4" w:space="0"/>
                    <w:right w:val="single" w:color="000000" w:sz="4" w:space="0"/>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CAS 号</w:t>
                  </w:r>
                </w:p>
              </w:tc>
              <w:tc>
                <w:tcPr>
                  <w:tcW w:w="619" w:type="pct"/>
                  <w:tcBorders>
                    <w:top w:val="single" w:color="000000" w:sz="12" w:space="0"/>
                    <w:left w:val="single" w:color="000000" w:sz="4" w:space="0"/>
                    <w:bottom w:val="single" w:color="000000" w:sz="4" w:space="0"/>
                    <w:right w:val="single" w:color="000000" w:sz="4" w:space="0"/>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危险性类别</w:t>
                  </w:r>
                </w:p>
              </w:tc>
              <w:tc>
                <w:tcPr>
                  <w:tcW w:w="695" w:type="pct"/>
                  <w:tcBorders>
                    <w:top w:val="single" w:color="000000" w:sz="12" w:space="0"/>
                    <w:left w:val="single" w:color="000000" w:sz="4" w:space="0"/>
                    <w:bottom w:val="single" w:color="000000" w:sz="4" w:space="0"/>
                    <w:right w:val="single" w:color="000000" w:sz="4" w:space="0"/>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贮存位置</w:t>
                  </w:r>
                </w:p>
              </w:tc>
              <w:tc>
                <w:tcPr>
                  <w:tcW w:w="837" w:type="pct"/>
                  <w:tcBorders>
                    <w:top w:val="single" w:color="000000" w:sz="12" w:space="0"/>
                    <w:left w:val="single" w:color="000000" w:sz="4" w:space="0"/>
                    <w:bottom w:val="single" w:color="000000" w:sz="4" w:space="0"/>
                    <w:right w:val="single" w:color="000000" w:sz="4" w:space="0"/>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最大储存量/t</w:t>
                  </w:r>
                </w:p>
              </w:tc>
              <w:tc>
                <w:tcPr>
                  <w:tcW w:w="738" w:type="pct"/>
                  <w:tcBorders>
                    <w:top w:val="single" w:color="000000" w:sz="12" w:space="0"/>
                    <w:left w:val="single" w:color="000000" w:sz="4" w:space="0"/>
                    <w:bottom w:val="single" w:color="000000" w:sz="4" w:space="0"/>
                    <w:right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3" w:hRule="atLeast"/>
              </w:trPr>
              <w:tc>
                <w:tcPr>
                  <w:tcW w:w="610" w:type="pct"/>
                  <w:tcBorders>
                    <w:top w:val="single" w:color="000000" w:sz="4" w:space="0"/>
                    <w:left w:val="nil"/>
                    <w:bottom w:val="single" w:color="000000" w:sz="4" w:space="0"/>
                    <w:right w:val="single" w:color="000000" w:sz="4" w:space="0"/>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rPr>
                  </w:pPr>
                </w:p>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垃圾填埋场产生</w:t>
                  </w:r>
                </w:p>
              </w:tc>
              <w:tc>
                <w:tcPr>
                  <w:tcW w:w="1085" w:type="pct"/>
                  <w:tcBorders>
                    <w:top w:val="single" w:color="000000" w:sz="4" w:space="0"/>
                    <w:left w:val="single" w:color="000000" w:sz="4" w:space="0"/>
                    <w:bottom w:val="single" w:color="000000" w:sz="4" w:space="0"/>
                    <w:right w:val="single" w:color="000000" w:sz="4" w:space="0"/>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渗滤液废水</w:t>
                  </w:r>
                </w:p>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w:t>
                  </w:r>
                  <w:r>
                    <w:rPr>
                      <w:rFonts w:hint="default" w:ascii="Times New Roman" w:hAnsi="Times New Roman" w:cs="Times New Roman"/>
                      <w:color w:val="auto"/>
                      <w:sz w:val="21"/>
                      <w:szCs w:val="21"/>
                      <w:lang w:val="en-US" w:eastAsia="zh-CN"/>
                    </w:rPr>
                    <w:t>COD、</w:t>
                  </w:r>
                  <w:r>
                    <w:rPr>
                      <w:rFonts w:hint="default" w:ascii="Times New Roman" w:hAnsi="Times New Roman" w:eastAsia="宋体" w:cs="Times New Roman"/>
                      <w:color w:val="auto"/>
                      <w:sz w:val="21"/>
                      <w:szCs w:val="21"/>
                    </w:rPr>
                    <w:t xml:space="preserve"> 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废液）</w:t>
                  </w:r>
                </w:p>
              </w:tc>
              <w:tc>
                <w:tcPr>
                  <w:tcW w:w="413" w:type="pct"/>
                  <w:tcBorders>
                    <w:top w:val="single" w:color="000000" w:sz="4" w:space="0"/>
                    <w:left w:val="single" w:color="000000" w:sz="4" w:space="0"/>
                    <w:bottom w:val="single" w:color="000000" w:sz="4" w:space="0"/>
                    <w:right w:val="single" w:color="000000" w:sz="4" w:space="0"/>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rPr>
                  </w:pPr>
                </w:p>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19" w:type="pct"/>
                  <w:tcBorders>
                    <w:top w:val="single" w:color="000000" w:sz="4" w:space="0"/>
                    <w:left w:val="single" w:color="000000" w:sz="4" w:space="0"/>
                    <w:bottom w:val="single" w:color="000000" w:sz="4" w:space="0"/>
                    <w:right w:val="single" w:color="000000" w:sz="4" w:space="0"/>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rPr>
                  </w:pPr>
                </w:p>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有毒、有害</w:t>
                  </w:r>
                </w:p>
              </w:tc>
              <w:tc>
                <w:tcPr>
                  <w:tcW w:w="695" w:type="pct"/>
                  <w:tcBorders>
                    <w:top w:val="single" w:color="000000" w:sz="4" w:space="0"/>
                    <w:left w:val="single" w:color="000000" w:sz="4" w:space="0"/>
                    <w:bottom w:val="single" w:color="000000" w:sz="4" w:space="0"/>
                    <w:right w:val="single" w:color="000000" w:sz="4" w:space="0"/>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rPr>
                  </w:pPr>
                </w:p>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原水储罐</w:t>
                  </w:r>
                </w:p>
              </w:tc>
              <w:tc>
                <w:tcPr>
                  <w:tcW w:w="837" w:type="pct"/>
                  <w:tcBorders>
                    <w:top w:val="single" w:color="000000" w:sz="4" w:space="0"/>
                    <w:left w:val="single" w:color="000000" w:sz="4" w:space="0"/>
                    <w:bottom w:val="single" w:color="000000" w:sz="4" w:space="0"/>
                    <w:right w:val="single" w:color="000000" w:sz="4" w:space="0"/>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rPr>
                  </w:pPr>
                </w:p>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200</w:t>
                  </w:r>
                </w:p>
              </w:tc>
              <w:tc>
                <w:tcPr>
                  <w:tcW w:w="738" w:type="pct"/>
                  <w:tcBorders>
                    <w:top w:val="single" w:color="000000" w:sz="4" w:space="0"/>
                    <w:left w:val="single" w:color="000000" w:sz="4" w:space="0"/>
                    <w:bottom w:val="single" w:color="000000" w:sz="4" w:space="0"/>
                    <w:right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rPr>
                  </w:pPr>
                </w:p>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垃圾渗滤液车间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610" w:type="pct"/>
                  <w:tcBorders>
                    <w:top w:val="single" w:color="000000" w:sz="4" w:space="0"/>
                    <w:left w:val="nil"/>
                    <w:bottom w:val="single" w:color="000000" w:sz="12" w:space="0"/>
                    <w:right w:val="single" w:color="000000" w:sz="4" w:space="0"/>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外购</w:t>
                  </w:r>
                </w:p>
              </w:tc>
              <w:tc>
                <w:tcPr>
                  <w:tcW w:w="1085" w:type="pct"/>
                  <w:tcBorders>
                    <w:top w:val="single" w:color="000000" w:sz="4" w:space="0"/>
                    <w:left w:val="single" w:color="000000" w:sz="4" w:space="0"/>
                    <w:bottom w:val="single" w:color="000000" w:sz="12" w:space="0"/>
                    <w:right w:val="single" w:color="000000" w:sz="4" w:space="0"/>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硫酸</w:t>
                  </w:r>
                </w:p>
              </w:tc>
              <w:tc>
                <w:tcPr>
                  <w:tcW w:w="413" w:type="pct"/>
                  <w:tcBorders>
                    <w:top w:val="single" w:color="000000" w:sz="4" w:space="0"/>
                    <w:left w:val="single" w:color="000000" w:sz="4" w:space="0"/>
                    <w:bottom w:val="single" w:color="000000" w:sz="12" w:space="0"/>
                    <w:right w:val="single" w:color="000000" w:sz="4" w:space="0"/>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rPr>
                  </w:pPr>
                </w:p>
              </w:tc>
              <w:tc>
                <w:tcPr>
                  <w:tcW w:w="619" w:type="pct"/>
                  <w:tcBorders>
                    <w:top w:val="single" w:color="000000" w:sz="4" w:space="0"/>
                    <w:left w:val="single" w:color="000000" w:sz="4" w:space="0"/>
                    <w:bottom w:val="single" w:color="000000" w:sz="12" w:space="0"/>
                    <w:right w:val="single" w:color="000000" w:sz="4" w:space="0"/>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有毒、有害</w:t>
                  </w:r>
                </w:p>
              </w:tc>
              <w:tc>
                <w:tcPr>
                  <w:tcW w:w="695" w:type="pct"/>
                  <w:tcBorders>
                    <w:top w:val="single" w:color="000000" w:sz="4" w:space="0"/>
                    <w:left w:val="single" w:color="000000" w:sz="4" w:space="0"/>
                    <w:bottom w:val="single" w:color="000000" w:sz="12" w:space="0"/>
                    <w:right w:val="single" w:color="000000" w:sz="4" w:space="0"/>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原渗滤液处理车间</w:t>
                  </w:r>
                </w:p>
              </w:tc>
              <w:tc>
                <w:tcPr>
                  <w:tcW w:w="837" w:type="pct"/>
                  <w:tcBorders>
                    <w:top w:val="single" w:color="000000" w:sz="4" w:space="0"/>
                    <w:left w:val="single" w:color="000000" w:sz="4" w:space="0"/>
                    <w:bottom w:val="single" w:color="000000" w:sz="12" w:space="0"/>
                    <w:right w:val="single" w:color="000000" w:sz="4" w:space="0"/>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5.52</w:t>
                  </w:r>
                </w:p>
              </w:tc>
              <w:tc>
                <w:tcPr>
                  <w:tcW w:w="738" w:type="pct"/>
                  <w:tcBorders>
                    <w:top w:val="single" w:color="000000" w:sz="4" w:space="0"/>
                    <w:left w:val="single" w:color="000000" w:sz="4" w:space="0"/>
                    <w:bottom w:val="single" w:color="000000" w:sz="12" w:space="0"/>
                    <w:right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垃圾渗滤液车间</w:t>
                  </w:r>
                </w:p>
              </w:tc>
            </w:tr>
          </w:tbl>
          <w:p>
            <w:pPr>
              <w:pStyle w:val="118"/>
              <w:keepNext w:val="0"/>
              <w:keepLines w:val="0"/>
              <w:pageBreakBefore w:val="0"/>
              <w:widowControl w:val="0"/>
              <w:kinsoku w:val="0"/>
              <w:wordWrap/>
              <w:overflowPunct w:val="0"/>
              <w:topLinePunct w:val="0"/>
              <w:bidi w:val="0"/>
              <w:adjustRightInd w:val="0"/>
              <w:snapToGrid w:val="0"/>
              <w:spacing w:line="343" w:lineRule="auto"/>
              <w:ind w:right="0" w:firstLine="480"/>
              <w:jc w:val="both"/>
              <w:rPr>
                <w:rFonts w:hint="default" w:ascii="Times New Roman" w:hAnsi="Times New Roman" w:cs="Times New Roman"/>
                <w:color w:val="auto"/>
                <w:spacing w:val="-2"/>
                <w:sz w:val="24"/>
              </w:rPr>
            </w:pPr>
            <w:r>
              <w:rPr>
                <w:rFonts w:hint="default" w:ascii="Times New Roman" w:hAnsi="Times New Roman" w:cs="Times New Roman"/>
                <w:color w:val="auto"/>
                <w:spacing w:val="-2"/>
                <w:sz w:val="24"/>
              </w:rPr>
              <w:t>②环境敏感目标概况</w:t>
            </w:r>
          </w:p>
          <w:p>
            <w:pPr>
              <w:pStyle w:val="118"/>
              <w:keepNext w:val="0"/>
              <w:keepLines w:val="0"/>
              <w:pageBreakBefore w:val="0"/>
              <w:widowControl w:val="0"/>
              <w:kinsoku w:val="0"/>
              <w:wordWrap/>
              <w:overflowPunct w:val="0"/>
              <w:topLinePunct w:val="0"/>
              <w:bidi w:val="0"/>
              <w:adjustRightInd w:val="0"/>
              <w:snapToGrid w:val="0"/>
              <w:spacing w:line="343" w:lineRule="auto"/>
              <w:ind w:right="0" w:firstLine="480"/>
              <w:jc w:val="both"/>
              <w:rPr>
                <w:rFonts w:hint="default" w:ascii="Times New Roman" w:hAnsi="Times New Roman" w:cs="Times New Roman"/>
                <w:color w:val="auto"/>
                <w:spacing w:val="-2"/>
                <w:sz w:val="24"/>
                <w:lang w:val="en-US" w:eastAsia="zh-CN"/>
              </w:rPr>
            </w:pPr>
            <w:r>
              <w:rPr>
                <w:rFonts w:hint="default" w:ascii="Times New Roman" w:hAnsi="Times New Roman" w:cs="Times New Roman"/>
                <w:color w:val="auto"/>
                <w:spacing w:val="-2"/>
                <w:sz w:val="24"/>
                <w:lang w:val="en-US" w:eastAsia="zh-CN"/>
              </w:rPr>
              <w:t>本项目涉及的风险物质为渗滤液，一般主要通过泄漏导致地表水、地下水环境污染。经调查，距离本次工程最近地表水体463m，为季节性河流，莲花河；环境保护目标主要为东升村、东兴村等居住区环境空气及区域地下水环境。</w:t>
            </w:r>
          </w:p>
          <w:p>
            <w:pPr>
              <w:pStyle w:val="118"/>
              <w:keepNext w:val="0"/>
              <w:keepLines w:val="0"/>
              <w:pageBreakBefore w:val="0"/>
              <w:widowControl w:val="0"/>
              <w:kinsoku w:val="0"/>
              <w:wordWrap/>
              <w:overflowPunct w:val="0"/>
              <w:topLinePunct w:val="0"/>
              <w:bidi w:val="0"/>
              <w:adjustRightInd w:val="0"/>
              <w:snapToGrid w:val="0"/>
              <w:spacing w:line="343" w:lineRule="auto"/>
              <w:ind w:right="0" w:firstLine="480"/>
              <w:jc w:val="both"/>
              <w:rPr>
                <w:rFonts w:hint="default" w:ascii="Times New Roman" w:hAnsi="Times New Roman" w:cs="Times New Roman"/>
                <w:color w:val="auto"/>
                <w:spacing w:val="-2"/>
                <w:sz w:val="24"/>
                <w:lang w:val="en-US" w:eastAsia="zh-CN"/>
              </w:rPr>
            </w:pPr>
            <w:r>
              <w:rPr>
                <w:rFonts w:hint="default" w:ascii="Times New Roman" w:hAnsi="Times New Roman" w:cs="Times New Roman"/>
                <w:color w:val="auto"/>
                <w:spacing w:val="-2"/>
                <w:sz w:val="24"/>
                <w:lang w:val="en-US" w:eastAsia="zh-CN"/>
              </w:rPr>
              <w:t xml:space="preserve">（2）风险潜势初判 </w:t>
            </w:r>
          </w:p>
          <w:p>
            <w:pPr>
              <w:pStyle w:val="118"/>
              <w:keepNext w:val="0"/>
              <w:keepLines w:val="0"/>
              <w:pageBreakBefore w:val="0"/>
              <w:widowControl w:val="0"/>
              <w:kinsoku w:val="0"/>
              <w:wordWrap/>
              <w:overflowPunct w:val="0"/>
              <w:topLinePunct w:val="0"/>
              <w:bidi w:val="0"/>
              <w:adjustRightInd w:val="0"/>
              <w:snapToGrid w:val="0"/>
              <w:spacing w:line="343" w:lineRule="auto"/>
              <w:ind w:right="0" w:firstLine="480"/>
              <w:jc w:val="both"/>
              <w:rPr>
                <w:rFonts w:hint="default" w:ascii="Times New Roman" w:hAnsi="Times New Roman" w:cs="Times New Roman"/>
                <w:color w:val="auto"/>
                <w:spacing w:val="-2"/>
                <w:sz w:val="24"/>
                <w:lang w:val="en-US" w:eastAsia="zh-CN"/>
              </w:rPr>
            </w:pPr>
            <w:r>
              <w:rPr>
                <w:rFonts w:hint="default" w:ascii="Times New Roman" w:hAnsi="Times New Roman" w:cs="Times New Roman"/>
                <w:color w:val="auto"/>
                <w:spacing w:val="-2"/>
                <w:sz w:val="24"/>
                <w:lang w:val="en-US" w:eastAsia="zh-CN"/>
              </w:rPr>
              <w:t xml:space="preserve">①危险物质及工艺系统危险性分级 </w:t>
            </w:r>
          </w:p>
          <w:p>
            <w:pPr>
              <w:pStyle w:val="118"/>
              <w:keepNext w:val="0"/>
              <w:keepLines w:val="0"/>
              <w:pageBreakBefore w:val="0"/>
              <w:widowControl w:val="0"/>
              <w:kinsoku w:val="0"/>
              <w:wordWrap/>
              <w:overflowPunct w:val="0"/>
              <w:topLinePunct w:val="0"/>
              <w:bidi w:val="0"/>
              <w:adjustRightInd w:val="0"/>
              <w:snapToGrid w:val="0"/>
              <w:spacing w:line="343" w:lineRule="auto"/>
              <w:ind w:right="0" w:firstLine="480"/>
              <w:jc w:val="both"/>
              <w:rPr>
                <w:rFonts w:hint="default" w:ascii="Times New Roman" w:hAnsi="Times New Roman" w:cs="Times New Roman"/>
                <w:color w:val="auto"/>
                <w:spacing w:val="-2"/>
                <w:sz w:val="24"/>
                <w:lang w:val="en-US" w:eastAsia="zh-CN"/>
              </w:rPr>
            </w:pPr>
            <w:r>
              <w:rPr>
                <w:rFonts w:hint="default" w:ascii="Times New Roman" w:hAnsi="Times New Roman" w:cs="Times New Roman"/>
                <w:color w:val="auto"/>
                <w:spacing w:val="-2"/>
                <w:sz w:val="24"/>
                <w:lang w:val="en-US" w:eastAsia="zh-CN"/>
              </w:rPr>
              <w:t xml:space="preserve">A.危险物质数量与临界量比值（Q）的分级 </w:t>
            </w:r>
          </w:p>
          <w:p>
            <w:pPr>
              <w:pStyle w:val="118"/>
              <w:keepNext w:val="0"/>
              <w:keepLines w:val="0"/>
              <w:pageBreakBefore w:val="0"/>
              <w:widowControl w:val="0"/>
              <w:kinsoku w:val="0"/>
              <w:wordWrap/>
              <w:overflowPunct w:val="0"/>
              <w:topLinePunct w:val="0"/>
              <w:bidi w:val="0"/>
              <w:adjustRightInd w:val="0"/>
              <w:snapToGrid w:val="0"/>
              <w:spacing w:line="343" w:lineRule="auto"/>
              <w:ind w:right="0" w:firstLine="480"/>
              <w:jc w:val="both"/>
              <w:rPr>
                <w:rFonts w:hint="default" w:ascii="Times New Roman" w:hAnsi="Times New Roman" w:cs="Times New Roman"/>
                <w:color w:val="auto"/>
                <w:spacing w:val="-2"/>
                <w:sz w:val="24"/>
                <w:lang w:val="en-US" w:eastAsia="zh-CN"/>
              </w:rPr>
            </w:pPr>
            <w:r>
              <w:rPr>
                <w:rFonts w:hint="default" w:ascii="Times New Roman" w:hAnsi="Times New Roman" w:cs="Times New Roman"/>
                <w:color w:val="auto"/>
                <w:spacing w:val="-2"/>
                <w:sz w:val="24"/>
                <w:lang w:val="en-US" w:eastAsia="zh-CN"/>
              </w:rPr>
              <w:t>本项目危险物质主要为渗滤液、硫酸</w:t>
            </w:r>
          </w:p>
          <w:p>
            <w:pPr>
              <w:pStyle w:val="118"/>
              <w:keepNext w:val="0"/>
              <w:keepLines w:val="0"/>
              <w:pageBreakBefore w:val="0"/>
              <w:widowControl w:val="0"/>
              <w:kinsoku w:val="0"/>
              <w:wordWrap/>
              <w:overflowPunct w:val="0"/>
              <w:topLinePunct w:val="0"/>
              <w:bidi w:val="0"/>
              <w:adjustRightInd w:val="0"/>
              <w:snapToGrid w:val="0"/>
              <w:spacing w:line="343" w:lineRule="auto"/>
              <w:ind w:right="0" w:firstLine="480"/>
              <w:jc w:val="both"/>
              <w:rPr>
                <w:rFonts w:hint="default" w:ascii="Times New Roman" w:hAnsi="Times New Roman" w:cs="Times New Roman"/>
                <w:color w:val="auto"/>
                <w:spacing w:val="-2"/>
                <w:sz w:val="24"/>
                <w:lang w:val="en-US" w:eastAsia="zh-CN"/>
              </w:rPr>
            </w:pPr>
            <w:r>
              <w:rPr>
                <w:rFonts w:hint="default" w:ascii="Times New Roman" w:hAnsi="Times New Roman" w:cs="Times New Roman"/>
                <w:color w:val="auto"/>
                <w:spacing w:val="-2"/>
                <w:sz w:val="24"/>
                <w:lang w:val="en-US" w:eastAsia="zh-CN"/>
              </w:rPr>
              <w:t xml:space="preserve">根据《建设项目环境风险评价技术导则》（HJ169-2018）中关于环境风险潜势初判方式首先按式计算物质总量与临界量比值（Q） </w:t>
            </w:r>
          </w:p>
          <w:p>
            <w:pPr>
              <w:keepNext w:val="0"/>
              <w:keepLines w:val="0"/>
              <w:pageBreakBefore w:val="0"/>
              <w:widowControl w:val="0"/>
              <w:wordWrap/>
              <w:topLinePunct w:val="0"/>
              <w:bidi w:val="0"/>
              <w:adjustRightInd w:val="0"/>
              <w:snapToGrid w:val="0"/>
              <w:ind w:right="0" w:firstLine="480"/>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drawing>
                <wp:inline distT="0" distB="0" distL="114300" distR="114300">
                  <wp:extent cx="1990725" cy="438150"/>
                  <wp:effectExtent l="0" t="0" r="952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1"/>
                          <a:stretch>
                            <a:fillRect/>
                          </a:stretch>
                        </pic:blipFill>
                        <pic:spPr>
                          <a:xfrm>
                            <a:off x="0" y="0"/>
                            <a:ext cx="1990725" cy="438150"/>
                          </a:xfrm>
                          <a:prstGeom prst="rect">
                            <a:avLst/>
                          </a:prstGeom>
                          <a:noFill/>
                          <a:ln>
                            <a:noFill/>
                          </a:ln>
                        </pic:spPr>
                      </pic:pic>
                    </a:graphicData>
                  </a:graphic>
                </wp:inline>
              </w:drawing>
            </w:r>
          </w:p>
          <w:p>
            <w:pPr>
              <w:keepNext w:val="0"/>
              <w:keepLines w:val="0"/>
              <w:pageBreakBefore w:val="0"/>
              <w:widowControl w:val="0"/>
              <w:wordWrap/>
              <w:topLinePunct w:val="0"/>
              <w:bidi w:val="0"/>
              <w:adjustRightInd w:val="0"/>
              <w:snapToGrid w:val="0"/>
              <w:spacing w:line="500" w:lineRule="exact"/>
              <w:ind w:right="0" w:firstLine="480"/>
              <w:rPr>
                <w:rFonts w:hint="default" w:ascii="Times New Roman" w:hAnsi="Times New Roman" w:eastAsia="宋体" w:cs="Times New Roman"/>
                <w:color w:val="auto"/>
                <w:spacing w:val="-2"/>
                <w:sz w:val="24"/>
                <w:szCs w:val="22"/>
                <w:lang w:val="en-US" w:eastAsia="zh-CN" w:bidi="ar-SA"/>
              </w:rPr>
            </w:pPr>
            <w:r>
              <w:rPr>
                <w:rFonts w:hint="default" w:ascii="Times New Roman" w:hAnsi="Times New Roman" w:eastAsia="宋体" w:cs="Times New Roman"/>
                <w:color w:val="auto"/>
                <w:spacing w:val="-2"/>
                <w:sz w:val="24"/>
                <w:szCs w:val="22"/>
                <w:lang w:val="en-US" w:eastAsia="zh-CN" w:bidi="ar-SA"/>
              </w:rPr>
              <w:t xml:space="preserve">式中：q1，q2，…，qn——每种危险物质的最大存在总量，t； </w:t>
            </w:r>
          </w:p>
          <w:p>
            <w:pPr>
              <w:keepNext w:val="0"/>
              <w:keepLines w:val="0"/>
              <w:pageBreakBefore w:val="0"/>
              <w:widowControl w:val="0"/>
              <w:wordWrap/>
              <w:topLinePunct w:val="0"/>
              <w:bidi w:val="0"/>
              <w:adjustRightInd w:val="0"/>
              <w:snapToGrid w:val="0"/>
              <w:spacing w:line="500" w:lineRule="exact"/>
              <w:ind w:right="0" w:firstLineChars="300"/>
              <w:rPr>
                <w:rFonts w:hint="default" w:ascii="Times New Roman" w:hAnsi="Times New Roman" w:eastAsia="宋体" w:cs="Times New Roman"/>
                <w:color w:val="auto"/>
                <w:spacing w:val="-2"/>
                <w:sz w:val="24"/>
                <w:szCs w:val="22"/>
                <w:lang w:val="en-US" w:eastAsia="zh-CN" w:bidi="ar-SA"/>
              </w:rPr>
            </w:pPr>
            <w:r>
              <w:rPr>
                <w:rFonts w:hint="default" w:ascii="Times New Roman" w:hAnsi="Times New Roman" w:eastAsia="宋体" w:cs="Times New Roman"/>
                <w:color w:val="auto"/>
                <w:spacing w:val="-2"/>
                <w:sz w:val="24"/>
                <w:szCs w:val="22"/>
                <w:lang w:val="en-US" w:eastAsia="zh-CN" w:bidi="ar-SA"/>
              </w:rPr>
              <w:t xml:space="preserve">Q1，Q2，…，Qn——每种危险物质的临界量，t。 </w:t>
            </w:r>
          </w:p>
          <w:p>
            <w:pPr>
              <w:keepNext w:val="0"/>
              <w:keepLines w:val="0"/>
              <w:pageBreakBefore w:val="0"/>
              <w:widowControl w:val="0"/>
              <w:wordWrap/>
              <w:topLinePunct w:val="0"/>
              <w:bidi w:val="0"/>
              <w:adjustRightInd w:val="0"/>
              <w:snapToGrid w:val="0"/>
              <w:spacing w:line="500" w:lineRule="exact"/>
              <w:ind w:right="0" w:firstLine="708" w:firstLineChars="300"/>
              <w:rPr>
                <w:rFonts w:hint="default" w:ascii="Times New Roman" w:hAnsi="Times New Roman" w:eastAsia="宋体" w:cs="Times New Roman"/>
                <w:color w:val="auto"/>
                <w:spacing w:val="-2"/>
                <w:sz w:val="24"/>
                <w:szCs w:val="22"/>
                <w:lang w:val="en-US" w:eastAsia="zh-CN" w:bidi="ar-SA"/>
              </w:rPr>
            </w:pPr>
            <w:r>
              <w:rPr>
                <w:rFonts w:hint="default" w:ascii="Times New Roman" w:hAnsi="Times New Roman" w:eastAsia="宋体" w:cs="Times New Roman"/>
                <w:color w:val="auto"/>
                <w:spacing w:val="-2"/>
                <w:sz w:val="24"/>
                <w:szCs w:val="22"/>
                <w:lang w:val="en-US" w:eastAsia="zh-CN" w:bidi="ar-SA"/>
              </w:rPr>
              <w:t>当 Q&lt;1 时，该项目环境风险潜势为Ⅰ</w:t>
            </w:r>
          </w:p>
          <w:p>
            <w:pPr>
              <w:keepNext w:val="0"/>
              <w:keepLines w:val="0"/>
              <w:pageBreakBefore w:val="0"/>
              <w:widowControl w:val="0"/>
              <w:wordWrap/>
              <w:topLinePunct w:val="0"/>
              <w:bidi w:val="0"/>
              <w:adjustRightInd w:val="0"/>
              <w:snapToGrid w:val="0"/>
              <w:spacing w:line="500" w:lineRule="exact"/>
              <w:ind w:right="0" w:firstLine="774" w:firstLineChars="328"/>
              <w:rPr>
                <w:rFonts w:hint="default" w:ascii="Times New Roman" w:hAnsi="Times New Roman" w:eastAsia="宋体" w:cs="Times New Roman"/>
                <w:color w:val="auto"/>
                <w:spacing w:val="-2"/>
                <w:sz w:val="24"/>
                <w:szCs w:val="22"/>
                <w:lang w:val="en-US" w:eastAsia="zh-CN" w:bidi="ar-SA"/>
              </w:rPr>
            </w:pPr>
            <w:r>
              <w:rPr>
                <w:rFonts w:hint="default" w:ascii="Times New Roman" w:hAnsi="Times New Roman" w:eastAsia="宋体" w:cs="Times New Roman"/>
                <w:color w:val="auto"/>
                <w:spacing w:val="-2"/>
                <w:sz w:val="24"/>
                <w:szCs w:val="22"/>
                <w:lang w:val="en-US" w:eastAsia="zh-CN" w:bidi="ar-SA"/>
              </w:rPr>
              <w:t>当 Q≥1 时，将Q值划分为：（1）1≤Q&lt;10；（2）10≤Q&lt;100；（3）Q≥100。</w:t>
            </w:r>
          </w:p>
          <w:p>
            <w:pPr>
              <w:keepNext w:val="0"/>
              <w:keepLines w:val="0"/>
              <w:pageBreakBefore w:val="0"/>
              <w:widowControl w:val="0"/>
              <w:wordWrap/>
              <w:topLinePunct w:val="0"/>
              <w:bidi w:val="0"/>
              <w:adjustRightInd w:val="0"/>
              <w:snapToGrid w:val="0"/>
              <w:spacing w:line="500" w:lineRule="exact"/>
              <w:ind w:right="0" w:firstLine="480"/>
              <w:rPr>
                <w:rFonts w:hint="default" w:ascii="Times New Roman" w:hAnsi="Times New Roman" w:eastAsia="宋体" w:cs="Times New Roman"/>
                <w:color w:val="auto"/>
                <w:spacing w:val="-2"/>
                <w:sz w:val="24"/>
                <w:szCs w:val="22"/>
                <w:lang w:val="en-US" w:eastAsia="zh-CN" w:bidi="ar-SA"/>
              </w:rPr>
            </w:pPr>
            <w:r>
              <w:rPr>
                <w:rFonts w:hint="default" w:ascii="Times New Roman" w:hAnsi="Times New Roman" w:eastAsia="宋体" w:cs="Times New Roman"/>
                <w:color w:val="auto"/>
                <w:spacing w:val="-2"/>
                <w:sz w:val="24"/>
                <w:szCs w:val="22"/>
                <w:lang w:val="en-US" w:eastAsia="zh-CN" w:bidi="ar-SA"/>
              </w:rPr>
              <w:t>本项目危险物质Q值见</w:t>
            </w:r>
            <w:r>
              <w:rPr>
                <w:rFonts w:hint="default" w:ascii="Times New Roman" w:hAnsi="Times New Roman" w:cs="Times New Roman"/>
                <w:color w:val="auto"/>
                <w:spacing w:val="-2"/>
                <w:sz w:val="24"/>
                <w:szCs w:val="22"/>
                <w:lang w:val="en-US" w:eastAsia="zh-CN" w:bidi="ar-SA"/>
              </w:rPr>
              <w:t>下表，</w:t>
            </w:r>
            <w:r>
              <w:rPr>
                <w:rFonts w:hint="default" w:ascii="Times New Roman" w:hAnsi="Times New Roman" w:eastAsia="宋体" w:cs="Times New Roman"/>
                <w:color w:val="auto"/>
                <w:spacing w:val="-2"/>
                <w:sz w:val="24"/>
                <w:szCs w:val="22"/>
                <w:lang w:val="en-US" w:eastAsia="zh-CN" w:bidi="ar-SA"/>
              </w:rPr>
              <w:t>Q=20.552，因此本项目环境风险潜势为</w:t>
            </w:r>
            <w:r>
              <w:rPr>
                <w:rFonts w:hint="default" w:ascii="Times New Roman" w:hAnsi="Times New Roman" w:eastAsia="宋体" w:cs="Times New Roman"/>
                <w:color w:val="auto"/>
                <w:spacing w:val="-2"/>
                <w:sz w:val="24"/>
                <w:szCs w:val="22"/>
                <w:lang w:val="en-US" w:eastAsia="zh-CN" w:bidi="ar-SA"/>
              </w:rPr>
              <w:fldChar w:fldCharType="begin"/>
            </w:r>
            <w:r>
              <w:rPr>
                <w:rFonts w:hint="default" w:ascii="Times New Roman" w:hAnsi="Times New Roman" w:eastAsia="宋体" w:cs="Times New Roman"/>
                <w:color w:val="auto"/>
                <w:spacing w:val="-2"/>
                <w:sz w:val="24"/>
                <w:szCs w:val="22"/>
                <w:lang w:val="en-US" w:eastAsia="zh-CN" w:bidi="ar-SA"/>
              </w:rPr>
              <w:instrText xml:space="preserve"> = 2 \* ROMAN \* MERGEFORMAT </w:instrText>
            </w:r>
            <w:r>
              <w:rPr>
                <w:rFonts w:hint="default" w:ascii="Times New Roman" w:hAnsi="Times New Roman" w:eastAsia="宋体" w:cs="Times New Roman"/>
                <w:color w:val="auto"/>
                <w:spacing w:val="-2"/>
                <w:sz w:val="24"/>
                <w:szCs w:val="22"/>
                <w:lang w:val="en-US" w:eastAsia="zh-CN" w:bidi="ar-SA"/>
              </w:rPr>
              <w:fldChar w:fldCharType="separate"/>
            </w:r>
            <w:r>
              <w:rPr>
                <w:rFonts w:hint="default" w:ascii="Times New Roman" w:hAnsi="Times New Roman" w:eastAsia="宋体" w:cs="Times New Roman"/>
                <w:color w:val="auto"/>
                <w:spacing w:val="-2"/>
                <w:sz w:val="24"/>
                <w:szCs w:val="22"/>
                <w:lang w:val="en-US" w:eastAsia="zh-CN" w:bidi="ar-SA"/>
              </w:rPr>
              <w:t>II</w:t>
            </w:r>
            <w:r>
              <w:rPr>
                <w:rFonts w:hint="default" w:ascii="Times New Roman" w:hAnsi="Times New Roman" w:eastAsia="宋体" w:cs="Times New Roman"/>
                <w:color w:val="auto"/>
                <w:spacing w:val="-2"/>
                <w:sz w:val="24"/>
                <w:szCs w:val="22"/>
                <w:lang w:val="en-US" w:eastAsia="zh-CN" w:bidi="ar-SA"/>
              </w:rPr>
              <w:fldChar w:fldCharType="end"/>
            </w:r>
            <w:r>
              <w:rPr>
                <w:rFonts w:hint="default" w:ascii="Times New Roman" w:hAnsi="Times New Roman" w:eastAsia="宋体" w:cs="Times New Roman"/>
                <w:color w:val="auto"/>
                <w:spacing w:val="-2"/>
                <w:sz w:val="24"/>
                <w:szCs w:val="22"/>
                <w:lang w:val="en-US" w:eastAsia="zh-CN" w:bidi="ar-SA"/>
              </w:rPr>
              <w:t>。</w:t>
            </w:r>
          </w:p>
          <w:p>
            <w:pPr>
              <w:pStyle w:val="118"/>
              <w:kinsoku w:val="0"/>
              <w:overflowPunct w:val="0"/>
              <w:spacing w:before="153" w:line="357" w:lineRule="auto"/>
              <w:ind w:firstLine="480"/>
              <w:jc w:val="center"/>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表7-18建设项目Q值确定表</w:t>
            </w:r>
          </w:p>
          <w:tbl>
            <w:tblPr>
              <w:tblStyle w:val="135"/>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767"/>
              <w:gridCol w:w="1350"/>
              <w:gridCol w:w="2603"/>
              <w:gridCol w:w="1373"/>
              <w:gridCol w:w="1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tcBorders>
                    <w:top w:val="single" w:color="auto" w:sz="12" w:space="0"/>
                    <w:left w:val="nil"/>
                  </w:tcBorders>
                  <w:vAlign w:val="center"/>
                </w:tcPr>
                <w:p>
                  <w:pPr>
                    <w:spacing w:line="240" w:lineRule="auto"/>
                    <w:ind w:firstLine="0" w:firstLineChars="0"/>
                    <w:jc w:val="center"/>
                    <w:textAlignment w:val="center"/>
                    <w:rPr>
                      <w:rFonts w:hint="default" w:ascii="Times New Roman" w:hAnsi="Times New Roman" w:cs="Times New Roman"/>
                      <w:bCs/>
                      <w:iCs/>
                      <w:color w:val="auto"/>
                      <w:kern w:val="2"/>
                      <w:sz w:val="21"/>
                      <w:szCs w:val="28"/>
                    </w:rPr>
                  </w:pPr>
                  <w:r>
                    <w:rPr>
                      <w:rFonts w:hint="default" w:ascii="Times New Roman" w:hAnsi="Times New Roman" w:cs="Times New Roman"/>
                      <w:bCs/>
                      <w:iCs/>
                      <w:color w:val="auto"/>
                      <w:kern w:val="2"/>
                      <w:sz w:val="21"/>
                      <w:szCs w:val="28"/>
                    </w:rPr>
                    <w:t>序号</w:t>
                  </w:r>
                </w:p>
              </w:tc>
              <w:tc>
                <w:tcPr>
                  <w:tcW w:w="915" w:type="pct"/>
                  <w:tcBorders>
                    <w:top w:val="single" w:color="auto" w:sz="12" w:space="0"/>
                  </w:tcBorders>
                  <w:vAlign w:val="center"/>
                </w:tcPr>
                <w:p>
                  <w:pPr>
                    <w:spacing w:line="240" w:lineRule="auto"/>
                    <w:ind w:firstLine="0" w:firstLineChars="0"/>
                    <w:jc w:val="center"/>
                    <w:textAlignment w:val="center"/>
                    <w:rPr>
                      <w:rFonts w:hint="default" w:ascii="Times New Roman" w:hAnsi="Times New Roman" w:cs="Times New Roman"/>
                      <w:bCs/>
                      <w:iCs/>
                      <w:color w:val="auto"/>
                      <w:kern w:val="2"/>
                      <w:sz w:val="21"/>
                      <w:szCs w:val="28"/>
                    </w:rPr>
                  </w:pPr>
                  <w:r>
                    <w:rPr>
                      <w:rFonts w:hint="default" w:ascii="Times New Roman" w:hAnsi="Times New Roman" w:cs="Times New Roman"/>
                      <w:bCs/>
                      <w:iCs/>
                      <w:color w:val="auto"/>
                      <w:kern w:val="2"/>
                      <w:sz w:val="21"/>
                      <w:szCs w:val="28"/>
                    </w:rPr>
                    <w:t>危险物质名称</w:t>
                  </w:r>
                </w:p>
              </w:tc>
              <w:tc>
                <w:tcPr>
                  <w:tcW w:w="699" w:type="pct"/>
                  <w:tcBorders>
                    <w:top w:val="single" w:color="auto" w:sz="12" w:space="0"/>
                  </w:tcBorders>
                  <w:vAlign w:val="center"/>
                </w:tcPr>
                <w:p>
                  <w:pPr>
                    <w:spacing w:line="240" w:lineRule="auto"/>
                    <w:ind w:firstLine="0" w:firstLineChars="0"/>
                    <w:jc w:val="center"/>
                    <w:textAlignment w:val="center"/>
                    <w:rPr>
                      <w:rFonts w:hint="default" w:ascii="Times New Roman" w:hAnsi="Times New Roman" w:cs="Times New Roman"/>
                      <w:bCs/>
                      <w:iCs/>
                      <w:color w:val="auto"/>
                      <w:kern w:val="2"/>
                      <w:sz w:val="21"/>
                      <w:szCs w:val="28"/>
                    </w:rPr>
                  </w:pPr>
                  <w:r>
                    <w:rPr>
                      <w:rFonts w:hint="default" w:ascii="Times New Roman" w:hAnsi="Times New Roman" w:cs="Times New Roman"/>
                      <w:bCs/>
                      <w:iCs/>
                      <w:color w:val="auto"/>
                      <w:kern w:val="2"/>
                      <w:sz w:val="21"/>
                      <w:szCs w:val="28"/>
                    </w:rPr>
                    <w:t>CAS号</w:t>
                  </w:r>
                </w:p>
              </w:tc>
              <w:tc>
                <w:tcPr>
                  <w:tcW w:w="1348" w:type="pct"/>
                  <w:tcBorders>
                    <w:top w:val="single" w:color="auto" w:sz="12" w:space="0"/>
                  </w:tcBorders>
                  <w:vAlign w:val="center"/>
                </w:tcPr>
                <w:p>
                  <w:pPr>
                    <w:spacing w:line="240" w:lineRule="auto"/>
                    <w:ind w:firstLine="0" w:firstLineChars="0"/>
                    <w:jc w:val="center"/>
                    <w:textAlignment w:val="center"/>
                    <w:rPr>
                      <w:rFonts w:hint="default" w:ascii="Times New Roman" w:hAnsi="Times New Roman" w:cs="Times New Roman"/>
                      <w:bCs/>
                      <w:iCs/>
                      <w:color w:val="auto"/>
                      <w:kern w:val="2"/>
                      <w:sz w:val="21"/>
                      <w:szCs w:val="28"/>
                    </w:rPr>
                  </w:pPr>
                  <w:r>
                    <w:rPr>
                      <w:rFonts w:hint="default" w:ascii="Times New Roman" w:hAnsi="Times New Roman" w:cs="Times New Roman"/>
                      <w:bCs/>
                      <w:iCs/>
                      <w:color w:val="auto"/>
                      <w:kern w:val="2"/>
                      <w:sz w:val="21"/>
                      <w:szCs w:val="28"/>
                    </w:rPr>
                    <w:t>最大存在总量（t）</w:t>
                  </w:r>
                </w:p>
              </w:tc>
              <w:tc>
                <w:tcPr>
                  <w:tcW w:w="711" w:type="pct"/>
                  <w:tcBorders>
                    <w:top w:val="single" w:color="auto" w:sz="12" w:space="0"/>
                  </w:tcBorders>
                  <w:vAlign w:val="center"/>
                </w:tcPr>
                <w:p>
                  <w:pPr>
                    <w:spacing w:line="240" w:lineRule="auto"/>
                    <w:ind w:firstLine="0" w:firstLineChars="0"/>
                    <w:jc w:val="center"/>
                    <w:textAlignment w:val="center"/>
                    <w:rPr>
                      <w:rFonts w:hint="default" w:ascii="Times New Roman" w:hAnsi="Times New Roman" w:cs="Times New Roman"/>
                      <w:bCs/>
                      <w:iCs/>
                      <w:color w:val="auto"/>
                      <w:kern w:val="2"/>
                      <w:sz w:val="21"/>
                      <w:szCs w:val="28"/>
                    </w:rPr>
                  </w:pPr>
                  <w:r>
                    <w:rPr>
                      <w:rFonts w:hint="default" w:ascii="Times New Roman" w:hAnsi="Times New Roman" w:cs="Times New Roman"/>
                      <w:bCs/>
                      <w:iCs/>
                      <w:color w:val="auto"/>
                      <w:kern w:val="2"/>
                      <w:sz w:val="21"/>
                      <w:szCs w:val="28"/>
                    </w:rPr>
                    <w:t>临界量(t)</w:t>
                  </w:r>
                </w:p>
              </w:tc>
              <w:tc>
                <w:tcPr>
                  <w:tcW w:w="899" w:type="pct"/>
                  <w:tcBorders>
                    <w:top w:val="single" w:color="auto" w:sz="12" w:space="0"/>
                    <w:right w:val="nil"/>
                  </w:tcBorders>
                  <w:vAlign w:val="center"/>
                </w:tcPr>
                <w:p>
                  <w:pPr>
                    <w:spacing w:line="240" w:lineRule="auto"/>
                    <w:ind w:firstLine="0" w:firstLineChars="0"/>
                    <w:jc w:val="center"/>
                    <w:textAlignment w:val="center"/>
                    <w:rPr>
                      <w:rFonts w:hint="default" w:ascii="Times New Roman" w:hAnsi="Times New Roman" w:cs="Times New Roman"/>
                      <w:bCs/>
                      <w:iCs/>
                      <w:color w:val="auto"/>
                      <w:kern w:val="2"/>
                      <w:sz w:val="21"/>
                      <w:szCs w:val="28"/>
                    </w:rPr>
                  </w:pPr>
                  <w:r>
                    <w:rPr>
                      <w:rFonts w:hint="default" w:ascii="Times New Roman" w:hAnsi="Times New Roman" w:cs="Times New Roman"/>
                      <w:bCs/>
                      <w:iCs/>
                      <w:color w:val="auto"/>
                      <w:kern w:val="2"/>
                      <w:sz w:val="21"/>
                      <w:szCs w:val="28"/>
                    </w:rPr>
                    <w:t>危险物Q值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tcBorders>
                    <w:left w:val="nil"/>
                  </w:tcBorders>
                  <w:vAlign w:val="center"/>
                </w:tcPr>
                <w:p>
                  <w:pPr>
                    <w:spacing w:line="240" w:lineRule="auto"/>
                    <w:ind w:firstLine="0" w:firstLineChars="0"/>
                    <w:jc w:val="center"/>
                    <w:textAlignment w:val="center"/>
                    <w:rPr>
                      <w:rFonts w:hint="default" w:ascii="Times New Roman" w:hAnsi="Times New Roman" w:cs="Times New Roman"/>
                      <w:bCs/>
                      <w:iCs/>
                      <w:color w:val="auto"/>
                      <w:kern w:val="2"/>
                      <w:sz w:val="21"/>
                      <w:szCs w:val="28"/>
                    </w:rPr>
                  </w:pPr>
                  <w:r>
                    <w:rPr>
                      <w:rFonts w:hint="default" w:ascii="Times New Roman" w:hAnsi="Times New Roman" w:cs="Times New Roman"/>
                      <w:bCs/>
                      <w:iCs/>
                      <w:color w:val="auto"/>
                      <w:kern w:val="2"/>
                      <w:sz w:val="21"/>
                      <w:szCs w:val="28"/>
                    </w:rPr>
                    <w:t>1</w:t>
                  </w:r>
                </w:p>
              </w:tc>
              <w:tc>
                <w:tcPr>
                  <w:tcW w:w="915" w:type="pct"/>
                  <w:vAlign w:val="center"/>
                </w:tcPr>
                <w:p>
                  <w:pPr>
                    <w:spacing w:line="240" w:lineRule="auto"/>
                    <w:ind w:firstLine="0" w:firstLineChars="0"/>
                    <w:jc w:val="center"/>
                    <w:textAlignment w:val="center"/>
                    <w:rPr>
                      <w:rFonts w:hint="default" w:ascii="Times New Roman" w:hAnsi="Times New Roman" w:eastAsia="宋体" w:cs="Times New Roman"/>
                      <w:bCs/>
                      <w:iCs/>
                      <w:color w:val="auto"/>
                      <w:kern w:val="2"/>
                      <w:sz w:val="21"/>
                      <w:szCs w:val="28"/>
                      <w:lang w:eastAsia="zh-CN"/>
                    </w:rPr>
                  </w:pPr>
                  <w:r>
                    <w:rPr>
                      <w:rFonts w:hint="default" w:ascii="Times New Roman" w:hAnsi="Times New Roman" w:cs="Times New Roman"/>
                      <w:bCs/>
                      <w:iCs/>
                      <w:color w:val="auto"/>
                      <w:kern w:val="2"/>
                      <w:sz w:val="21"/>
                      <w:szCs w:val="28"/>
                      <w:lang w:val="en-US" w:eastAsia="zh-CN"/>
                    </w:rPr>
                    <w:t>渗滤液</w:t>
                  </w:r>
                </w:p>
              </w:tc>
              <w:tc>
                <w:tcPr>
                  <w:tcW w:w="699" w:type="pct"/>
                  <w:vAlign w:val="center"/>
                </w:tcPr>
                <w:p>
                  <w:pPr>
                    <w:spacing w:line="240" w:lineRule="auto"/>
                    <w:ind w:firstLine="0" w:firstLineChars="0"/>
                    <w:jc w:val="center"/>
                    <w:textAlignment w:val="center"/>
                    <w:rPr>
                      <w:rFonts w:hint="default" w:ascii="Times New Roman" w:hAnsi="Times New Roman" w:cs="Times New Roman"/>
                      <w:bCs/>
                      <w:iCs/>
                      <w:color w:val="auto"/>
                      <w:kern w:val="2"/>
                      <w:sz w:val="21"/>
                      <w:szCs w:val="28"/>
                    </w:rPr>
                  </w:pPr>
                  <w:r>
                    <w:rPr>
                      <w:rFonts w:hint="default" w:ascii="Times New Roman" w:hAnsi="Times New Roman" w:cs="Times New Roman"/>
                      <w:bCs/>
                      <w:iCs/>
                      <w:color w:val="auto"/>
                      <w:kern w:val="2"/>
                      <w:sz w:val="21"/>
                      <w:szCs w:val="28"/>
                    </w:rPr>
                    <w:t>/</w:t>
                  </w:r>
                </w:p>
              </w:tc>
              <w:tc>
                <w:tcPr>
                  <w:tcW w:w="1348" w:type="pct"/>
                  <w:vAlign w:val="center"/>
                </w:tcPr>
                <w:p>
                  <w:pPr>
                    <w:spacing w:line="240" w:lineRule="auto"/>
                    <w:ind w:firstLine="0" w:firstLineChars="0"/>
                    <w:jc w:val="center"/>
                    <w:textAlignment w:val="center"/>
                    <w:rPr>
                      <w:rFonts w:hint="default" w:ascii="Times New Roman" w:hAnsi="Times New Roman" w:eastAsia="宋体" w:cs="Times New Roman"/>
                      <w:bCs/>
                      <w:iCs/>
                      <w:color w:val="auto"/>
                      <w:kern w:val="2"/>
                      <w:sz w:val="21"/>
                      <w:szCs w:val="28"/>
                      <w:lang w:val="en-US" w:eastAsia="zh-CN"/>
                    </w:rPr>
                  </w:pPr>
                  <w:r>
                    <w:rPr>
                      <w:rFonts w:hint="default" w:ascii="Times New Roman" w:hAnsi="Times New Roman" w:cs="Times New Roman"/>
                      <w:bCs/>
                      <w:iCs/>
                      <w:color w:val="auto"/>
                      <w:kern w:val="2"/>
                      <w:sz w:val="21"/>
                      <w:szCs w:val="28"/>
                      <w:lang w:val="en-US" w:eastAsia="zh-CN"/>
                    </w:rPr>
                    <w:t>200</w:t>
                  </w:r>
                </w:p>
              </w:tc>
              <w:tc>
                <w:tcPr>
                  <w:tcW w:w="711" w:type="pct"/>
                  <w:vAlign w:val="center"/>
                </w:tcPr>
                <w:p>
                  <w:pPr>
                    <w:spacing w:line="240" w:lineRule="auto"/>
                    <w:ind w:firstLine="0" w:firstLineChars="0"/>
                    <w:jc w:val="center"/>
                    <w:textAlignment w:val="center"/>
                    <w:rPr>
                      <w:rFonts w:hint="default" w:ascii="Times New Roman" w:hAnsi="Times New Roman" w:eastAsia="宋体" w:cs="Times New Roman"/>
                      <w:bCs/>
                      <w:iCs/>
                      <w:color w:val="auto"/>
                      <w:kern w:val="2"/>
                      <w:sz w:val="21"/>
                      <w:szCs w:val="28"/>
                      <w:lang w:val="en-US" w:eastAsia="zh-CN"/>
                    </w:rPr>
                  </w:pPr>
                  <w:r>
                    <w:rPr>
                      <w:rFonts w:hint="default" w:ascii="Times New Roman" w:hAnsi="Times New Roman" w:cs="Times New Roman"/>
                      <w:bCs/>
                      <w:iCs/>
                      <w:color w:val="auto"/>
                      <w:kern w:val="2"/>
                      <w:sz w:val="21"/>
                      <w:szCs w:val="28"/>
                      <w:lang w:eastAsia="zh-CN"/>
                    </w:rPr>
                    <w:t>1</w:t>
                  </w:r>
                  <w:r>
                    <w:rPr>
                      <w:rFonts w:hint="default" w:ascii="Times New Roman" w:hAnsi="Times New Roman" w:cs="Times New Roman"/>
                      <w:bCs/>
                      <w:iCs/>
                      <w:color w:val="auto"/>
                      <w:kern w:val="2"/>
                      <w:sz w:val="21"/>
                      <w:szCs w:val="28"/>
                      <w:lang w:val="en-US" w:eastAsia="zh-CN"/>
                    </w:rPr>
                    <w:t>0</w:t>
                  </w:r>
                </w:p>
              </w:tc>
              <w:tc>
                <w:tcPr>
                  <w:tcW w:w="899" w:type="pct"/>
                  <w:tcBorders>
                    <w:right w:val="nil"/>
                  </w:tcBorders>
                  <w:vAlign w:val="center"/>
                </w:tcPr>
                <w:p>
                  <w:pPr>
                    <w:spacing w:line="240" w:lineRule="auto"/>
                    <w:ind w:firstLine="0" w:firstLineChars="0"/>
                    <w:jc w:val="center"/>
                    <w:textAlignment w:val="center"/>
                    <w:rPr>
                      <w:rFonts w:hint="default" w:ascii="Times New Roman" w:hAnsi="Times New Roman" w:eastAsia="宋体" w:cs="Times New Roman"/>
                      <w:bCs/>
                      <w:iCs/>
                      <w:color w:val="auto"/>
                      <w:kern w:val="2"/>
                      <w:sz w:val="21"/>
                      <w:szCs w:val="28"/>
                      <w:lang w:val="en-US" w:eastAsia="zh-CN"/>
                    </w:rPr>
                  </w:pPr>
                  <w:r>
                    <w:rPr>
                      <w:rFonts w:hint="default" w:ascii="Times New Roman" w:hAnsi="Times New Roman" w:cs="Times New Roman"/>
                      <w:bCs/>
                      <w:iCs/>
                      <w:color w:val="auto"/>
                      <w:kern w:val="2"/>
                      <w:sz w:val="21"/>
                      <w:szCs w:val="28"/>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tcBorders>
                    <w:left w:val="nil"/>
                    <w:bottom w:val="single" w:color="auto" w:sz="12" w:space="0"/>
                  </w:tcBorders>
                  <w:vAlign w:val="center"/>
                </w:tcPr>
                <w:p>
                  <w:pPr>
                    <w:spacing w:line="240" w:lineRule="auto"/>
                    <w:ind w:firstLine="0" w:firstLineChars="0"/>
                    <w:jc w:val="center"/>
                    <w:textAlignment w:val="center"/>
                    <w:rPr>
                      <w:rFonts w:hint="default" w:ascii="Times New Roman" w:hAnsi="Times New Roman" w:eastAsia="宋体" w:cs="Times New Roman"/>
                      <w:bCs/>
                      <w:iCs/>
                      <w:color w:val="auto"/>
                      <w:kern w:val="2"/>
                      <w:sz w:val="21"/>
                      <w:szCs w:val="28"/>
                      <w:lang w:eastAsia="zh-CN"/>
                    </w:rPr>
                  </w:pPr>
                  <w:r>
                    <w:rPr>
                      <w:rFonts w:hint="default" w:ascii="Times New Roman" w:hAnsi="Times New Roman" w:cs="Times New Roman"/>
                      <w:bCs/>
                      <w:iCs/>
                      <w:color w:val="auto"/>
                      <w:kern w:val="2"/>
                      <w:sz w:val="21"/>
                      <w:szCs w:val="28"/>
                      <w:lang w:val="en-US" w:eastAsia="zh-CN"/>
                    </w:rPr>
                    <w:t>1</w:t>
                  </w:r>
                </w:p>
              </w:tc>
              <w:tc>
                <w:tcPr>
                  <w:tcW w:w="915" w:type="pct"/>
                  <w:tcBorders>
                    <w:bottom w:val="single" w:color="auto" w:sz="12" w:space="0"/>
                  </w:tcBorders>
                  <w:vAlign w:val="center"/>
                </w:tcPr>
                <w:p>
                  <w:pPr>
                    <w:spacing w:line="240" w:lineRule="auto"/>
                    <w:ind w:firstLine="0" w:firstLineChars="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硫酸</w:t>
                  </w:r>
                </w:p>
              </w:tc>
              <w:tc>
                <w:tcPr>
                  <w:tcW w:w="699" w:type="pct"/>
                  <w:tcBorders>
                    <w:bottom w:val="single" w:color="auto" w:sz="12" w:space="0"/>
                  </w:tcBorders>
                  <w:vAlign w:val="center"/>
                </w:tcPr>
                <w:p>
                  <w:pPr>
                    <w:spacing w:line="240" w:lineRule="auto"/>
                    <w:ind w:firstLine="0" w:firstLineChars="0"/>
                    <w:jc w:val="center"/>
                    <w:textAlignment w:val="center"/>
                    <w:rPr>
                      <w:rFonts w:hint="default" w:ascii="Times New Roman" w:hAnsi="Times New Roman" w:eastAsia="宋体" w:cs="Times New Roman"/>
                      <w:bCs/>
                      <w:iCs/>
                      <w:color w:val="auto"/>
                      <w:kern w:val="2"/>
                      <w:sz w:val="21"/>
                      <w:szCs w:val="28"/>
                      <w:lang w:val="en-US" w:eastAsia="zh-CN"/>
                    </w:rPr>
                  </w:pPr>
                  <w:r>
                    <w:rPr>
                      <w:rFonts w:hint="default" w:ascii="Times New Roman" w:hAnsi="Times New Roman" w:cs="Times New Roman"/>
                      <w:bCs/>
                      <w:iCs/>
                      <w:color w:val="auto"/>
                      <w:kern w:val="2"/>
                      <w:sz w:val="21"/>
                      <w:szCs w:val="28"/>
                      <w:lang w:val="en-US" w:eastAsia="zh-CN"/>
                    </w:rPr>
                    <w:t>7664-93-9</w:t>
                  </w:r>
                </w:p>
              </w:tc>
              <w:tc>
                <w:tcPr>
                  <w:tcW w:w="1348" w:type="pct"/>
                  <w:tcBorders>
                    <w:bottom w:val="single" w:color="auto" w:sz="12" w:space="0"/>
                  </w:tcBorders>
                  <w:vAlign w:val="center"/>
                </w:tcPr>
                <w:p>
                  <w:pPr>
                    <w:spacing w:line="240" w:lineRule="auto"/>
                    <w:ind w:firstLine="0" w:firstLineChars="0"/>
                    <w:jc w:val="center"/>
                    <w:textAlignment w:val="center"/>
                    <w:rPr>
                      <w:rFonts w:hint="default" w:ascii="Times New Roman" w:hAnsi="Times New Roman" w:eastAsia="宋体" w:cs="Times New Roman"/>
                      <w:bCs/>
                      <w:iCs/>
                      <w:color w:val="auto"/>
                      <w:kern w:val="2"/>
                      <w:sz w:val="21"/>
                      <w:szCs w:val="28"/>
                      <w:lang w:val="en-US" w:eastAsia="zh-CN"/>
                    </w:rPr>
                  </w:pPr>
                  <w:r>
                    <w:rPr>
                      <w:rFonts w:hint="default" w:ascii="Times New Roman" w:hAnsi="Times New Roman" w:cs="Times New Roman"/>
                      <w:bCs/>
                      <w:iCs/>
                      <w:color w:val="auto"/>
                      <w:kern w:val="2"/>
                      <w:sz w:val="21"/>
                      <w:szCs w:val="28"/>
                      <w:lang w:val="en-US" w:eastAsia="zh-CN"/>
                    </w:rPr>
                    <w:t>5.52</w:t>
                  </w:r>
                </w:p>
              </w:tc>
              <w:tc>
                <w:tcPr>
                  <w:tcW w:w="711" w:type="pct"/>
                  <w:tcBorders>
                    <w:bottom w:val="single" w:color="auto" w:sz="12" w:space="0"/>
                  </w:tcBorders>
                  <w:vAlign w:val="center"/>
                </w:tcPr>
                <w:p>
                  <w:pPr>
                    <w:spacing w:line="240" w:lineRule="auto"/>
                    <w:ind w:firstLine="0" w:firstLineChars="0"/>
                    <w:jc w:val="center"/>
                    <w:textAlignment w:val="center"/>
                    <w:rPr>
                      <w:rFonts w:hint="default" w:ascii="Times New Roman" w:hAnsi="Times New Roman" w:eastAsia="宋体" w:cs="Times New Roman"/>
                      <w:bCs/>
                      <w:iCs/>
                      <w:color w:val="auto"/>
                      <w:kern w:val="2"/>
                      <w:sz w:val="21"/>
                      <w:szCs w:val="28"/>
                      <w:lang w:val="en-US" w:eastAsia="zh-CN"/>
                    </w:rPr>
                  </w:pPr>
                  <w:r>
                    <w:rPr>
                      <w:rFonts w:hint="default" w:ascii="Times New Roman" w:hAnsi="Times New Roman" w:cs="Times New Roman"/>
                      <w:bCs/>
                      <w:iCs/>
                      <w:color w:val="auto"/>
                      <w:kern w:val="2"/>
                      <w:sz w:val="21"/>
                      <w:szCs w:val="28"/>
                      <w:lang w:val="en-US" w:eastAsia="zh-CN"/>
                    </w:rPr>
                    <w:t>10</w:t>
                  </w:r>
                </w:p>
              </w:tc>
              <w:tc>
                <w:tcPr>
                  <w:tcW w:w="899" w:type="pct"/>
                  <w:tcBorders>
                    <w:bottom w:val="single" w:color="auto" w:sz="12" w:space="0"/>
                    <w:right w:val="nil"/>
                  </w:tcBorders>
                  <w:vAlign w:val="center"/>
                </w:tcPr>
                <w:p>
                  <w:pPr>
                    <w:spacing w:line="240" w:lineRule="auto"/>
                    <w:ind w:firstLine="0" w:firstLineChars="0"/>
                    <w:jc w:val="center"/>
                    <w:textAlignment w:val="center"/>
                    <w:rPr>
                      <w:rFonts w:hint="default" w:ascii="Times New Roman" w:hAnsi="Times New Roman" w:eastAsia="宋体" w:cs="Times New Roman"/>
                      <w:bCs/>
                      <w:iCs/>
                      <w:color w:val="auto"/>
                      <w:kern w:val="2"/>
                      <w:sz w:val="21"/>
                      <w:szCs w:val="28"/>
                      <w:lang w:val="en-US" w:eastAsia="zh-CN"/>
                    </w:rPr>
                  </w:pPr>
                  <w:r>
                    <w:rPr>
                      <w:rFonts w:hint="default" w:ascii="Times New Roman" w:hAnsi="Times New Roman" w:cs="Times New Roman"/>
                      <w:bCs/>
                      <w:iCs/>
                      <w:color w:val="auto"/>
                      <w:kern w:val="2"/>
                      <w:sz w:val="21"/>
                      <w:szCs w:val="28"/>
                      <w:lang w:val="en-US" w:eastAsia="zh-CN"/>
                    </w:rPr>
                    <w:t>0.552</w:t>
                  </w:r>
                </w:p>
              </w:tc>
            </w:tr>
          </w:tbl>
          <w:p>
            <w:pPr>
              <w:spacing w:line="500" w:lineRule="exact"/>
              <w:ind w:firstLineChars="300"/>
              <w:rPr>
                <w:rFonts w:hint="default" w:ascii="Times New Roman" w:hAnsi="Times New Roman" w:eastAsia="宋体" w:cs="Times New Roman"/>
                <w:color w:val="auto"/>
                <w:spacing w:val="-2"/>
                <w:sz w:val="24"/>
                <w:szCs w:val="22"/>
                <w:lang w:val="en-US" w:eastAsia="zh-CN" w:bidi="ar-SA"/>
              </w:rPr>
            </w:pPr>
            <w:r>
              <w:rPr>
                <w:rFonts w:hint="default" w:ascii="Times New Roman" w:hAnsi="Times New Roman" w:eastAsia="宋体" w:cs="Times New Roman"/>
                <w:color w:val="auto"/>
                <w:spacing w:val="-2"/>
                <w:sz w:val="24"/>
                <w:szCs w:val="22"/>
                <w:lang w:val="en-US" w:eastAsia="zh-CN" w:bidi="ar-SA"/>
              </w:rPr>
              <w:t xml:space="preserve">B.行业及生产工艺（M）的分值 </w:t>
            </w:r>
          </w:p>
          <w:p>
            <w:pPr>
              <w:spacing w:line="500" w:lineRule="exact"/>
              <w:ind w:firstLineChars="300"/>
              <w:rPr>
                <w:rFonts w:hint="default" w:ascii="Times New Roman" w:hAnsi="Times New Roman" w:eastAsia="宋体" w:cs="Times New Roman"/>
                <w:color w:val="auto"/>
                <w:spacing w:val="-2"/>
                <w:sz w:val="24"/>
                <w:szCs w:val="22"/>
                <w:lang w:val="en-US" w:eastAsia="zh-CN" w:bidi="ar-SA"/>
              </w:rPr>
            </w:pPr>
            <w:r>
              <w:rPr>
                <w:rFonts w:hint="default" w:ascii="Times New Roman" w:hAnsi="Times New Roman" w:eastAsia="宋体" w:cs="Times New Roman"/>
                <w:color w:val="auto"/>
                <w:spacing w:val="-2"/>
                <w:sz w:val="24"/>
                <w:szCs w:val="22"/>
                <w:lang w:val="en-US" w:eastAsia="zh-CN" w:bidi="ar-SA"/>
              </w:rPr>
              <w:t>根据《建设项目环境风险评价技术导则》（HJ169-2018）要求，确定本项目行业及生产 工艺（M）分值，将 M 划分为（1）M＞20；（2）10＜M≤20；（3）5＜M≤10；（4）M=5， 分别以 M1、M2、M3 和 M4 表示。见下表所示。</w:t>
            </w:r>
          </w:p>
          <w:p>
            <w:pPr>
              <w:keepNext w:val="0"/>
              <w:keepLines w:val="0"/>
              <w:widowControl/>
              <w:suppressLineNumbers w:val="0"/>
              <w:jc w:val="center"/>
              <w:rPr>
                <w:rFonts w:hint="default" w:ascii="Times New Roman" w:hAnsi="Times New Roman" w:cs="Times New Roman"/>
                <w:color w:val="auto"/>
              </w:rPr>
            </w:pPr>
            <w:r>
              <w:rPr>
                <w:rFonts w:hint="default" w:ascii="Times New Roman" w:hAnsi="Times New Roman" w:eastAsia="宋体" w:cs="Times New Roman"/>
                <w:b/>
                <w:color w:val="auto"/>
                <w:kern w:val="0"/>
                <w:sz w:val="24"/>
                <w:szCs w:val="24"/>
                <w:lang w:val="en-US" w:eastAsia="zh-CN" w:bidi="ar"/>
              </w:rPr>
              <w:t>表 7-19 行业及生产工艺评分表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4240"/>
              <w:gridCol w:w="884"/>
              <w:gridCol w:w="2113"/>
              <w:gridCol w:w="14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516" w:type="pct"/>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color w:val="auto"/>
                      <w:sz w:val="21"/>
                      <w:szCs w:val="22"/>
                      <w:lang w:val="en-US" w:eastAsia="zh-CN"/>
                    </w:rPr>
                    <w:t>行业</w:t>
                  </w:r>
                </w:p>
              </w:tc>
              <w:tc>
                <w:tcPr>
                  <w:tcW w:w="2191" w:type="pct"/>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color w:val="auto"/>
                      <w:sz w:val="21"/>
                      <w:szCs w:val="22"/>
                      <w:lang w:val="en-US" w:eastAsia="zh-CN"/>
                    </w:rPr>
                    <w:t>评估依据</w:t>
                  </w:r>
                </w:p>
              </w:tc>
              <w:tc>
                <w:tcPr>
                  <w:tcW w:w="457" w:type="pct"/>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color w:val="auto"/>
                      <w:sz w:val="21"/>
                      <w:szCs w:val="22"/>
                      <w:lang w:val="en-US" w:eastAsia="zh-CN"/>
                    </w:rPr>
                    <w:t>分值</w:t>
                  </w:r>
                </w:p>
              </w:tc>
              <w:tc>
                <w:tcPr>
                  <w:tcW w:w="1092" w:type="pct"/>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color w:val="auto"/>
                      <w:sz w:val="21"/>
                      <w:szCs w:val="22"/>
                      <w:lang w:val="en-US" w:eastAsia="zh-CN"/>
                    </w:rPr>
                    <w:t>本项目工艺设备情况</w:t>
                  </w:r>
                </w:p>
              </w:tc>
              <w:tc>
                <w:tcPr>
                  <w:tcW w:w="741" w:type="pct"/>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color w:val="auto"/>
                      <w:sz w:val="21"/>
                      <w:szCs w:val="22"/>
                      <w:lang w:val="en-US" w:eastAsia="zh-CN"/>
                    </w:rPr>
                    <w:t>本项目得分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16" w:type="pct"/>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color w:val="auto"/>
                      <w:sz w:val="21"/>
                      <w:szCs w:val="22"/>
                      <w:lang w:val="en-US" w:eastAsia="zh-CN"/>
                    </w:rPr>
                    <w:t>其他</w:t>
                  </w:r>
                </w:p>
              </w:tc>
              <w:tc>
                <w:tcPr>
                  <w:tcW w:w="2191" w:type="pct"/>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color w:val="auto"/>
                      <w:sz w:val="21"/>
                      <w:szCs w:val="22"/>
                      <w:lang w:val="en-US" w:eastAsia="zh-CN"/>
                    </w:rPr>
                    <w:t>涉及危险物质使用、贮存的项目</w:t>
                  </w:r>
                </w:p>
              </w:tc>
              <w:tc>
                <w:tcPr>
                  <w:tcW w:w="457" w:type="pct"/>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color w:val="auto"/>
                      <w:sz w:val="21"/>
                      <w:szCs w:val="22"/>
                      <w:lang w:val="en-US" w:eastAsia="zh-CN"/>
                    </w:rPr>
                    <w:t>5</w:t>
                  </w:r>
                </w:p>
              </w:tc>
              <w:tc>
                <w:tcPr>
                  <w:tcW w:w="1092" w:type="pct"/>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color w:val="auto"/>
                      <w:sz w:val="21"/>
                      <w:szCs w:val="22"/>
                      <w:lang w:val="en-US" w:eastAsia="zh-CN"/>
                    </w:rPr>
                    <w:t>涉及</w:t>
                  </w:r>
                </w:p>
              </w:tc>
              <w:tc>
                <w:tcPr>
                  <w:tcW w:w="741" w:type="pct"/>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color w:val="auto"/>
                      <w:sz w:val="21"/>
                      <w:szCs w:val="22"/>
                      <w:lang w:val="en-US" w:eastAsia="zh-CN"/>
                    </w:rPr>
                    <w:t>5</w:t>
                  </w:r>
                </w:p>
              </w:tc>
            </w:tr>
          </w:tbl>
          <w:p>
            <w:pPr>
              <w:pStyle w:val="118"/>
              <w:keepNext w:val="0"/>
              <w:keepLines w:val="0"/>
              <w:pageBreakBefore w:val="0"/>
              <w:widowControl w:val="0"/>
              <w:kinsoku w:val="0"/>
              <w:wordWrap/>
              <w:overflowPunct w:val="0"/>
              <w:topLinePunct w:val="0"/>
              <w:autoSpaceDE w:val="0"/>
              <w:autoSpaceDN w:val="0"/>
              <w:bidi w:val="0"/>
              <w:adjustRightInd w:val="0"/>
              <w:snapToGrid w:val="0"/>
              <w:spacing w:line="360" w:lineRule="auto"/>
              <w:ind w:right="0" w:firstLine="482"/>
              <w:jc w:val="both"/>
              <w:textAlignment w:val="auto"/>
              <w:rPr>
                <w:rFonts w:hint="default" w:ascii="Times New Roman" w:hAnsi="Times New Roman" w:cs="Times New Roman"/>
                <w:color w:val="auto"/>
                <w:spacing w:val="-2"/>
                <w:sz w:val="24"/>
                <w:lang w:val="en-US" w:eastAsia="zh-CN"/>
              </w:rPr>
            </w:pPr>
            <w:r>
              <w:rPr>
                <w:rFonts w:hint="default" w:ascii="Times New Roman" w:hAnsi="Times New Roman" w:cs="Times New Roman"/>
                <w:color w:val="auto"/>
                <w:spacing w:val="-2"/>
                <w:sz w:val="24"/>
                <w:lang w:val="en-US" w:eastAsia="zh-CN"/>
              </w:rPr>
              <w:t>由上表可知，项目行业及生产工艺（M）评分为 5 分，属于 M4。</w:t>
            </w:r>
          </w:p>
          <w:p>
            <w:pPr>
              <w:pStyle w:val="118"/>
              <w:keepNext w:val="0"/>
              <w:keepLines w:val="0"/>
              <w:pageBreakBefore w:val="0"/>
              <w:widowControl w:val="0"/>
              <w:kinsoku w:val="0"/>
              <w:wordWrap/>
              <w:overflowPunct w:val="0"/>
              <w:topLinePunct w:val="0"/>
              <w:autoSpaceDE w:val="0"/>
              <w:autoSpaceDN w:val="0"/>
              <w:bidi w:val="0"/>
              <w:adjustRightInd w:val="0"/>
              <w:snapToGrid w:val="0"/>
              <w:spacing w:line="360" w:lineRule="auto"/>
              <w:ind w:right="0" w:firstLine="482"/>
              <w:jc w:val="both"/>
              <w:textAlignment w:val="auto"/>
              <w:rPr>
                <w:rFonts w:hint="default" w:ascii="Times New Roman" w:hAnsi="Times New Roman" w:cs="Times New Roman"/>
                <w:color w:val="auto"/>
                <w:spacing w:val="-2"/>
                <w:sz w:val="24"/>
                <w:lang w:val="en-US" w:eastAsia="zh-CN"/>
              </w:rPr>
            </w:pPr>
            <w:r>
              <w:rPr>
                <w:rFonts w:hint="default" w:ascii="Times New Roman" w:hAnsi="Times New Roman" w:cs="Times New Roman"/>
                <w:color w:val="auto"/>
                <w:spacing w:val="-2"/>
                <w:sz w:val="24"/>
                <w:lang w:val="en-US" w:eastAsia="zh-CN"/>
              </w:rPr>
              <w:t xml:space="preserve">C.危险物质及工艺系统危险性（P）的分级 </w:t>
            </w:r>
          </w:p>
          <w:p>
            <w:pPr>
              <w:pStyle w:val="118"/>
              <w:keepNext w:val="0"/>
              <w:keepLines w:val="0"/>
              <w:pageBreakBefore w:val="0"/>
              <w:widowControl w:val="0"/>
              <w:kinsoku w:val="0"/>
              <w:wordWrap/>
              <w:overflowPunct w:val="0"/>
              <w:topLinePunct w:val="0"/>
              <w:autoSpaceDE w:val="0"/>
              <w:autoSpaceDN w:val="0"/>
              <w:bidi w:val="0"/>
              <w:adjustRightInd w:val="0"/>
              <w:snapToGrid w:val="0"/>
              <w:spacing w:line="360" w:lineRule="auto"/>
              <w:ind w:right="0" w:firstLine="482"/>
              <w:jc w:val="both"/>
              <w:textAlignment w:val="auto"/>
              <w:rPr>
                <w:rFonts w:hint="default" w:ascii="Times New Roman" w:hAnsi="Times New Roman" w:cs="Times New Roman"/>
                <w:color w:val="auto"/>
                <w:spacing w:val="-2"/>
                <w:sz w:val="24"/>
                <w:lang w:val="en-US" w:eastAsia="zh-CN"/>
              </w:rPr>
            </w:pPr>
            <w:r>
              <w:rPr>
                <w:rFonts w:hint="default" w:ascii="Times New Roman" w:hAnsi="Times New Roman" w:cs="Times New Roman"/>
                <w:color w:val="auto"/>
                <w:spacing w:val="-2"/>
                <w:sz w:val="24"/>
                <w:lang w:val="en-US" w:eastAsia="zh-CN"/>
              </w:rPr>
              <w:t>根据危险物质数量与临界量比值（Q）和行业及生产工艺（M），按照《建设项目环境风 险评价技术导则》（HJ169-2018）表 C.2 确定危险物质及工艺系统危险性等级（P）见下表，</w:t>
            </w:r>
          </w:p>
          <w:p>
            <w:pPr>
              <w:pStyle w:val="6"/>
              <w:jc w:val="center"/>
              <w:rPr>
                <w:rFonts w:hint="default" w:ascii="Times New Roman" w:hAnsi="Times New Roman" w:cs="Times New Roman"/>
                <w:color w:val="auto"/>
              </w:rPr>
            </w:pPr>
            <w:r>
              <w:rPr>
                <w:rFonts w:hint="default" w:ascii="Times New Roman" w:hAnsi="Times New Roman" w:cs="Times New Roman"/>
                <w:b/>
                <w:color w:val="auto"/>
                <w:sz w:val="24"/>
              </w:rPr>
              <w:t xml:space="preserve">表 </w:t>
            </w:r>
            <w:r>
              <w:rPr>
                <w:rFonts w:hint="default" w:ascii="Times New Roman" w:hAnsi="Times New Roman" w:eastAsia="Times New Roman" w:cs="Times New Roman"/>
                <w:b/>
                <w:color w:val="auto"/>
                <w:sz w:val="24"/>
              </w:rPr>
              <w:t>7-2</w:t>
            </w:r>
            <w:r>
              <w:rPr>
                <w:rFonts w:hint="default" w:ascii="Times New Roman" w:hAnsi="Times New Roman" w:eastAsia="宋体" w:cs="Times New Roman"/>
                <w:b/>
                <w:color w:val="auto"/>
                <w:sz w:val="24"/>
                <w:lang w:val="en-US" w:eastAsia="zh-CN"/>
              </w:rPr>
              <w:t>0</w:t>
            </w:r>
            <w:r>
              <w:rPr>
                <w:rFonts w:hint="default" w:ascii="Times New Roman" w:hAnsi="Times New Roman" w:eastAsia="Times New Roman" w:cs="Times New Roman"/>
                <w:b/>
                <w:color w:val="auto"/>
                <w:sz w:val="24"/>
              </w:rPr>
              <w:t xml:space="preserve"> </w:t>
            </w:r>
            <w:r>
              <w:rPr>
                <w:rFonts w:hint="default" w:ascii="Times New Roman" w:hAnsi="Times New Roman" w:cs="Times New Roman"/>
                <w:b/>
                <w:color w:val="auto"/>
                <w:sz w:val="24"/>
              </w:rPr>
              <w:t>危险物质及工艺系统危险性等级判断（</w:t>
            </w:r>
            <w:r>
              <w:rPr>
                <w:rFonts w:hint="default" w:ascii="Times New Roman" w:hAnsi="Times New Roman" w:eastAsia="Times New Roman" w:cs="Times New Roman"/>
                <w:b/>
                <w:color w:val="auto"/>
                <w:sz w:val="24"/>
              </w:rPr>
              <w:t>P</w:t>
            </w:r>
            <w:r>
              <w:rPr>
                <w:rFonts w:hint="default" w:ascii="Times New Roman" w:hAnsi="Times New Roman" w:cs="Times New Roman"/>
                <w:b/>
                <w:color w:val="auto"/>
                <w:sz w:val="24"/>
              </w:rPr>
              <w:t>）</w:t>
            </w:r>
          </w:p>
          <w:tbl>
            <w:tblPr>
              <w:tblStyle w:val="3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42"/>
              <w:gridCol w:w="1485"/>
              <w:gridCol w:w="1541"/>
              <w:gridCol w:w="1749"/>
              <w:gridCol w:w="21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742" w:type="dxa"/>
                  <w:vMerge w:val="restart"/>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spacing w:line="240" w:lineRule="auto"/>
                    <w:ind w:right="0"/>
                    <w:jc w:val="left"/>
                    <w:rPr>
                      <w:rFonts w:hint="default" w:ascii="Times New Roman" w:hAnsi="Times New Roman" w:eastAsia="宋体" w:cs="Times New Roman"/>
                      <w:color w:val="auto"/>
                      <w:spacing w:val="-4"/>
                      <w:sz w:val="24"/>
                      <w:szCs w:val="22"/>
                    </w:rPr>
                  </w:pPr>
                  <w:r>
                    <w:rPr>
                      <w:rFonts w:hint="default" w:ascii="Times New Roman" w:hAnsi="Times New Roman" w:eastAsia="宋体" w:cs="Times New Roman"/>
                      <w:color w:val="auto"/>
                      <w:spacing w:val="-4"/>
                      <w:sz w:val="24"/>
                      <w:szCs w:val="22"/>
                    </w:rPr>
                    <w:t>危险物质数量与临界量比值</w:t>
                  </w:r>
                </w:p>
                <w:p>
                  <w:pPr>
                    <w:pStyle w:val="118"/>
                    <w:keepNext w:val="0"/>
                    <w:keepLines w:val="0"/>
                    <w:pageBreakBefore w:val="0"/>
                    <w:widowControl w:val="0"/>
                    <w:kinsoku w:val="0"/>
                    <w:wordWrap/>
                    <w:overflowPunct w:val="0"/>
                    <w:topLinePunct w:val="0"/>
                    <w:bidi w:val="0"/>
                    <w:adjustRightInd w:val="0"/>
                    <w:snapToGrid/>
                    <w:spacing w:line="240" w:lineRule="auto"/>
                    <w:ind w:right="0" w:firstLine="480"/>
                    <w:jc w:val="left"/>
                    <w:rPr>
                      <w:rFonts w:hint="default" w:ascii="Times New Roman" w:hAnsi="Times New Roman" w:eastAsia="宋体" w:cs="Times New Roman"/>
                      <w:color w:val="auto"/>
                      <w:spacing w:val="-4"/>
                      <w:sz w:val="24"/>
                      <w:szCs w:val="22"/>
                    </w:rPr>
                  </w:pPr>
                  <w:r>
                    <w:rPr>
                      <w:rFonts w:hint="default" w:ascii="Times New Roman" w:hAnsi="Times New Roman" w:eastAsia="宋体" w:cs="Times New Roman"/>
                      <w:color w:val="auto"/>
                      <w:spacing w:val="-4"/>
                      <w:sz w:val="24"/>
                      <w:szCs w:val="22"/>
                    </w:rPr>
                    <w:t>（Q）</w:t>
                  </w:r>
                </w:p>
              </w:tc>
              <w:tc>
                <w:tcPr>
                  <w:tcW w:w="6933" w:type="dxa"/>
                  <w:gridSpan w:val="4"/>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spacing w:line="240" w:lineRule="auto"/>
                    <w:ind w:right="0" w:firstLine="480"/>
                    <w:jc w:val="center"/>
                    <w:rPr>
                      <w:rFonts w:hint="default" w:ascii="Times New Roman" w:hAnsi="Times New Roman" w:eastAsia="宋体" w:cs="Times New Roman"/>
                      <w:color w:val="auto"/>
                      <w:spacing w:val="-4"/>
                      <w:sz w:val="24"/>
                      <w:szCs w:val="22"/>
                    </w:rPr>
                  </w:pPr>
                  <w:r>
                    <w:rPr>
                      <w:rFonts w:hint="default" w:ascii="Times New Roman" w:hAnsi="Times New Roman" w:eastAsia="宋体" w:cs="Times New Roman"/>
                      <w:color w:val="auto"/>
                      <w:spacing w:val="-4"/>
                      <w:sz w:val="24"/>
                      <w:szCs w:val="22"/>
                    </w:rPr>
                    <w:t>行业及生产工艺（M）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742" w:type="dxa"/>
                  <w:vMerge w:val="continue"/>
                  <w:tcBorders>
                    <w:tl2br w:val="nil"/>
                    <w:tr2bl w:val="nil"/>
                  </w:tcBorders>
                  <w:noWrap w:val="0"/>
                  <w:vAlign w:val="top"/>
                </w:tcPr>
                <w:p>
                  <w:pPr>
                    <w:pStyle w:val="15"/>
                    <w:keepNext w:val="0"/>
                    <w:keepLines w:val="0"/>
                    <w:pageBreakBefore w:val="0"/>
                    <w:widowControl w:val="0"/>
                    <w:kinsoku w:val="0"/>
                    <w:wordWrap/>
                    <w:overflowPunct w:val="0"/>
                    <w:topLinePunct w:val="0"/>
                    <w:bidi w:val="0"/>
                    <w:adjustRightInd w:val="0"/>
                    <w:snapToGrid/>
                    <w:spacing w:line="240" w:lineRule="auto"/>
                    <w:ind w:right="0"/>
                    <w:jc w:val="right"/>
                    <w:rPr>
                      <w:rFonts w:hint="default" w:ascii="Times New Roman" w:hAnsi="Times New Roman" w:eastAsia="宋体" w:cs="Times New Roman"/>
                      <w:color w:val="auto"/>
                      <w:spacing w:val="-4"/>
                      <w:sz w:val="24"/>
                      <w:szCs w:val="22"/>
                    </w:rPr>
                  </w:pPr>
                </w:p>
              </w:tc>
              <w:tc>
                <w:tcPr>
                  <w:tcW w:w="1485"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spacing w:line="240" w:lineRule="auto"/>
                    <w:ind w:right="0" w:firstLine="480"/>
                    <w:jc w:val="center"/>
                    <w:rPr>
                      <w:rFonts w:hint="default" w:ascii="Times New Roman" w:hAnsi="Times New Roman" w:eastAsia="宋体" w:cs="Times New Roman"/>
                      <w:color w:val="auto"/>
                      <w:spacing w:val="-4"/>
                      <w:sz w:val="24"/>
                      <w:szCs w:val="22"/>
                    </w:rPr>
                  </w:pPr>
                  <w:r>
                    <w:rPr>
                      <w:rFonts w:hint="default" w:ascii="Times New Roman" w:hAnsi="Times New Roman" w:eastAsia="宋体" w:cs="Times New Roman"/>
                      <w:color w:val="auto"/>
                      <w:spacing w:val="-4"/>
                      <w:sz w:val="24"/>
                      <w:szCs w:val="22"/>
                    </w:rPr>
                    <w:t>M1</w:t>
                  </w:r>
                </w:p>
              </w:tc>
              <w:tc>
                <w:tcPr>
                  <w:tcW w:w="1541"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spacing w:line="240" w:lineRule="auto"/>
                    <w:ind w:right="0" w:firstLine="480"/>
                    <w:jc w:val="center"/>
                    <w:rPr>
                      <w:rFonts w:hint="default" w:ascii="Times New Roman" w:hAnsi="Times New Roman" w:eastAsia="宋体" w:cs="Times New Roman"/>
                      <w:color w:val="auto"/>
                      <w:spacing w:val="-4"/>
                      <w:sz w:val="24"/>
                      <w:szCs w:val="22"/>
                    </w:rPr>
                  </w:pPr>
                  <w:r>
                    <w:rPr>
                      <w:rFonts w:hint="default" w:ascii="Times New Roman" w:hAnsi="Times New Roman" w:eastAsia="宋体" w:cs="Times New Roman"/>
                      <w:color w:val="auto"/>
                      <w:spacing w:val="-4"/>
                      <w:sz w:val="24"/>
                      <w:szCs w:val="22"/>
                    </w:rPr>
                    <w:t>M2</w:t>
                  </w:r>
                </w:p>
              </w:tc>
              <w:tc>
                <w:tcPr>
                  <w:tcW w:w="1749"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spacing w:line="240" w:lineRule="auto"/>
                    <w:ind w:right="0" w:firstLine="480"/>
                    <w:jc w:val="center"/>
                    <w:rPr>
                      <w:rFonts w:hint="default" w:ascii="Times New Roman" w:hAnsi="Times New Roman" w:eastAsia="宋体" w:cs="Times New Roman"/>
                      <w:color w:val="auto"/>
                      <w:spacing w:val="-4"/>
                      <w:sz w:val="24"/>
                      <w:szCs w:val="22"/>
                    </w:rPr>
                  </w:pPr>
                  <w:r>
                    <w:rPr>
                      <w:rFonts w:hint="default" w:ascii="Times New Roman" w:hAnsi="Times New Roman" w:eastAsia="宋体" w:cs="Times New Roman"/>
                      <w:color w:val="auto"/>
                      <w:spacing w:val="-4"/>
                      <w:sz w:val="24"/>
                      <w:szCs w:val="22"/>
                    </w:rPr>
                    <w:t>M3</w:t>
                  </w:r>
                </w:p>
              </w:tc>
              <w:tc>
                <w:tcPr>
                  <w:tcW w:w="2158"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spacing w:line="240" w:lineRule="auto"/>
                    <w:ind w:right="0" w:firstLine="480"/>
                    <w:jc w:val="center"/>
                    <w:rPr>
                      <w:rFonts w:hint="default" w:ascii="Times New Roman" w:hAnsi="Times New Roman" w:eastAsia="宋体" w:cs="Times New Roman"/>
                      <w:color w:val="auto"/>
                      <w:spacing w:val="-4"/>
                      <w:sz w:val="24"/>
                      <w:szCs w:val="22"/>
                    </w:rPr>
                  </w:pPr>
                  <w:r>
                    <w:rPr>
                      <w:rFonts w:hint="default" w:ascii="Times New Roman" w:hAnsi="Times New Roman" w:eastAsia="宋体" w:cs="Times New Roman"/>
                      <w:color w:val="auto"/>
                      <w:spacing w:val="-4"/>
                      <w:sz w:val="24"/>
                      <w:szCs w:val="22"/>
                    </w:rPr>
                    <w:t>M4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42"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spacing w:line="240" w:lineRule="auto"/>
                    <w:ind w:right="0" w:firstLine="480"/>
                    <w:jc w:val="left"/>
                    <w:rPr>
                      <w:rFonts w:hint="default" w:ascii="Times New Roman" w:hAnsi="Times New Roman" w:eastAsia="宋体" w:cs="Times New Roman"/>
                      <w:color w:val="auto"/>
                      <w:spacing w:val="-4"/>
                      <w:sz w:val="24"/>
                      <w:szCs w:val="22"/>
                    </w:rPr>
                  </w:pPr>
                  <w:r>
                    <w:rPr>
                      <w:rFonts w:hint="default" w:ascii="Times New Roman" w:hAnsi="Times New Roman" w:eastAsia="宋体" w:cs="Times New Roman"/>
                      <w:color w:val="auto"/>
                      <w:spacing w:val="-4"/>
                      <w:sz w:val="24"/>
                      <w:szCs w:val="22"/>
                    </w:rPr>
                    <w:t>Q≥100</w:t>
                  </w:r>
                </w:p>
              </w:tc>
              <w:tc>
                <w:tcPr>
                  <w:tcW w:w="1485"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spacing w:line="240" w:lineRule="auto"/>
                    <w:ind w:right="0" w:firstLine="480"/>
                    <w:jc w:val="center"/>
                    <w:rPr>
                      <w:rFonts w:hint="default" w:ascii="Times New Roman" w:hAnsi="Times New Roman" w:eastAsia="宋体" w:cs="Times New Roman"/>
                      <w:color w:val="auto"/>
                      <w:spacing w:val="-4"/>
                      <w:sz w:val="24"/>
                      <w:szCs w:val="22"/>
                    </w:rPr>
                  </w:pPr>
                  <w:r>
                    <w:rPr>
                      <w:rFonts w:hint="default" w:ascii="Times New Roman" w:hAnsi="Times New Roman" w:eastAsia="宋体" w:cs="Times New Roman"/>
                      <w:color w:val="auto"/>
                      <w:spacing w:val="-4"/>
                      <w:sz w:val="24"/>
                      <w:szCs w:val="22"/>
                    </w:rPr>
                    <w:t>P1</w:t>
                  </w:r>
                </w:p>
              </w:tc>
              <w:tc>
                <w:tcPr>
                  <w:tcW w:w="1541"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spacing w:line="240" w:lineRule="auto"/>
                    <w:ind w:right="0" w:firstLine="480"/>
                    <w:jc w:val="center"/>
                    <w:rPr>
                      <w:rFonts w:hint="default" w:ascii="Times New Roman" w:hAnsi="Times New Roman" w:eastAsia="宋体" w:cs="Times New Roman"/>
                      <w:color w:val="auto"/>
                      <w:spacing w:val="-4"/>
                      <w:sz w:val="24"/>
                      <w:szCs w:val="22"/>
                    </w:rPr>
                  </w:pPr>
                  <w:r>
                    <w:rPr>
                      <w:rFonts w:hint="default" w:ascii="Times New Roman" w:hAnsi="Times New Roman" w:eastAsia="宋体" w:cs="Times New Roman"/>
                      <w:color w:val="auto"/>
                      <w:spacing w:val="-4"/>
                      <w:sz w:val="24"/>
                      <w:szCs w:val="22"/>
                      <w:lang w:val="en-US" w:eastAsia="zh-CN"/>
                    </w:rPr>
                    <w:t>P</w:t>
                  </w:r>
                  <w:r>
                    <w:rPr>
                      <w:rFonts w:hint="default" w:ascii="Times New Roman" w:hAnsi="Times New Roman" w:eastAsia="宋体" w:cs="Times New Roman"/>
                      <w:color w:val="auto"/>
                      <w:spacing w:val="-4"/>
                      <w:sz w:val="24"/>
                      <w:szCs w:val="22"/>
                    </w:rPr>
                    <w:t>1</w:t>
                  </w:r>
                </w:p>
              </w:tc>
              <w:tc>
                <w:tcPr>
                  <w:tcW w:w="1749"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spacing w:line="240" w:lineRule="auto"/>
                    <w:ind w:right="0" w:firstLine="480"/>
                    <w:jc w:val="center"/>
                    <w:rPr>
                      <w:rFonts w:hint="default" w:ascii="Times New Roman" w:hAnsi="Times New Roman" w:eastAsia="宋体" w:cs="Times New Roman"/>
                      <w:color w:val="auto"/>
                      <w:spacing w:val="-4"/>
                      <w:sz w:val="24"/>
                      <w:szCs w:val="22"/>
                    </w:rPr>
                  </w:pPr>
                  <w:r>
                    <w:rPr>
                      <w:rFonts w:hint="default" w:ascii="Times New Roman" w:hAnsi="Times New Roman" w:eastAsia="宋体" w:cs="Times New Roman"/>
                      <w:color w:val="auto"/>
                      <w:spacing w:val="-4"/>
                      <w:sz w:val="24"/>
                      <w:szCs w:val="22"/>
                    </w:rPr>
                    <w:t>P2</w:t>
                  </w:r>
                </w:p>
              </w:tc>
              <w:tc>
                <w:tcPr>
                  <w:tcW w:w="2158"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spacing w:line="240" w:lineRule="auto"/>
                    <w:ind w:right="0" w:firstLine="480"/>
                    <w:jc w:val="center"/>
                    <w:rPr>
                      <w:rFonts w:hint="default" w:ascii="Times New Roman" w:hAnsi="Times New Roman" w:eastAsia="宋体" w:cs="Times New Roman"/>
                      <w:color w:val="auto"/>
                      <w:spacing w:val="-4"/>
                      <w:sz w:val="24"/>
                      <w:szCs w:val="22"/>
                    </w:rPr>
                  </w:pPr>
                  <w:r>
                    <w:rPr>
                      <w:rFonts w:hint="default" w:ascii="Times New Roman" w:hAnsi="Times New Roman" w:eastAsia="宋体" w:cs="Times New Roman"/>
                      <w:color w:val="auto"/>
                      <w:spacing w:val="-4"/>
                      <w:sz w:val="24"/>
                      <w:szCs w:val="22"/>
                    </w:rPr>
                    <w:t>P3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742"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spacing w:line="240" w:lineRule="auto"/>
                    <w:ind w:right="0" w:firstLine="480"/>
                    <w:jc w:val="left"/>
                    <w:rPr>
                      <w:rFonts w:hint="default" w:ascii="Times New Roman" w:hAnsi="Times New Roman" w:eastAsia="宋体" w:cs="Times New Roman"/>
                      <w:color w:val="auto"/>
                      <w:spacing w:val="-4"/>
                      <w:sz w:val="24"/>
                      <w:szCs w:val="22"/>
                    </w:rPr>
                  </w:pPr>
                  <w:r>
                    <w:rPr>
                      <w:rFonts w:hint="default" w:ascii="Times New Roman" w:hAnsi="Times New Roman" w:eastAsia="宋体" w:cs="Times New Roman"/>
                      <w:color w:val="auto"/>
                      <w:spacing w:val="-4"/>
                      <w:sz w:val="24"/>
                      <w:szCs w:val="22"/>
                    </w:rPr>
                    <w:t>10≤Q＜100</w:t>
                  </w:r>
                </w:p>
              </w:tc>
              <w:tc>
                <w:tcPr>
                  <w:tcW w:w="1485"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spacing w:line="240" w:lineRule="auto"/>
                    <w:ind w:right="0" w:firstLine="480"/>
                    <w:jc w:val="center"/>
                    <w:rPr>
                      <w:rFonts w:hint="default" w:ascii="Times New Roman" w:hAnsi="Times New Roman" w:eastAsia="宋体" w:cs="Times New Roman"/>
                      <w:color w:val="auto"/>
                      <w:spacing w:val="-4"/>
                      <w:sz w:val="24"/>
                      <w:szCs w:val="22"/>
                    </w:rPr>
                  </w:pPr>
                  <w:r>
                    <w:rPr>
                      <w:rFonts w:hint="default" w:ascii="Times New Roman" w:hAnsi="Times New Roman" w:eastAsia="宋体" w:cs="Times New Roman"/>
                      <w:color w:val="auto"/>
                      <w:spacing w:val="-4"/>
                      <w:sz w:val="24"/>
                      <w:szCs w:val="22"/>
                    </w:rPr>
                    <w:t>P1</w:t>
                  </w:r>
                </w:p>
              </w:tc>
              <w:tc>
                <w:tcPr>
                  <w:tcW w:w="1541"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spacing w:line="240" w:lineRule="auto"/>
                    <w:ind w:right="0" w:firstLine="480"/>
                    <w:jc w:val="center"/>
                    <w:rPr>
                      <w:rFonts w:hint="default" w:ascii="Times New Roman" w:hAnsi="Times New Roman" w:eastAsia="宋体" w:cs="Times New Roman"/>
                      <w:color w:val="auto"/>
                      <w:spacing w:val="-4"/>
                      <w:sz w:val="24"/>
                      <w:szCs w:val="22"/>
                    </w:rPr>
                  </w:pPr>
                  <w:r>
                    <w:rPr>
                      <w:rFonts w:hint="default" w:ascii="Times New Roman" w:hAnsi="Times New Roman" w:eastAsia="宋体" w:cs="Times New Roman"/>
                      <w:color w:val="auto"/>
                      <w:spacing w:val="-4"/>
                      <w:sz w:val="24"/>
                      <w:szCs w:val="22"/>
                    </w:rPr>
                    <w:t>P2</w:t>
                  </w:r>
                </w:p>
              </w:tc>
              <w:tc>
                <w:tcPr>
                  <w:tcW w:w="1749"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spacing w:line="240" w:lineRule="auto"/>
                    <w:ind w:right="0" w:firstLine="480"/>
                    <w:jc w:val="center"/>
                    <w:rPr>
                      <w:rFonts w:hint="default" w:ascii="Times New Roman" w:hAnsi="Times New Roman" w:eastAsia="宋体" w:cs="Times New Roman"/>
                      <w:color w:val="auto"/>
                      <w:spacing w:val="-4"/>
                      <w:sz w:val="24"/>
                      <w:szCs w:val="22"/>
                    </w:rPr>
                  </w:pPr>
                  <w:r>
                    <w:rPr>
                      <w:rFonts w:hint="default" w:ascii="Times New Roman" w:hAnsi="Times New Roman" w:eastAsia="宋体" w:cs="Times New Roman"/>
                      <w:color w:val="auto"/>
                      <w:spacing w:val="-4"/>
                      <w:sz w:val="24"/>
                      <w:szCs w:val="22"/>
                    </w:rPr>
                    <w:t>P3</w:t>
                  </w:r>
                </w:p>
              </w:tc>
              <w:tc>
                <w:tcPr>
                  <w:tcW w:w="2158"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spacing w:line="240" w:lineRule="auto"/>
                    <w:ind w:right="0" w:firstLine="480"/>
                    <w:jc w:val="center"/>
                    <w:rPr>
                      <w:rFonts w:hint="default" w:ascii="Times New Roman" w:hAnsi="Times New Roman" w:eastAsia="宋体" w:cs="Times New Roman"/>
                      <w:color w:val="auto"/>
                      <w:spacing w:val="-4"/>
                      <w:sz w:val="24"/>
                      <w:szCs w:val="22"/>
                    </w:rPr>
                  </w:pPr>
                  <w:r>
                    <w:rPr>
                      <w:rFonts w:hint="default" w:ascii="Times New Roman" w:hAnsi="Times New Roman" w:eastAsia="宋体" w:cs="Times New Roman"/>
                      <w:color w:val="auto"/>
                      <w:spacing w:val="-4"/>
                      <w:sz w:val="24"/>
                      <w:szCs w:val="22"/>
                    </w:rPr>
                    <w:t>P4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742"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spacing w:line="240" w:lineRule="auto"/>
                    <w:ind w:right="0" w:firstLine="480"/>
                    <w:jc w:val="left"/>
                    <w:rPr>
                      <w:rFonts w:hint="default" w:ascii="Times New Roman" w:hAnsi="Times New Roman" w:eastAsia="宋体" w:cs="Times New Roman"/>
                      <w:color w:val="auto"/>
                      <w:spacing w:val="-4"/>
                      <w:sz w:val="24"/>
                      <w:szCs w:val="22"/>
                    </w:rPr>
                  </w:pPr>
                  <w:r>
                    <w:rPr>
                      <w:rFonts w:hint="default" w:ascii="Times New Roman" w:hAnsi="Times New Roman" w:eastAsia="宋体" w:cs="Times New Roman"/>
                      <w:color w:val="auto"/>
                      <w:spacing w:val="-4"/>
                      <w:sz w:val="24"/>
                      <w:szCs w:val="22"/>
                    </w:rPr>
                    <w:t>1≤Q＜10</w:t>
                  </w:r>
                </w:p>
              </w:tc>
              <w:tc>
                <w:tcPr>
                  <w:tcW w:w="1485"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spacing w:line="240" w:lineRule="auto"/>
                    <w:ind w:right="0" w:firstLine="480"/>
                    <w:jc w:val="center"/>
                    <w:rPr>
                      <w:rFonts w:hint="default" w:ascii="Times New Roman" w:hAnsi="Times New Roman" w:eastAsia="宋体" w:cs="Times New Roman"/>
                      <w:color w:val="auto"/>
                      <w:spacing w:val="-4"/>
                      <w:sz w:val="24"/>
                      <w:szCs w:val="22"/>
                    </w:rPr>
                  </w:pPr>
                  <w:r>
                    <w:rPr>
                      <w:rFonts w:hint="default" w:ascii="Times New Roman" w:hAnsi="Times New Roman" w:eastAsia="宋体" w:cs="Times New Roman"/>
                      <w:color w:val="auto"/>
                      <w:spacing w:val="-4"/>
                      <w:sz w:val="24"/>
                      <w:szCs w:val="22"/>
                    </w:rPr>
                    <w:t>P2</w:t>
                  </w:r>
                </w:p>
              </w:tc>
              <w:tc>
                <w:tcPr>
                  <w:tcW w:w="1541"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spacing w:line="240" w:lineRule="auto"/>
                    <w:ind w:right="0" w:firstLine="480"/>
                    <w:jc w:val="center"/>
                    <w:rPr>
                      <w:rFonts w:hint="default" w:ascii="Times New Roman" w:hAnsi="Times New Roman" w:eastAsia="宋体" w:cs="Times New Roman"/>
                      <w:color w:val="auto"/>
                      <w:spacing w:val="-4"/>
                      <w:sz w:val="24"/>
                      <w:szCs w:val="22"/>
                    </w:rPr>
                  </w:pPr>
                  <w:r>
                    <w:rPr>
                      <w:rFonts w:hint="default" w:ascii="Times New Roman" w:hAnsi="Times New Roman" w:eastAsia="宋体" w:cs="Times New Roman"/>
                      <w:color w:val="auto"/>
                      <w:spacing w:val="-4"/>
                      <w:sz w:val="24"/>
                      <w:szCs w:val="22"/>
                    </w:rPr>
                    <w:t>P3</w:t>
                  </w:r>
                </w:p>
              </w:tc>
              <w:tc>
                <w:tcPr>
                  <w:tcW w:w="1749"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spacing w:line="240" w:lineRule="auto"/>
                    <w:ind w:right="0" w:firstLine="480"/>
                    <w:jc w:val="center"/>
                    <w:rPr>
                      <w:rFonts w:hint="default" w:ascii="Times New Roman" w:hAnsi="Times New Roman" w:eastAsia="宋体" w:cs="Times New Roman"/>
                      <w:color w:val="auto"/>
                      <w:spacing w:val="-4"/>
                      <w:sz w:val="24"/>
                      <w:szCs w:val="22"/>
                    </w:rPr>
                  </w:pPr>
                  <w:r>
                    <w:rPr>
                      <w:rFonts w:hint="default" w:ascii="Times New Roman" w:hAnsi="Times New Roman" w:eastAsia="宋体" w:cs="Times New Roman"/>
                      <w:color w:val="auto"/>
                      <w:spacing w:val="-4"/>
                      <w:sz w:val="24"/>
                      <w:szCs w:val="22"/>
                    </w:rPr>
                    <w:t>P4</w:t>
                  </w:r>
                </w:p>
              </w:tc>
              <w:tc>
                <w:tcPr>
                  <w:tcW w:w="2158"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spacing w:line="240" w:lineRule="auto"/>
                    <w:ind w:right="0" w:firstLine="480"/>
                    <w:jc w:val="center"/>
                    <w:rPr>
                      <w:rFonts w:hint="default" w:ascii="Times New Roman" w:hAnsi="Times New Roman" w:eastAsia="宋体" w:cs="Times New Roman"/>
                      <w:color w:val="auto"/>
                      <w:spacing w:val="-4"/>
                      <w:sz w:val="24"/>
                      <w:szCs w:val="22"/>
                    </w:rPr>
                  </w:pPr>
                  <w:r>
                    <w:rPr>
                      <w:rFonts w:hint="default" w:ascii="Times New Roman" w:hAnsi="Times New Roman" w:eastAsia="宋体" w:cs="Times New Roman"/>
                      <w:color w:val="auto"/>
                      <w:spacing w:val="-4"/>
                      <w:sz w:val="24"/>
                      <w:szCs w:val="22"/>
                    </w:rPr>
                    <w:t>P4</w:t>
                  </w:r>
                </w:p>
              </w:tc>
            </w:tr>
          </w:tbl>
          <w:p>
            <w:pPr>
              <w:keepNext w:val="0"/>
              <w:keepLines w:val="0"/>
              <w:pageBreakBefore w:val="0"/>
              <w:widowControl w:val="0"/>
              <w:wordWrap/>
              <w:topLinePunct w:val="0"/>
              <w:bidi w:val="0"/>
              <w:adjustRightInd w:val="0"/>
              <w:snapToGrid w:val="0"/>
              <w:spacing w:line="360" w:lineRule="auto"/>
              <w:ind w:right="0" w:firstLine="482"/>
              <w:rPr>
                <w:rFonts w:hint="default" w:ascii="Times New Roman" w:hAnsi="Times New Roman" w:eastAsia="宋体" w:cs="Times New Roman"/>
                <w:color w:val="auto"/>
                <w:spacing w:val="-2"/>
                <w:sz w:val="24"/>
                <w:szCs w:val="22"/>
                <w:lang w:val="en-US" w:eastAsia="zh-CN" w:bidi="ar-SA"/>
              </w:rPr>
            </w:pPr>
            <w:r>
              <w:rPr>
                <w:rFonts w:hint="default" w:ascii="Times New Roman" w:hAnsi="Times New Roman" w:eastAsia="宋体" w:cs="Times New Roman"/>
                <w:color w:val="auto"/>
                <w:spacing w:val="-2"/>
                <w:sz w:val="24"/>
                <w:szCs w:val="22"/>
                <w:lang w:val="en-US" w:eastAsia="zh-CN" w:bidi="ar-SA"/>
              </w:rPr>
              <w:t>由前文分析，项目 Q 值 20.552，及项目行业及生产工艺（M）为 M4。因此项目行业及 生产工艺系统危险性（P）为 P4。</w:t>
            </w:r>
          </w:p>
          <w:p>
            <w:pPr>
              <w:pStyle w:val="118"/>
              <w:keepNext w:val="0"/>
              <w:keepLines w:val="0"/>
              <w:pageBreakBefore w:val="0"/>
              <w:widowControl w:val="0"/>
              <w:kinsoku w:val="0"/>
              <w:wordWrap/>
              <w:overflowPunct w:val="0"/>
              <w:topLinePunct w:val="0"/>
              <w:bidi w:val="0"/>
              <w:adjustRightInd w:val="0"/>
              <w:snapToGrid w:val="0"/>
              <w:spacing w:line="360" w:lineRule="auto"/>
              <w:ind w:right="0" w:firstLine="482"/>
              <w:jc w:val="both"/>
              <w:rPr>
                <w:rFonts w:hint="default" w:ascii="Times New Roman" w:hAnsi="Times New Roman" w:eastAsia="宋体" w:cs="Times New Roman"/>
                <w:color w:val="auto"/>
                <w:spacing w:val="-2"/>
                <w:sz w:val="24"/>
                <w:szCs w:val="22"/>
                <w:lang w:val="en-US" w:eastAsia="zh-CN" w:bidi="ar-SA"/>
              </w:rPr>
            </w:pPr>
            <w:r>
              <w:rPr>
                <w:rFonts w:hint="default" w:ascii="Times New Roman" w:hAnsi="Times New Roman" w:eastAsia="宋体" w:cs="Times New Roman"/>
                <w:color w:val="auto"/>
                <w:spacing w:val="-2"/>
                <w:sz w:val="24"/>
                <w:szCs w:val="22"/>
                <w:lang w:val="en-US" w:eastAsia="zh-CN" w:bidi="ar-SA"/>
              </w:rPr>
              <w:t xml:space="preserve">②环境敏感程度分级 </w:t>
            </w:r>
          </w:p>
          <w:p>
            <w:pPr>
              <w:pStyle w:val="118"/>
              <w:keepNext w:val="0"/>
              <w:keepLines w:val="0"/>
              <w:pageBreakBefore w:val="0"/>
              <w:widowControl w:val="0"/>
              <w:kinsoku w:val="0"/>
              <w:wordWrap/>
              <w:overflowPunct w:val="0"/>
              <w:topLinePunct w:val="0"/>
              <w:bidi w:val="0"/>
              <w:adjustRightInd w:val="0"/>
              <w:snapToGrid w:val="0"/>
              <w:spacing w:line="360" w:lineRule="auto"/>
              <w:ind w:right="0" w:firstLine="482"/>
              <w:jc w:val="both"/>
              <w:rPr>
                <w:rFonts w:hint="default" w:ascii="Times New Roman" w:hAnsi="Times New Roman" w:eastAsia="宋体" w:cs="Times New Roman"/>
                <w:color w:val="auto"/>
                <w:spacing w:val="-2"/>
                <w:sz w:val="24"/>
                <w:szCs w:val="22"/>
                <w:lang w:val="en-US" w:eastAsia="zh-CN" w:bidi="ar-SA"/>
              </w:rPr>
            </w:pPr>
            <w:r>
              <w:rPr>
                <w:rFonts w:hint="default" w:ascii="Times New Roman" w:hAnsi="Times New Roman" w:eastAsia="宋体" w:cs="Times New Roman"/>
                <w:color w:val="auto"/>
                <w:spacing w:val="-2"/>
                <w:sz w:val="24"/>
                <w:szCs w:val="22"/>
                <w:lang w:val="en-US" w:eastAsia="zh-CN" w:bidi="ar-SA"/>
              </w:rPr>
              <w:t xml:space="preserve">A.地表水环境敏感程度分级 </w:t>
            </w:r>
          </w:p>
          <w:p>
            <w:pPr>
              <w:pStyle w:val="118"/>
              <w:keepNext w:val="0"/>
              <w:keepLines w:val="0"/>
              <w:pageBreakBefore w:val="0"/>
              <w:widowControl w:val="0"/>
              <w:kinsoku w:val="0"/>
              <w:wordWrap/>
              <w:overflowPunct w:val="0"/>
              <w:topLinePunct w:val="0"/>
              <w:bidi w:val="0"/>
              <w:adjustRightInd w:val="0"/>
              <w:snapToGrid w:val="0"/>
              <w:spacing w:line="360" w:lineRule="auto"/>
              <w:ind w:right="0" w:firstLine="482"/>
              <w:jc w:val="both"/>
              <w:rPr>
                <w:rFonts w:hint="default" w:ascii="Times New Roman" w:hAnsi="Times New Roman" w:eastAsia="宋体" w:cs="Times New Roman"/>
                <w:color w:val="auto"/>
                <w:spacing w:val="-2"/>
                <w:sz w:val="24"/>
                <w:szCs w:val="22"/>
                <w:lang w:val="en-US" w:eastAsia="zh-CN" w:bidi="ar-SA"/>
              </w:rPr>
            </w:pPr>
            <w:r>
              <w:rPr>
                <w:rFonts w:hint="default" w:ascii="Times New Roman" w:hAnsi="Times New Roman" w:eastAsia="宋体" w:cs="Times New Roman"/>
                <w:color w:val="auto"/>
                <w:spacing w:val="-2"/>
                <w:sz w:val="24"/>
                <w:szCs w:val="22"/>
                <w:lang w:val="en-US" w:eastAsia="zh-CN" w:bidi="ar-SA"/>
              </w:rPr>
              <w:t>依据事故情况下危险物质泄漏到水体的排放点受纳地表水体功能敏感性，与下游环境敏 感目标情况，划分地表水环境敏感程度，分级依据如下</w:t>
            </w:r>
          </w:p>
          <w:p>
            <w:pPr>
              <w:pStyle w:val="118"/>
              <w:keepNext w:val="0"/>
              <w:keepLines w:val="0"/>
              <w:pageBreakBefore w:val="0"/>
              <w:widowControl w:val="0"/>
              <w:kinsoku w:val="0"/>
              <w:wordWrap/>
              <w:overflowPunct w:val="0"/>
              <w:topLinePunct w:val="0"/>
              <w:bidi w:val="0"/>
              <w:adjustRightInd w:val="0"/>
              <w:snapToGrid w:val="0"/>
              <w:spacing w:line="360" w:lineRule="auto"/>
              <w:ind w:right="0" w:firstLine="482"/>
              <w:jc w:val="center"/>
              <w:rPr>
                <w:rFonts w:hint="default" w:ascii="Times New Roman" w:hAnsi="Times New Roman" w:eastAsia="宋体" w:cs="Times New Roman"/>
                <w:color w:val="auto"/>
                <w:spacing w:val="-2"/>
                <w:sz w:val="24"/>
                <w:szCs w:val="22"/>
                <w:lang w:val="en-US" w:eastAsia="zh-CN" w:bidi="ar-SA"/>
              </w:rPr>
            </w:pPr>
            <w:r>
              <w:rPr>
                <w:rFonts w:hint="default" w:ascii="Times New Roman" w:hAnsi="Times New Roman" w:cs="Times New Roman"/>
                <w:b/>
                <w:color w:val="auto"/>
                <w:sz w:val="24"/>
              </w:rPr>
              <w:t xml:space="preserve">表 </w:t>
            </w:r>
            <w:r>
              <w:rPr>
                <w:rFonts w:hint="default" w:ascii="Times New Roman" w:hAnsi="Times New Roman" w:eastAsia="Times New Roman" w:cs="Times New Roman"/>
                <w:b/>
                <w:color w:val="auto"/>
                <w:sz w:val="24"/>
              </w:rPr>
              <w:t>7-2</w:t>
            </w:r>
            <w:r>
              <w:rPr>
                <w:rFonts w:hint="default" w:ascii="Times New Roman" w:hAnsi="Times New Roman" w:eastAsia="宋体" w:cs="Times New Roman"/>
                <w:b/>
                <w:color w:val="auto"/>
                <w:sz w:val="24"/>
                <w:lang w:val="en-US" w:eastAsia="zh-CN"/>
              </w:rPr>
              <w:t>1</w:t>
            </w:r>
            <w:r>
              <w:rPr>
                <w:rFonts w:hint="default" w:ascii="Times New Roman" w:hAnsi="Times New Roman" w:eastAsia="Times New Roman" w:cs="Times New Roman"/>
                <w:b/>
                <w:color w:val="auto"/>
                <w:sz w:val="24"/>
              </w:rPr>
              <w:t xml:space="preserve">  </w:t>
            </w:r>
            <w:r>
              <w:rPr>
                <w:rFonts w:hint="default" w:ascii="Times New Roman" w:hAnsi="Times New Roman" w:cs="Times New Roman"/>
                <w:b/>
                <w:color w:val="auto"/>
                <w:sz w:val="24"/>
              </w:rPr>
              <w:t>环境敏感程度分级</w:t>
            </w:r>
          </w:p>
          <w:tbl>
            <w:tblPr>
              <w:tblStyle w:val="33"/>
              <w:tblW w:w="0" w:type="auto"/>
              <w:tblInd w:w="11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00"/>
              <w:gridCol w:w="2381"/>
              <w:gridCol w:w="2380"/>
              <w:gridCol w:w="24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429" w:type="dxa"/>
                  <w:vMerge w:val="restart"/>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val="0"/>
                    <w:spacing w:line="240" w:lineRule="auto"/>
                    <w:ind w:left="0" w:right="0"/>
                    <w:jc w:val="left"/>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bidi w:val="0"/>
                    <w:adjustRightInd w:val="0"/>
                    <w:snapToGrid w:val="0"/>
                    <w:spacing w:line="240" w:lineRule="auto"/>
                    <w:ind w:left="0" w:right="0"/>
                    <w:jc w:val="left"/>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环境敏感目标</w:t>
                  </w:r>
                </w:p>
              </w:tc>
              <w:tc>
                <w:tcPr>
                  <w:tcW w:w="7246" w:type="dxa"/>
                  <w:gridSpan w:val="3"/>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val="0"/>
                    <w:spacing w:line="240" w:lineRule="auto"/>
                    <w:ind w:left="0" w:right="0"/>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地表水功能敏感性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429" w:type="dxa"/>
                  <w:vMerge w:val="continue"/>
                  <w:tcBorders>
                    <w:tl2br w:val="nil"/>
                    <w:tr2bl w:val="nil"/>
                  </w:tcBorders>
                  <w:noWrap w:val="0"/>
                  <w:vAlign w:val="top"/>
                </w:tcPr>
                <w:p>
                  <w:pPr>
                    <w:pStyle w:val="15"/>
                    <w:keepNext w:val="0"/>
                    <w:keepLines w:val="0"/>
                    <w:pageBreakBefore w:val="0"/>
                    <w:widowControl w:val="0"/>
                    <w:kinsoku w:val="0"/>
                    <w:wordWrap/>
                    <w:overflowPunct w:val="0"/>
                    <w:topLinePunct w:val="0"/>
                    <w:bidi w:val="0"/>
                    <w:adjustRightInd w:val="0"/>
                    <w:snapToGrid w:val="0"/>
                    <w:spacing w:line="240" w:lineRule="auto"/>
                    <w:ind w:left="0" w:right="0"/>
                    <w:jc w:val="right"/>
                    <w:rPr>
                      <w:rFonts w:hint="default" w:ascii="Times New Roman" w:hAnsi="Times New Roman" w:eastAsia="宋体" w:cs="Times New Roman"/>
                      <w:color w:val="auto"/>
                      <w:sz w:val="21"/>
                      <w:szCs w:val="22"/>
                    </w:rPr>
                  </w:pPr>
                </w:p>
              </w:tc>
              <w:tc>
                <w:tcPr>
                  <w:tcW w:w="2409"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val="0"/>
                    <w:spacing w:line="240" w:lineRule="auto"/>
                    <w:ind w:left="0" w:right="0"/>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F1</w:t>
                  </w:r>
                </w:p>
              </w:tc>
              <w:tc>
                <w:tcPr>
                  <w:tcW w:w="2408"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val="0"/>
                    <w:spacing w:line="240" w:lineRule="auto"/>
                    <w:ind w:left="0" w:right="0"/>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F2</w:t>
                  </w:r>
                </w:p>
              </w:tc>
              <w:tc>
                <w:tcPr>
                  <w:tcW w:w="2429"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val="0"/>
                    <w:spacing w:line="240" w:lineRule="auto"/>
                    <w:ind w:left="0" w:right="0"/>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F3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40" w:hRule="atLeast"/>
              </w:trPr>
              <w:tc>
                <w:tcPr>
                  <w:tcW w:w="2429"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val="0"/>
                    <w:spacing w:line="240" w:lineRule="auto"/>
                    <w:ind w:left="0" w:right="0"/>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S1</w:t>
                  </w:r>
                </w:p>
              </w:tc>
              <w:tc>
                <w:tcPr>
                  <w:tcW w:w="2409"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val="0"/>
                    <w:spacing w:line="240" w:lineRule="auto"/>
                    <w:ind w:left="0" w:right="0"/>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E1</w:t>
                  </w:r>
                </w:p>
              </w:tc>
              <w:tc>
                <w:tcPr>
                  <w:tcW w:w="2408"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val="0"/>
                    <w:spacing w:line="240" w:lineRule="auto"/>
                    <w:ind w:left="0" w:right="0"/>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E1</w:t>
                  </w:r>
                </w:p>
              </w:tc>
              <w:tc>
                <w:tcPr>
                  <w:tcW w:w="2429"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val="0"/>
                    <w:spacing w:line="240" w:lineRule="auto"/>
                    <w:ind w:left="0" w:right="0"/>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E2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40" w:hRule="atLeast"/>
              </w:trPr>
              <w:tc>
                <w:tcPr>
                  <w:tcW w:w="2429"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val="0"/>
                    <w:spacing w:line="240" w:lineRule="auto"/>
                    <w:ind w:left="0" w:right="0"/>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S2</w:t>
                  </w:r>
                </w:p>
              </w:tc>
              <w:tc>
                <w:tcPr>
                  <w:tcW w:w="2409"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val="0"/>
                    <w:spacing w:line="240" w:lineRule="auto"/>
                    <w:ind w:left="0" w:right="0"/>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E1</w:t>
                  </w:r>
                </w:p>
              </w:tc>
              <w:tc>
                <w:tcPr>
                  <w:tcW w:w="2408"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val="0"/>
                    <w:spacing w:line="240" w:lineRule="auto"/>
                    <w:ind w:left="0" w:right="0"/>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E2</w:t>
                  </w:r>
                </w:p>
              </w:tc>
              <w:tc>
                <w:tcPr>
                  <w:tcW w:w="2429"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val="0"/>
                    <w:spacing w:line="240" w:lineRule="auto"/>
                    <w:ind w:left="0" w:right="0"/>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E3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40" w:hRule="atLeast"/>
              </w:trPr>
              <w:tc>
                <w:tcPr>
                  <w:tcW w:w="2429"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val="0"/>
                    <w:spacing w:line="240" w:lineRule="auto"/>
                    <w:ind w:left="0" w:right="0"/>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S3</w:t>
                  </w:r>
                </w:p>
              </w:tc>
              <w:tc>
                <w:tcPr>
                  <w:tcW w:w="2409"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val="0"/>
                    <w:spacing w:line="240" w:lineRule="auto"/>
                    <w:ind w:left="0" w:right="0"/>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E1</w:t>
                  </w:r>
                </w:p>
              </w:tc>
              <w:tc>
                <w:tcPr>
                  <w:tcW w:w="2408"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val="0"/>
                    <w:spacing w:line="240" w:lineRule="auto"/>
                    <w:ind w:left="0" w:right="0"/>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E2</w:t>
                  </w:r>
                </w:p>
              </w:tc>
              <w:tc>
                <w:tcPr>
                  <w:tcW w:w="2429" w:type="dxa"/>
                  <w:tcBorders>
                    <w:tl2br w:val="nil"/>
                    <w:tr2bl w:val="nil"/>
                  </w:tcBorders>
                  <w:noWrap w:val="0"/>
                  <w:vAlign w:val="top"/>
                </w:tcPr>
                <w:p>
                  <w:pPr>
                    <w:pStyle w:val="118"/>
                    <w:keepNext w:val="0"/>
                    <w:keepLines w:val="0"/>
                    <w:pageBreakBefore w:val="0"/>
                    <w:widowControl w:val="0"/>
                    <w:kinsoku w:val="0"/>
                    <w:wordWrap/>
                    <w:overflowPunct w:val="0"/>
                    <w:topLinePunct w:val="0"/>
                    <w:bidi w:val="0"/>
                    <w:adjustRightInd w:val="0"/>
                    <w:snapToGrid w:val="0"/>
                    <w:spacing w:line="240" w:lineRule="auto"/>
                    <w:ind w:left="0" w:right="0"/>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E3</w:t>
                  </w:r>
                </w:p>
              </w:tc>
            </w:tr>
          </w:tbl>
          <w:p>
            <w:pPr>
              <w:keepNext w:val="0"/>
              <w:keepLines w:val="0"/>
              <w:widowControl/>
              <w:suppressLineNumbers w:val="0"/>
              <w:jc w:val="center"/>
              <w:rPr>
                <w:rFonts w:hint="default" w:ascii="Times New Roman" w:hAnsi="Times New Roman" w:cs="Times New Roman"/>
                <w:color w:val="auto"/>
              </w:rPr>
            </w:pPr>
            <w:r>
              <w:rPr>
                <w:rFonts w:hint="default" w:ascii="Times New Roman" w:hAnsi="Times New Roman" w:eastAsia="宋体" w:cs="Times New Roman"/>
                <w:b/>
                <w:color w:val="auto"/>
                <w:kern w:val="0"/>
                <w:sz w:val="24"/>
                <w:szCs w:val="24"/>
                <w:lang w:val="en-US" w:eastAsia="zh-CN" w:bidi="ar"/>
              </w:rPr>
              <w:t>表 7-22 地表水功能敏感性分区</w:t>
            </w:r>
          </w:p>
          <w:tbl>
            <w:tblPr>
              <w:tblStyle w:val="33"/>
              <w:tblW w:w="0" w:type="auto"/>
              <w:tblInd w:w="11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78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1248" w:type="dxa"/>
                  <w:tcBorders>
                    <w:tl2br w:val="nil"/>
                    <w:tr2bl w:val="nil"/>
                  </w:tcBorders>
                  <w:noWrap w:val="0"/>
                  <w:vAlign w:val="top"/>
                </w:tcPr>
                <w:p>
                  <w:pPr>
                    <w:keepNext w:val="0"/>
                    <w:keepLines w:val="0"/>
                    <w:widowControl/>
                    <w:suppressLineNumbers w:val="0"/>
                    <w:jc w:val="left"/>
                    <w:rPr>
                      <w:rFonts w:hint="default" w:ascii="Times New Roman" w:hAnsi="Times New Roman" w:eastAsia="宋体" w:cs="Times New Roman"/>
                      <w:color w:val="auto"/>
                      <w:sz w:val="21"/>
                      <w:szCs w:val="22"/>
                      <w:lang w:val="en-US" w:eastAsia="zh-CN" w:bidi="ar-SA"/>
                    </w:rPr>
                  </w:pPr>
                  <w:r>
                    <w:rPr>
                      <w:rFonts w:hint="default" w:ascii="Times New Roman" w:hAnsi="Times New Roman" w:eastAsia="宋体" w:cs="Times New Roman"/>
                      <w:color w:val="auto"/>
                      <w:sz w:val="21"/>
                      <w:szCs w:val="22"/>
                      <w:lang w:val="en-US" w:eastAsia="zh-CN" w:bidi="ar-SA"/>
                    </w:rPr>
                    <w:t>敏感 F1</w:t>
                  </w:r>
                </w:p>
                <w:p>
                  <w:pPr>
                    <w:keepNext w:val="0"/>
                    <w:keepLines w:val="0"/>
                    <w:widowControl/>
                    <w:suppressLineNumbers w:val="0"/>
                    <w:jc w:val="left"/>
                    <w:rPr>
                      <w:rFonts w:hint="default" w:ascii="Times New Roman" w:hAnsi="Times New Roman" w:eastAsia="宋体" w:cs="Times New Roman"/>
                      <w:color w:val="auto"/>
                      <w:sz w:val="21"/>
                      <w:szCs w:val="22"/>
                      <w:lang w:val="en-US" w:eastAsia="zh-CN" w:bidi="ar-SA"/>
                    </w:rPr>
                  </w:pPr>
                </w:p>
              </w:tc>
              <w:tc>
                <w:tcPr>
                  <w:tcW w:w="7844" w:type="dxa"/>
                  <w:tcBorders>
                    <w:tl2br w:val="nil"/>
                    <w:tr2bl w:val="nil"/>
                  </w:tcBorders>
                  <w:noWrap w:val="0"/>
                  <w:vAlign w:val="top"/>
                </w:tcPr>
                <w:p>
                  <w:pPr>
                    <w:keepNext w:val="0"/>
                    <w:keepLines w:val="0"/>
                    <w:widowControl/>
                    <w:suppressLineNumbers w:val="0"/>
                    <w:jc w:val="left"/>
                    <w:rPr>
                      <w:rFonts w:hint="default" w:ascii="Times New Roman" w:hAnsi="Times New Roman" w:eastAsia="宋体" w:cs="Times New Roman"/>
                      <w:color w:val="auto"/>
                      <w:sz w:val="21"/>
                      <w:szCs w:val="22"/>
                      <w:lang w:val="en-US" w:eastAsia="zh-CN" w:bidi="ar-SA"/>
                    </w:rPr>
                  </w:pPr>
                  <w:r>
                    <w:rPr>
                      <w:rFonts w:hint="default" w:ascii="Times New Roman" w:hAnsi="Times New Roman" w:eastAsia="宋体" w:cs="Times New Roman"/>
                      <w:color w:val="auto"/>
                      <w:sz w:val="21"/>
                      <w:szCs w:val="22"/>
                      <w:lang w:val="en-US" w:eastAsia="zh-CN" w:bidi="ar-SA"/>
                    </w:rPr>
                    <w:t xml:space="preserve">排放点进入地表水水域功能为Ⅱ类及以上，或海水水质分类第一类；或以发生事故时， </w:t>
                  </w:r>
                </w:p>
                <w:p>
                  <w:pPr>
                    <w:keepNext w:val="0"/>
                    <w:keepLines w:val="0"/>
                    <w:widowControl/>
                    <w:suppressLineNumbers w:val="0"/>
                    <w:jc w:val="left"/>
                    <w:rPr>
                      <w:rFonts w:hint="default" w:ascii="Times New Roman" w:hAnsi="Times New Roman" w:eastAsia="宋体" w:cs="Times New Roman"/>
                      <w:color w:val="auto"/>
                      <w:sz w:val="21"/>
                      <w:szCs w:val="22"/>
                      <w:lang w:val="en-US" w:eastAsia="zh-CN" w:bidi="ar-SA"/>
                    </w:rPr>
                  </w:pPr>
                  <w:r>
                    <w:rPr>
                      <w:rFonts w:hint="default" w:ascii="Times New Roman" w:hAnsi="Times New Roman" w:eastAsia="宋体" w:cs="Times New Roman"/>
                      <w:color w:val="auto"/>
                      <w:sz w:val="21"/>
                      <w:szCs w:val="22"/>
                      <w:lang w:val="en-US" w:eastAsia="zh-CN" w:bidi="ar-SA"/>
                    </w:rPr>
                    <w:t xml:space="preserve">危险物质泄漏到水体的排放点算起，排放进入受纳河流最大流速时，24h 流经范围内涉跨 </w:t>
                  </w:r>
                </w:p>
                <w:p>
                  <w:pPr>
                    <w:keepNext w:val="0"/>
                    <w:keepLines w:val="0"/>
                    <w:widowControl/>
                    <w:suppressLineNumbers w:val="0"/>
                    <w:jc w:val="left"/>
                    <w:rPr>
                      <w:rFonts w:hint="default" w:ascii="Times New Roman" w:hAnsi="Times New Roman" w:eastAsia="宋体" w:cs="Times New Roman"/>
                      <w:color w:val="auto"/>
                      <w:sz w:val="21"/>
                      <w:szCs w:val="22"/>
                      <w:lang w:val="en-US" w:eastAsia="zh-CN" w:bidi="ar-SA"/>
                    </w:rPr>
                  </w:pPr>
                  <w:r>
                    <w:rPr>
                      <w:rFonts w:hint="default" w:ascii="Times New Roman" w:hAnsi="Times New Roman" w:eastAsia="宋体" w:cs="Times New Roman"/>
                      <w:color w:val="auto"/>
                      <w:sz w:val="21"/>
                      <w:szCs w:val="22"/>
                      <w:lang w:val="en-US" w:eastAsia="zh-CN" w:bidi="ar-SA"/>
                    </w:rPr>
                    <w:t>国界的。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1248" w:type="dxa"/>
                  <w:tcBorders>
                    <w:tl2br w:val="nil"/>
                    <w:tr2bl w:val="nil"/>
                  </w:tcBorders>
                  <w:noWrap w:val="0"/>
                  <w:vAlign w:val="top"/>
                </w:tcPr>
                <w:p>
                  <w:pPr>
                    <w:keepNext w:val="0"/>
                    <w:keepLines w:val="0"/>
                    <w:widowControl/>
                    <w:suppressLineNumbers w:val="0"/>
                    <w:jc w:val="left"/>
                    <w:rPr>
                      <w:rFonts w:hint="default" w:ascii="Times New Roman" w:hAnsi="Times New Roman" w:eastAsia="宋体" w:cs="Times New Roman"/>
                      <w:color w:val="auto"/>
                      <w:sz w:val="21"/>
                      <w:szCs w:val="22"/>
                      <w:lang w:val="en-US" w:eastAsia="zh-CN" w:bidi="ar-SA"/>
                    </w:rPr>
                  </w:pPr>
                </w:p>
                <w:p>
                  <w:pPr>
                    <w:keepNext w:val="0"/>
                    <w:keepLines w:val="0"/>
                    <w:widowControl/>
                    <w:suppressLineNumbers w:val="0"/>
                    <w:jc w:val="left"/>
                    <w:rPr>
                      <w:rFonts w:hint="default" w:ascii="Times New Roman" w:hAnsi="Times New Roman" w:eastAsia="宋体" w:cs="Times New Roman"/>
                      <w:color w:val="auto"/>
                      <w:sz w:val="21"/>
                      <w:szCs w:val="22"/>
                      <w:lang w:val="en-US" w:eastAsia="zh-CN" w:bidi="ar-SA"/>
                    </w:rPr>
                  </w:pPr>
                  <w:r>
                    <w:rPr>
                      <w:rFonts w:hint="default" w:ascii="Times New Roman" w:hAnsi="Times New Roman" w:eastAsia="宋体" w:cs="Times New Roman"/>
                      <w:color w:val="auto"/>
                      <w:sz w:val="21"/>
                      <w:szCs w:val="22"/>
                      <w:lang w:val="en-US" w:eastAsia="zh-CN" w:bidi="ar-SA"/>
                    </w:rPr>
                    <w:t>较敏感 F2</w:t>
                  </w:r>
                </w:p>
              </w:tc>
              <w:tc>
                <w:tcPr>
                  <w:tcW w:w="7844" w:type="dxa"/>
                  <w:tcBorders>
                    <w:tl2br w:val="nil"/>
                    <w:tr2bl w:val="nil"/>
                  </w:tcBorders>
                  <w:noWrap w:val="0"/>
                  <w:vAlign w:val="top"/>
                </w:tcPr>
                <w:p>
                  <w:pPr>
                    <w:keepNext w:val="0"/>
                    <w:keepLines w:val="0"/>
                    <w:widowControl/>
                    <w:suppressLineNumbers w:val="0"/>
                    <w:jc w:val="left"/>
                    <w:rPr>
                      <w:rFonts w:hint="default" w:ascii="Times New Roman" w:hAnsi="Times New Roman" w:eastAsia="宋体" w:cs="Times New Roman"/>
                      <w:color w:val="auto"/>
                      <w:sz w:val="21"/>
                      <w:szCs w:val="22"/>
                      <w:lang w:val="en-US" w:eastAsia="zh-CN" w:bidi="ar-SA"/>
                    </w:rPr>
                  </w:pPr>
                  <w:r>
                    <w:rPr>
                      <w:rFonts w:hint="default" w:ascii="Times New Roman" w:hAnsi="Times New Roman" w:eastAsia="宋体" w:cs="Times New Roman"/>
                      <w:color w:val="auto"/>
                      <w:sz w:val="21"/>
                      <w:szCs w:val="22"/>
                      <w:lang w:val="en-US" w:eastAsia="zh-CN" w:bidi="ar-SA"/>
                    </w:rPr>
                    <w:t>排放点进入地表水水域功能为Ⅲ类，或海水水质分类第二类；或以发生事故时，危险物质泄漏到水体的排放点算起，排放进入受纳河流最大流速时，24h 流经范围内涉跨省界的。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248" w:type="dxa"/>
                  <w:tcBorders>
                    <w:tl2br w:val="nil"/>
                    <w:tr2bl w:val="nil"/>
                  </w:tcBorders>
                  <w:noWrap w:val="0"/>
                  <w:vAlign w:val="top"/>
                </w:tcPr>
                <w:p>
                  <w:pPr>
                    <w:keepNext w:val="0"/>
                    <w:keepLines w:val="0"/>
                    <w:widowControl/>
                    <w:suppressLineNumbers w:val="0"/>
                    <w:jc w:val="left"/>
                    <w:rPr>
                      <w:rFonts w:hint="default" w:ascii="Times New Roman" w:hAnsi="Times New Roman" w:eastAsia="宋体" w:cs="Times New Roman"/>
                      <w:color w:val="auto"/>
                      <w:sz w:val="21"/>
                      <w:szCs w:val="22"/>
                      <w:lang w:val="en-US" w:eastAsia="zh-CN" w:bidi="ar-SA"/>
                    </w:rPr>
                  </w:pPr>
                  <w:r>
                    <w:rPr>
                      <w:rFonts w:hint="default" w:ascii="Times New Roman" w:hAnsi="Times New Roman" w:eastAsia="宋体" w:cs="Times New Roman"/>
                      <w:color w:val="auto"/>
                      <w:sz w:val="21"/>
                      <w:szCs w:val="22"/>
                      <w:lang w:val="en-US" w:eastAsia="zh-CN" w:bidi="ar-SA"/>
                    </w:rPr>
                    <w:t>低敏感 F3</w:t>
                  </w:r>
                </w:p>
              </w:tc>
              <w:tc>
                <w:tcPr>
                  <w:tcW w:w="7844" w:type="dxa"/>
                  <w:tcBorders>
                    <w:tl2br w:val="nil"/>
                    <w:tr2bl w:val="nil"/>
                  </w:tcBorders>
                  <w:noWrap w:val="0"/>
                  <w:vAlign w:val="top"/>
                </w:tcPr>
                <w:p>
                  <w:pPr>
                    <w:keepNext w:val="0"/>
                    <w:keepLines w:val="0"/>
                    <w:widowControl/>
                    <w:suppressLineNumbers w:val="0"/>
                    <w:jc w:val="left"/>
                    <w:rPr>
                      <w:rFonts w:hint="default" w:ascii="Times New Roman" w:hAnsi="Times New Roman" w:eastAsia="宋体" w:cs="Times New Roman"/>
                      <w:color w:val="auto"/>
                      <w:sz w:val="21"/>
                      <w:szCs w:val="22"/>
                      <w:lang w:val="en-US" w:eastAsia="zh-CN" w:bidi="ar-SA"/>
                    </w:rPr>
                  </w:pPr>
                  <w:r>
                    <w:rPr>
                      <w:rFonts w:hint="default" w:ascii="Times New Roman" w:hAnsi="Times New Roman" w:eastAsia="宋体" w:cs="Times New Roman"/>
                      <w:color w:val="auto"/>
                      <w:sz w:val="21"/>
                      <w:szCs w:val="22"/>
                      <w:lang w:val="en-US" w:eastAsia="zh-CN" w:bidi="ar-SA"/>
                    </w:rPr>
                    <w:t>上述地区之外其他地区</w:t>
                  </w:r>
                </w:p>
              </w:tc>
            </w:tr>
          </w:tbl>
          <w:p>
            <w:pPr>
              <w:keepNext w:val="0"/>
              <w:keepLines w:val="0"/>
              <w:widowControl/>
              <w:suppressLineNumbers w:val="0"/>
              <w:jc w:val="center"/>
              <w:rPr>
                <w:rFonts w:hint="default" w:ascii="Times New Roman" w:hAnsi="Times New Roman" w:eastAsia="宋体" w:cs="Times New Roman"/>
                <w:b/>
                <w:color w:val="auto"/>
                <w:kern w:val="0"/>
                <w:sz w:val="24"/>
                <w:szCs w:val="24"/>
                <w:lang w:val="en-US" w:eastAsia="zh-CN" w:bidi="ar"/>
              </w:rPr>
            </w:pPr>
            <w:r>
              <w:rPr>
                <w:rFonts w:hint="default" w:ascii="Times New Roman" w:hAnsi="Times New Roman" w:eastAsia="宋体" w:cs="Times New Roman"/>
                <w:b/>
                <w:color w:val="auto"/>
                <w:kern w:val="0"/>
                <w:sz w:val="24"/>
                <w:szCs w:val="24"/>
                <w:lang w:val="en-US" w:eastAsia="zh-CN" w:bidi="ar"/>
              </w:rPr>
              <w:t>表 7-23 环境敏感目标分级</w:t>
            </w:r>
          </w:p>
          <w:tbl>
            <w:tblPr>
              <w:tblStyle w:val="33"/>
              <w:tblW w:w="9675" w:type="dxa"/>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83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361"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分级</w:t>
                  </w:r>
                </w:p>
              </w:tc>
              <w:tc>
                <w:tcPr>
                  <w:tcW w:w="8314"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地表水环境敏感特征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0" w:hRule="atLeast"/>
              </w:trPr>
              <w:tc>
                <w:tcPr>
                  <w:tcW w:w="1361" w:type="dxa"/>
                  <w:tcBorders>
                    <w:tl2br w:val="nil"/>
                    <w:tr2bl w:val="nil"/>
                  </w:tcBorders>
                  <w:noWrap w:val="0"/>
                  <w:vAlign w:val="top"/>
                </w:tcPr>
                <w:p>
                  <w:pPr>
                    <w:pStyle w:val="118"/>
                    <w:kinsoku w:val="0"/>
                    <w:overflowPunct w:val="0"/>
                    <w:spacing w:before="105" w:line="271" w:lineRule="auto"/>
                    <w:ind w:left="106" w:right="69"/>
                    <w:jc w:val="left"/>
                    <w:rPr>
                      <w:rFonts w:hint="default" w:ascii="Times New Roman" w:hAnsi="Times New Roman" w:eastAsia="宋体" w:cs="Times New Roman"/>
                      <w:color w:val="auto"/>
                      <w:sz w:val="21"/>
                      <w:szCs w:val="22"/>
                    </w:rPr>
                  </w:pPr>
                </w:p>
                <w:p>
                  <w:pPr>
                    <w:pStyle w:val="118"/>
                    <w:kinsoku w:val="0"/>
                    <w:overflowPunct w:val="0"/>
                    <w:spacing w:before="105" w:line="271" w:lineRule="auto"/>
                    <w:ind w:left="106" w:right="69"/>
                    <w:jc w:val="left"/>
                    <w:rPr>
                      <w:rFonts w:hint="default" w:ascii="Times New Roman" w:hAnsi="Times New Roman" w:eastAsia="宋体" w:cs="Times New Roman"/>
                      <w:color w:val="auto"/>
                      <w:sz w:val="21"/>
                      <w:szCs w:val="22"/>
                    </w:rPr>
                  </w:pPr>
                </w:p>
                <w:p>
                  <w:pPr>
                    <w:pStyle w:val="118"/>
                    <w:kinsoku w:val="0"/>
                    <w:overflowPunct w:val="0"/>
                    <w:spacing w:before="105" w:line="271" w:lineRule="auto"/>
                    <w:ind w:left="106" w:right="69"/>
                    <w:jc w:val="left"/>
                    <w:rPr>
                      <w:rFonts w:hint="default" w:ascii="Times New Roman" w:hAnsi="Times New Roman" w:eastAsia="宋体" w:cs="Times New Roman"/>
                      <w:color w:val="auto"/>
                      <w:sz w:val="21"/>
                      <w:szCs w:val="22"/>
                    </w:rPr>
                  </w:pPr>
                </w:p>
                <w:p>
                  <w:pPr>
                    <w:pStyle w:val="118"/>
                    <w:kinsoku w:val="0"/>
                    <w:overflowPunct w:val="0"/>
                    <w:spacing w:before="105" w:line="271" w:lineRule="auto"/>
                    <w:ind w:left="106" w:right="69"/>
                    <w:jc w:val="left"/>
                    <w:rPr>
                      <w:rFonts w:hint="default" w:ascii="Times New Roman" w:hAnsi="Times New Roman" w:eastAsia="宋体" w:cs="Times New Roman"/>
                      <w:color w:val="auto"/>
                      <w:sz w:val="21"/>
                      <w:szCs w:val="22"/>
                    </w:rPr>
                  </w:pPr>
                </w:p>
                <w:p>
                  <w:pPr>
                    <w:pStyle w:val="118"/>
                    <w:kinsoku w:val="0"/>
                    <w:overflowPunct w:val="0"/>
                    <w:spacing w:before="105" w:line="271" w:lineRule="auto"/>
                    <w:ind w:left="106" w:right="69"/>
                    <w:jc w:val="left"/>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S1</w:t>
                  </w:r>
                </w:p>
              </w:tc>
              <w:tc>
                <w:tcPr>
                  <w:tcW w:w="8314" w:type="dxa"/>
                  <w:tcBorders>
                    <w:tl2br w:val="nil"/>
                    <w:tr2bl w:val="nil"/>
                  </w:tcBorders>
                  <w:noWrap w:val="0"/>
                  <w:vAlign w:val="top"/>
                </w:tcPr>
                <w:p>
                  <w:pPr>
                    <w:pStyle w:val="118"/>
                    <w:kinsoku w:val="0"/>
                    <w:overflowPunct w:val="0"/>
                    <w:spacing w:before="105" w:line="271" w:lineRule="auto"/>
                    <w:ind w:left="106" w:right="69"/>
                    <w:jc w:val="left"/>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发生事故时，危险物质泄漏到内陆水体的排放点下游（顺水流向）10km 内、近岸海域一个潮周期水质点可能达到的最大水平距离的两倍范围内，如有下一类或多类环境风险受体：集中式地表水饮用水水源保护区（包括一级保护区、二级保护区和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 海洋特别保护区；海上自然保护区；盐场保护区；海水浴场；海洋自然历史遗迹；风景名胜区；或其他特殊重要保护区域。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0" w:hRule="atLeast"/>
              </w:trPr>
              <w:tc>
                <w:tcPr>
                  <w:tcW w:w="1361" w:type="dxa"/>
                  <w:tcBorders>
                    <w:tl2br w:val="nil"/>
                    <w:tr2bl w:val="nil"/>
                  </w:tcBorders>
                  <w:noWrap w:val="0"/>
                  <w:vAlign w:val="top"/>
                </w:tcPr>
                <w:p>
                  <w:pPr>
                    <w:pStyle w:val="118"/>
                    <w:kinsoku w:val="0"/>
                    <w:overflowPunct w:val="0"/>
                    <w:spacing w:before="105" w:line="271" w:lineRule="auto"/>
                    <w:ind w:left="106" w:right="69"/>
                    <w:jc w:val="left"/>
                    <w:rPr>
                      <w:rFonts w:hint="default" w:ascii="Times New Roman" w:hAnsi="Times New Roman" w:eastAsia="宋体" w:cs="Times New Roman"/>
                      <w:color w:val="auto"/>
                      <w:sz w:val="21"/>
                      <w:szCs w:val="22"/>
                    </w:rPr>
                  </w:pPr>
                </w:p>
                <w:p>
                  <w:pPr>
                    <w:pStyle w:val="118"/>
                    <w:kinsoku w:val="0"/>
                    <w:overflowPunct w:val="0"/>
                    <w:spacing w:before="105" w:line="271" w:lineRule="auto"/>
                    <w:ind w:left="106" w:right="69"/>
                    <w:jc w:val="left"/>
                    <w:rPr>
                      <w:rFonts w:hint="default" w:ascii="Times New Roman" w:hAnsi="Times New Roman" w:eastAsia="宋体" w:cs="Times New Roman"/>
                      <w:color w:val="auto"/>
                      <w:sz w:val="21"/>
                      <w:szCs w:val="22"/>
                    </w:rPr>
                  </w:pPr>
                </w:p>
                <w:p>
                  <w:pPr>
                    <w:pStyle w:val="118"/>
                    <w:kinsoku w:val="0"/>
                    <w:overflowPunct w:val="0"/>
                    <w:spacing w:before="105" w:line="271" w:lineRule="auto"/>
                    <w:ind w:left="106" w:right="69"/>
                    <w:jc w:val="left"/>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S2</w:t>
                  </w:r>
                </w:p>
              </w:tc>
              <w:tc>
                <w:tcPr>
                  <w:tcW w:w="8314" w:type="dxa"/>
                  <w:tcBorders>
                    <w:tl2br w:val="nil"/>
                    <w:tr2bl w:val="nil"/>
                  </w:tcBorders>
                  <w:noWrap w:val="0"/>
                  <w:vAlign w:val="top"/>
                </w:tcPr>
                <w:p>
                  <w:pPr>
                    <w:pStyle w:val="118"/>
                    <w:kinsoku w:val="0"/>
                    <w:overflowPunct w:val="0"/>
                    <w:spacing w:before="105" w:line="271" w:lineRule="auto"/>
                    <w:ind w:left="106" w:right="69"/>
                    <w:jc w:val="left"/>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发生事故时，危险物质泄露到内陆水体的排放点下游（顺水流向）10km 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1361" w:type="dxa"/>
                  <w:tcBorders>
                    <w:tl2br w:val="nil"/>
                    <w:tr2bl w:val="nil"/>
                  </w:tcBorders>
                  <w:noWrap w:val="0"/>
                  <w:vAlign w:val="top"/>
                </w:tcPr>
                <w:p>
                  <w:pPr>
                    <w:pStyle w:val="118"/>
                    <w:kinsoku w:val="0"/>
                    <w:overflowPunct w:val="0"/>
                    <w:spacing w:before="105" w:line="271" w:lineRule="auto"/>
                    <w:ind w:left="106" w:right="69"/>
                    <w:jc w:val="left"/>
                    <w:rPr>
                      <w:rFonts w:hint="default" w:ascii="Times New Roman" w:hAnsi="Times New Roman" w:eastAsia="宋体" w:cs="Times New Roman"/>
                      <w:color w:val="auto"/>
                      <w:sz w:val="21"/>
                      <w:szCs w:val="22"/>
                    </w:rPr>
                  </w:pPr>
                </w:p>
                <w:p>
                  <w:pPr>
                    <w:pStyle w:val="118"/>
                    <w:kinsoku w:val="0"/>
                    <w:overflowPunct w:val="0"/>
                    <w:spacing w:before="105" w:line="271" w:lineRule="auto"/>
                    <w:ind w:left="106" w:right="69"/>
                    <w:jc w:val="left"/>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S3</w:t>
                  </w:r>
                </w:p>
              </w:tc>
              <w:tc>
                <w:tcPr>
                  <w:tcW w:w="8314" w:type="dxa"/>
                  <w:tcBorders>
                    <w:tl2br w:val="nil"/>
                    <w:tr2bl w:val="nil"/>
                  </w:tcBorders>
                  <w:noWrap w:val="0"/>
                  <w:vAlign w:val="top"/>
                </w:tcPr>
                <w:p>
                  <w:pPr>
                    <w:pStyle w:val="118"/>
                    <w:kinsoku w:val="0"/>
                    <w:overflowPunct w:val="0"/>
                    <w:spacing w:before="105" w:line="271" w:lineRule="auto"/>
                    <w:ind w:left="106" w:right="69"/>
                    <w:jc w:val="left"/>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排放点下游（顺水流向）10km 范围、近岸海域一个潮周期水质点可能达到的最大水平距离的两倍范围内无上述类型 1 和类型 2 包括的敏感保护目标</w:t>
                  </w:r>
                </w:p>
              </w:tc>
            </w:tr>
          </w:tbl>
          <w:p>
            <w:pPr>
              <w:spacing w:line="500" w:lineRule="exact"/>
              <w:ind w:firstLine="480"/>
              <w:rPr>
                <w:rFonts w:hint="default" w:ascii="Times New Roman" w:hAnsi="Times New Roman" w:eastAsia="宋体" w:cs="Times New Roman"/>
                <w:color w:val="auto"/>
                <w:spacing w:val="-2"/>
                <w:sz w:val="24"/>
                <w:szCs w:val="22"/>
                <w:lang w:val="en-US" w:eastAsia="zh-CN" w:bidi="ar-SA"/>
              </w:rPr>
            </w:pPr>
            <w:r>
              <w:rPr>
                <w:rFonts w:hint="default" w:ascii="Times New Roman" w:hAnsi="Times New Roman" w:eastAsia="宋体" w:cs="Times New Roman"/>
                <w:color w:val="auto"/>
                <w:spacing w:val="-2"/>
                <w:sz w:val="24"/>
                <w:szCs w:val="22"/>
                <w:lang w:val="en-US" w:eastAsia="zh-CN" w:bidi="ar-SA"/>
              </w:rPr>
              <w:t>本项目</w:t>
            </w:r>
            <w:r>
              <w:rPr>
                <w:rFonts w:hint="default" w:ascii="Times New Roman" w:hAnsi="Times New Roman" w:cs="Times New Roman"/>
                <w:color w:val="auto"/>
                <w:spacing w:val="-2"/>
                <w:sz w:val="24"/>
                <w:szCs w:val="22"/>
                <w:lang w:val="en-US" w:eastAsia="zh-CN" w:bidi="ar-SA"/>
              </w:rPr>
              <w:t>处理后的废水拉运至同江洁源污水处理厂</w:t>
            </w:r>
            <w:r>
              <w:rPr>
                <w:rFonts w:hint="default" w:ascii="Times New Roman" w:hAnsi="Times New Roman" w:eastAsia="宋体" w:cs="Times New Roman"/>
                <w:color w:val="auto"/>
                <w:spacing w:val="-2"/>
                <w:sz w:val="24"/>
                <w:szCs w:val="22"/>
                <w:lang w:val="en-US" w:eastAsia="zh-CN" w:bidi="ar-SA"/>
              </w:rPr>
              <w:t>，</w:t>
            </w:r>
            <w:r>
              <w:rPr>
                <w:rFonts w:hint="eastAsia" w:cs="Times New Roman"/>
                <w:color w:val="auto"/>
                <w:spacing w:val="-2"/>
                <w:sz w:val="24"/>
                <w:szCs w:val="22"/>
                <w:lang w:val="en-US" w:eastAsia="zh-CN" w:bidi="ar-SA"/>
              </w:rPr>
              <w:t>厂区现有9100m</w:t>
            </w:r>
            <w:r>
              <w:rPr>
                <w:rFonts w:hint="eastAsia" w:cs="Times New Roman"/>
                <w:color w:val="auto"/>
                <w:spacing w:val="-2"/>
                <w:sz w:val="24"/>
                <w:szCs w:val="22"/>
                <w:vertAlign w:val="superscript"/>
                <w:lang w:val="en-US" w:eastAsia="zh-CN" w:bidi="ar-SA"/>
              </w:rPr>
              <w:t>3</w:t>
            </w:r>
            <w:r>
              <w:rPr>
                <w:rFonts w:hint="eastAsia" w:cs="Times New Roman"/>
                <w:color w:val="auto"/>
                <w:spacing w:val="-2"/>
                <w:sz w:val="24"/>
                <w:szCs w:val="22"/>
                <w:lang w:val="en-US" w:eastAsia="zh-CN" w:bidi="ar-SA"/>
              </w:rPr>
              <w:t>调节池，原有垃圾渗滤液处理车间作为备用车间处理能力50m</w:t>
            </w:r>
            <w:r>
              <w:rPr>
                <w:rFonts w:hint="eastAsia" w:cs="Times New Roman"/>
                <w:color w:val="auto"/>
                <w:spacing w:val="-2"/>
                <w:sz w:val="24"/>
                <w:szCs w:val="22"/>
                <w:vertAlign w:val="superscript"/>
                <w:lang w:val="en-US" w:eastAsia="zh-CN" w:bidi="ar-SA"/>
              </w:rPr>
              <w:t>3</w:t>
            </w:r>
            <w:r>
              <w:rPr>
                <w:rFonts w:hint="eastAsia" w:cs="Times New Roman"/>
                <w:color w:val="auto"/>
                <w:spacing w:val="-2"/>
                <w:sz w:val="24"/>
                <w:szCs w:val="22"/>
                <w:lang w:val="en-US" w:eastAsia="zh-CN" w:bidi="ar-SA"/>
              </w:rPr>
              <w:t>/d，同时厂区设有垃圾渗滤液回灌系统，能够切实保证事故状态下废水不外排。</w:t>
            </w:r>
            <w:r>
              <w:rPr>
                <w:rFonts w:hint="default" w:ascii="Times New Roman" w:hAnsi="Times New Roman" w:eastAsia="宋体" w:cs="Times New Roman"/>
                <w:color w:val="auto"/>
                <w:spacing w:val="-2"/>
                <w:sz w:val="24"/>
                <w:szCs w:val="22"/>
                <w:lang w:val="en-US" w:eastAsia="zh-CN" w:bidi="ar-SA"/>
              </w:rPr>
              <w:t>废水</w:t>
            </w:r>
            <w:r>
              <w:rPr>
                <w:rFonts w:hint="default" w:ascii="Times New Roman" w:hAnsi="Times New Roman" w:cs="Times New Roman"/>
                <w:color w:val="auto"/>
                <w:spacing w:val="-2"/>
                <w:sz w:val="24"/>
                <w:szCs w:val="22"/>
                <w:lang w:val="en-US" w:eastAsia="zh-CN" w:bidi="ar-SA"/>
              </w:rPr>
              <w:t>事故排放不直接排入地表水域，拉运至同江洁源污水处理厂</w:t>
            </w:r>
            <w:r>
              <w:rPr>
                <w:rFonts w:hint="default" w:ascii="Times New Roman" w:hAnsi="Times New Roman" w:eastAsia="宋体" w:cs="Times New Roman"/>
                <w:color w:val="auto"/>
                <w:spacing w:val="-2"/>
                <w:sz w:val="24"/>
                <w:szCs w:val="22"/>
                <w:lang w:val="en-US" w:eastAsia="zh-CN" w:bidi="ar-SA"/>
              </w:rPr>
              <w:t>，</w:t>
            </w:r>
            <w:r>
              <w:rPr>
                <w:rFonts w:hint="default" w:ascii="Times New Roman" w:hAnsi="Times New Roman" w:cs="Times New Roman"/>
                <w:color w:val="auto"/>
                <w:spacing w:val="-2"/>
                <w:sz w:val="24"/>
                <w:szCs w:val="22"/>
                <w:lang w:val="en-US" w:eastAsia="zh-CN" w:bidi="ar-SA"/>
              </w:rPr>
              <w:t>经同江市洁源污水处理厂处理后排放，</w:t>
            </w:r>
            <w:r>
              <w:rPr>
                <w:rFonts w:hint="default" w:ascii="Times New Roman" w:hAnsi="Times New Roman" w:cs="Times New Roman"/>
                <w:color w:val="auto"/>
                <w:spacing w:val="-12"/>
                <w:sz w:val="24"/>
              </w:rPr>
              <w:t xml:space="preserve">因此地表水环境功能敏感程度分级按低敏感 </w:t>
            </w:r>
            <w:r>
              <w:rPr>
                <w:rFonts w:hint="default" w:ascii="Times New Roman" w:hAnsi="Times New Roman" w:eastAsia="Times New Roman" w:cs="Times New Roman"/>
                <w:color w:val="auto"/>
                <w:sz w:val="24"/>
              </w:rPr>
              <w:t>F3</w:t>
            </w:r>
            <w:r>
              <w:rPr>
                <w:rFonts w:hint="default" w:ascii="Times New Roman" w:hAnsi="Times New Roman" w:eastAsia="Times New Roman" w:cs="Times New Roman"/>
                <w:color w:val="auto"/>
                <w:spacing w:val="-1"/>
                <w:sz w:val="24"/>
              </w:rPr>
              <w:t xml:space="preserve"> </w:t>
            </w:r>
            <w:r>
              <w:rPr>
                <w:rFonts w:hint="default" w:ascii="Times New Roman" w:hAnsi="Times New Roman" w:cs="Times New Roman"/>
                <w:color w:val="auto"/>
                <w:spacing w:val="-18"/>
                <w:sz w:val="24"/>
              </w:rPr>
              <w:t>型</w:t>
            </w:r>
            <w:r>
              <w:rPr>
                <w:rFonts w:hint="default" w:ascii="Times New Roman" w:hAnsi="Times New Roman" w:cs="Times New Roman"/>
                <w:color w:val="auto"/>
                <w:spacing w:val="-18"/>
                <w:sz w:val="24"/>
                <w:lang w:eastAsia="zh-CN"/>
              </w:rPr>
              <w:t>。</w:t>
            </w:r>
            <w:r>
              <w:rPr>
                <w:rFonts w:hint="default" w:ascii="Times New Roman" w:hAnsi="Times New Roman" w:cs="Times New Roman"/>
                <w:color w:val="auto"/>
                <w:spacing w:val="-18"/>
                <w:sz w:val="24"/>
              </w:rPr>
              <w:t xml:space="preserve">发生事故时，排放点下游 </w:t>
            </w:r>
            <w:r>
              <w:rPr>
                <w:rFonts w:hint="default" w:ascii="Times New Roman" w:hAnsi="Times New Roman" w:eastAsia="宋体" w:cs="Times New Roman"/>
                <w:color w:val="auto"/>
                <w:sz w:val="24"/>
                <w:lang w:val="en-US" w:eastAsia="zh-CN"/>
              </w:rPr>
              <w:t>1</w:t>
            </w:r>
            <w:r>
              <w:rPr>
                <w:rFonts w:hint="default" w:ascii="Times New Roman" w:hAnsi="Times New Roman" w:eastAsia="Times New Roman" w:cs="Times New Roman"/>
                <w:color w:val="auto"/>
                <w:sz w:val="24"/>
              </w:rPr>
              <w:t>0km</w:t>
            </w:r>
            <w:r>
              <w:rPr>
                <w:rFonts w:hint="default" w:ascii="Times New Roman" w:hAnsi="Times New Roman" w:cs="Times New Roman"/>
                <w:color w:val="auto"/>
                <w:spacing w:val="-8"/>
                <w:sz w:val="24"/>
              </w:rPr>
              <w:t xml:space="preserve">范围内无上表中 </w:t>
            </w:r>
            <w:r>
              <w:rPr>
                <w:rFonts w:hint="default" w:ascii="Times New Roman" w:hAnsi="Times New Roman" w:eastAsia="Times New Roman" w:cs="Times New Roman"/>
                <w:color w:val="auto"/>
                <w:sz w:val="24"/>
              </w:rPr>
              <w:t>S1</w:t>
            </w:r>
            <w:r>
              <w:rPr>
                <w:rFonts w:hint="default" w:ascii="Times New Roman" w:hAnsi="Times New Roman" w:cs="Times New Roman"/>
                <w:color w:val="auto"/>
                <w:spacing w:val="-27"/>
                <w:sz w:val="24"/>
              </w:rPr>
              <w:t>、</w:t>
            </w:r>
            <w:r>
              <w:rPr>
                <w:rFonts w:hint="default" w:ascii="Times New Roman" w:hAnsi="Times New Roman" w:eastAsia="Times New Roman" w:cs="Times New Roman"/>
                <w:color w:val="auto"/>
                <w:sz w:val="24"/>
              </w:rPr>
              <w:t>S2</w:t>
            </w:r>
            <w:r>
              <w:rPr>
                <w:rFonts w:hint="default" w:ascii="Times New Roman" w:hAnsi="Times New Roman" w:eastAsia="Times New Roman" w:cs="Times New Roman"/>
                <w:color w:val="auto"/>
                <w:spacing w:val="-4"/>
                <w:sz w:val="24"/>
              </w:rPr>
              <w:t xml:space="preserve"> </w:t>
            </w:r>
            <w:r>
              <w:rPr>
                <w:rFonts w:hint="default" w:ascii="Times New Roman" w:hAnsi="Times New Roman" w:cs="Times New Roman"/>
                <w:color w:val="auto"/>
                <w:spacing w:val="-5"/>
                <w:sz w:val="24"/>
              </w:rPr>
              <w:t xml:space="preserve">分级所列地表水环境保护目标分布，因此环境敏感目标分级属于 </w:t>
            </w:r>
            <w:r>
              <w:rPr>
                <w:rFonts w:hint="default" w:ascii="Times New Roman" w:hAnsi="Times New Roman" w:eastAsia="Times New Roman" w:cs="Times New Roman"/>
                <w:color w:val="auto"/>
                <w:sz w:val="24"/>
              </w:rPr>
              <w:t>S3</w:t>
            </w:r>
            <w:r>
              <w:rPr>
                <w:rFonts w:hint="default" w:ascii="Times New Roman" w:hAnsi="Times New Roman" w:eastAsia="宋体" w:cs="Times New Roman"/>
                <w:color w:val="auto"/>
                <w:sz w:val="24"/>
                <w:lang w:eastAsia="zh-CN"/>
              </w:rPr>
              <w:t>，</w:t>
            </w:r>
            <w:r>
              <w:rPr>
                <w:rFonts w:hint="default" w:ascii="Times New Roman" w:hAnsi="Times New Roman" w:eastAsia="Times New Roman" w:cs="Times New Roman"/>
                <w:color w:val="auto"/>
                <w:sz w:val="24"/>
              </w:rPr>
              <w:t xml:space="preserve"> </w:t>
            </w:r>
            <w:r>
              <w:rPr>
                <w:rFonts w:hint="default" w:ascii="Times New Roman" w:hAnsi="Times New Roman" w:cs="Times New Roman"/>
                <w:color w:val="auto"/>
                <w:spacing w:val="-16"/>
                <w:sz w:val="24"/>
              </w:rPr>
              <w:t xml:space="preserve">根据表 </w:t>
            </w:r>
            <w:r>
              <w:rPr>
                <w:rFonts w:hint="default" w:ascii="Times New Roman" w:hAnsi="Times New Roman" w:eastAsia="Times New Roman" w:cs="Times New Roman"/>
                <w:color w:val="auto"/>
                <w:sz w:val="24"/>
              </w:rPr>
              <w:t>7-2</w:t>
            </w:r>
            <w:r>
              <w:rPr>
                <w:rFonts w:hint="default" w:ascii="Times New Roman" w:hAnsi="Times New Roman" w:eastAsia="宋体" w:cs="Times New Roman"/>
                <w:color w:val="auto"/>
                <w:sz w:val="24"/>
                <w:lang w:val="en-US" w:eastAsia="zh-CN"/>
              </w:rPr>
              <w:t>2</w:t>
            </w:r>
            <w:r>
              <w:rPr>
                <w:rFonts w:hint="default" w:ascii="Times New Roman" w:hAnsi="Times New Roman" w:cs="Times New Roman"/>
                <w:color w:val="auto"/>
                <w:spacing w:val="-4"/>
                <w:sz w:val="24"/>
              </w:rPr>
              <w:t xml:space="preserve">，项目地表水环境敏感程度分级属于 </w:t>
            </w:r>
            <w:r>
              <w:rPr>
                <w:rFonts w:hint="default" w:ascii="Times New Roman" w:hAnsi="Times New Roman" w:eastAsia="Times New Roman" w:cs="Times New Roman"/>
                <w:color w:val="auto"/>
                <w:sz w:val="24"/>
              </w:rPr>
              <w:t>E3</w:t>
            </w:r>
            <w:r>
              <w:rPr>
                <w:rFonts w:hint="default" w:ascii="Times New Roman" w:hAnsi="Times New Roman" w:eastAsia="Times New Roman" w:cs="Times New Roman"/>
                <w:color w:val="auto"/>
                <w:spacing w:val="-1"/>
                <w:sz w:val="24"/>
              </w:rPr>
              <w:t xml:space="preserve"> </w:t>
            </w:r>
            <w:r>
              <w:rPr>
                <w:rFonts w:hint="default" w:ascii="Times New Roman" w:hAnsi="Times New Roman" w:cs="Times New Roman"/>
                <w:color w:val="auto"/>
                <w:sz w:val="24"/>
              </w:rPr>
              <w:t>环境低度敏感区。</w:t>
            </w:r>
          </w:p>
          <w:p>
            <w:pPr>
              <w:pStyle w:val="118"/>
              <w:keepNext w:val="0"/>
              <w:keepLines w:val="0"/>
              <w:pageBreakBefore w:val="0"/>
              <w:widowControl w:val="0"/>
              <w:kinsoku w:val="0"/>
              <w:wordWrap/>
              <w:overflowPunct w:val="0"/>
              <w:topLinePunct w:val="0"/>
              <w:bidi w:val="0"/>
              <w:adjustRightInd w:val="0"/>
              <w:snapToGrid w:val="0"/>
              <w:spacing w:line="360" w:lineRule="auto"/>
              <w:ind w:right="0" w:firstLine="482"/>
              <w:jc w:val="both"/>
              <w:rPr>
                <w:rFonts w:hint="default" w:ascii="Times New Roman" w:hAnsi="Times New Roman" w:eastAsia="宋体" w:cs="Times New Roman"/>
                <w:color w:val="auto"/>
                <w:spacing w:val="-2"/>
                <w:sz w:val="24"/>
                <w:szCs w:val="22"/>
                <w:lang w:val="en-US" w:eastAsia="zh-CN" w:bidi="ar-SA"/>
              </w:rPr>
            </w:pPr>
            <w:r>
              <w:rPr>
                <w:rFonts w:hint="default" w:ascii="Times New Roman" w:hAnsi="Times New Roman" w:eastAsia="宋体" w:cs="Times New Roman"/>
                <w:color w:val="auto"/>
                <w:spacing w:val="-2"/>
                <w:sz w:val="24"/>
                <w:szCs w:val="22"/>
                <w:lang w:val="en-US" w:eastAsia="zh-CN" w:bidi="ar-SA"/>
              </w:rPr>
              <w:t>B.地下水环境敏感程度分级</w:t>
            </w:r>
          </w:p>
          <w:p>
            <w:pPr>
              <w:pStyle w:val="118"/>
              <w:keepNext w:val="0"/>
              <w:keepLines w:val="0"/>
              <w:pageBreakBefore w:val="0"/>
              <w:widowControl w:val="0"/>
              <w:kinsoku w:val="0"/>
              <w:wordWrap/>
              <w:overflowPunct w:val="0"/>
              <w:topLinePunct w:val="0"/>
              <w:bidi w:val="0"/>
              <w:adjustRightInd w:val="0"/>
              <w:snapToGrid w:val="0"/>
              <w:spacing w:line="360" w:lineRule="auto"/>
              <w:ind w:right="0" w:firstLine="482"/>
              <w:jc w:val="both"/>
              <w:rPr>
                <w:rFonts w:hint="default" w:ascii="Times New Roman" w:hAnsi="Times New Roman" w:eastAsia="宋体" w:cs="Times New Roman"/>
                <w:color w:val="auto"/>
                <w:spacing w:val="-2"/>
                <w:sz w:val="24"/>
                <w:szCs w:val="22"/>
                <w:lang w:val="en-US" w:eastAsia="zh-CN" w:bidi="ar-SA"/>
              </w:rPr>
            </w:pPr>
            <w:r>
              <w:rPr>
                <w:rFonts w:hint="default" w:ascii="Times New Roman" w:hAnsi="Times New Roman" w:eastAsia="宋体" w:cs="Times New Roman"/>
                <w:color w:val="auto"/>
                <w:spacing w:val="-2"/>
                <w:sz w:val="24"/>
                <w:szCs w:val="22"/>
                <w:lang w:val="en-US" w:eastAsia="zh-CN" w:bidi="ar-SA"/>
              </w:rPr>
              <w:t>地下水环境敏感程度分级依据地下水功能敏感性与包气带防污性功能，划分地下水环境敏感程度，分级依据如下</w:t>
            </w:r>
          </w:p>
          <w:p>
            <w:pPr>
              <w:keepNext w:val="0"/>
              <w:keepLines w:val="0"/>
              <w:widowControl/>
              <w:suppressLineNumbers w:val="0"/>
              <w:jc w:val="center"/>
              <w:rPr>
                <w:rFonts w:hint="default" w:ascii="Times New Roman" w:hAnsi="Times New Roman" w:eastAsia="宋体" w:cs="Times New Roman"/>
                <w:b/>
                <w:color w:val="auto"/>
                <w:kern w:val="0"/>
                <w:sz w:val="24"/>
                <w:szCs w:val="24"/>
                <w:lang w:val="en-US" w:eastAsia="zh-CN" w:bidi="ar"/>
              </w:rPr>
            </w:pPr>
            <w:r>
              <w:rPr>
                <w:rFonts w:hint="default" w:ascii="Times New Roman" w:hAnsi="Times New Roman" w:eastAsia="宋体" w:cs="Times New Roman"/>
                <w:b/>
                <w:color w:val="auto"/>
                <w:kern w:val="0"/>
                <w:sz w:val="24"/>
                <w:szCs w:val="24"/>
                <w:lang w:val="en-US" w:eastAsia="zh-CN" w:bidi="ar"/>
              </w:rPr>
              <w:t>表 7-2</w:t>
            </w:r>
            <w:r>
              <w:rPr>
                <w:rFonts w:hint="default" w:ascii="Times New Roman" w:hAnsi="Times New Roman" w:cs="Times New Roman"/>
                <w:b/>
                <w:color w:val="auto"/>
                <w:kern w:val="0"/>
                <w:sz w:val="24"/>
                <w:szCs w:val="24"/>
                <w:lang w:val="en-US" w:eastAsia="zh-CN" w:bidi="ar"/>
              </w:rPr>
              <w:t>4</w:t>
            </w:r>
            <w:r>
              <w:rPr>
                <w:rFonts w:hint="default" w:ascii="Times New Roman" w:hAnsi="Times New Roman" w:eastAsia="宋体" w:cs="Times New Roman"/>
                <w:b/>
                <w:color w:val="auto"/>
                <w:kern w:val="0"/>
                <w:sz w:val="24"/>
                <w:szCs w:val="24"/>
                <w:lang w:val="en-US" w:eastAsia="zh-CN" w:bidi="ar"/>
              </w:rPr>
              <w:t xml:space="preserve"> 环境敏感目标分级</w:t>
            </w:r>
          </w:p>
          <w:tbl>
            <w:tblPr>
              <w:tblStyle w:val="33"/>
              <w:tblW w:w="0" w:type="auto"/>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02"/>
              <w:gridCol w:w="2382"/>
              <w:gridCol w:w="2381"/>
              <w:gridCol w:w="24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29" w:type="dxa"/>
                  <w:vMerge w:val="restart"/>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包气带防污功能</w:t>
                  </w:r>
                </w:p>
              </w:tc>
              <w:tc>
                <w:tcPr>
                  <w:tcW w:w="7246" w:type="dxa"/>
                  <w:gridSpan w:val="3"/>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地下水功能敏感性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29" w:type="dxa"/>
                  <w:vMerge w:val="continue"/>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p>
              </w:tc>
              <w:tc>
                <w:tcPr>
                  <w:tcW w:w="2409"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G1</w:t>
                  </w:r>
                </w:p>
              </w:tc>
              <w:tc>
                <w:tcPr>
                  <w:tcW w:w="2408"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G2</w:t>
                  </w:r>
                </w:p>
              </w:tc>
              <w:tc>
                <w:tcPr>
                  <w:tcW w:w="2429"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G3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29"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D1</w:t>
                  </w:r>
                </w:p>
              </w:tc>
              <w:tc>
                <w:tcPr>
                  <w:tcW w:w="2409"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E1</w:t>
                  </w:r>
                </w:p>
              </w:tc>
              <w:tc>
                <w:tcPr>
                  <w:tcW w:w="2408"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E1</w:t>
                  </w:r>
                </w:p>
              </w:tc>
              <w:tc>
                <w:tcPr>
                  <w:tcW w:w="2429"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E2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29"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D2</w:t>
                  </w:r>
                </w:p>
              </w:tc>
              <w:tc>
                <w:tcPr>
                  <w:tcW w:w="2409"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E1</w:t>
                  </w:r>
                </w:p>
              </w:tc>
              <w:tc>
                <w:tcPr>
                  <w:tcW w:w="2408"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E2</w:t>
                  </w:r>
                </w:p>
              </w:tc>
              <w:tc>
                <w:tcPr>
                  <w:tcW w:w="2429"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E3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29"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lang w:val="en-US" w:eastAsia="zh-CN"/>
                    </w:rPr>
                  </w:pPr>
                  <w:r>
                    <w:rPr>
                      <w:rFonts w:hint="default" w:ascii="Times New Roman" w:hAnsi="Times New Roman" w:cs="Times New Roman"/>
                      <w:color w:val="auto"/>
                      <w:sz w:val="21"/>
                      <w:szCs w:val="22"/>
                      <w:lang w:val="en-US" w:eastAsia="zh-CN"/>
                    </w:rPr>
                    <w:t>D3</w:t>
                  </w:r>
                </w:p>
              </w:tc>
              <w:tc>
                <w:tcPr>
                  <w:tcW w:w="2409" w:type="dxa"/>
                  <w:tcBorders>
                    <w:tl2br w:val="nil"/>
                    <w:tr2bl w:val="nil"/>
                  </w:tcBorders>
                  <w:noWrap w:val="0"/>
                  <w:vAlign w:val="top"/>
                </w:tcPr>
                <w:p>
                  <w:pPr>
                    <w:pStyle w:val="118"/>
                    <w:kinsoku w:val="0"/>
                    <w:overflowPunct w:val="0"/>
                    <w:spacing w:before="105" w:line="271" w:lineRule="auto"/>
                    <w:ind w:left="106" w:leftChars="0" w:right="69" w:rightChars="0"/>
                    <w:jc w:val="center"/>
                    <w:rPr>
                      <w:rFonts w:hint="default" w:ascii="Times New Roman" w:hAnsi="Times New Roman" w:eastAsia="宋体" w:cs="Times New Roman"/>
                      <w:color w:val="auto"/>
                      <w:sz w:val="21"/>
                      <w:szCs w:val="22"/>
                      <w:lang w:eastAsia="zh-CN"/>
                    </w:rPr>
                  </w:pPr>
                  <w:r>
                    <w:rPr>
                      <w:rFonts w:hint="default" w:ascii="Times New Roman" w:hAnsi="Times New Roman" w:eastAsia="宋体" w:cs="Times New Roman"/>
                      <w:color w:val="auto"/>
                      <w:sz w:val="21"/>
                      <w:szCs w:val="22"/>
                    </w:rPr>
                    <w:t>E</w:t>
                  </w:r>
                  <w:r>
                    <w:rPr>
                      <w:rFonts w:hint="default" w:ascii="Times New Roman" w:hAnsi="Times New Roman" w:cs="Times New Roman"/>
                      <w:color w:val="auto"/>
                      <w:sz w:val="21"/>
                      <w:szCs w:val="22"/>
                      <w:lang w:val="en-US" w:eastAsia="zh-CN"/>
                    </w:rPr>
                    <w:t>2</w:t>
                  </w:r>
                </w:p>
              </w:tc>
              <w:tc>
                <w:tcPr>
                  <w:tcW w:w="2408" w:type="dxa"/>
                  <w:tcBorders>
                    <w:tl2br w:val="nil"/>
                    <w:tr2bl w:val="nil"/>
                  </w:tcBorders>
                  <w:noWrap w:val="0"/>
                  <w:vAlign w:val="top"/>
                </w:tcPr>
                <w:p>
                  <w:pPr>
                    <w:pStyle w:val="118"/>
                    <w:kinsoku w:val="0"/>
                    <w:overflowPunct w:val="0"/>
                    <w:spacing w:before="105" w:line="271" w:lineRule="auto"/>
                    <w:ind w:left="106" w:leftChars="0" w:right="69" w:rightChars="0"/>
                    <w:jc w:val="center"/>
                    <w:rPr>
                      <w:rFonts w:hint="default" w:ascii="Times New Roman" w:hAnsi="Times New Roman" w:eastAsia="宋体" w:cs="Times New Roman"/>
                      <w:color w:val="auto"/>
                      <w:sz w:val="21"/>
                      <w:szCs w:val="22"/>
                      <w:lang w:eastAsia="zh-CN"/>
                    </w:rPr>
                  </w:pPr>
                  <w:r>
                    <w:rPr>
                      <w:rFonts w:hint="default" w:ascii="Times New Roman" w:hAnsi="Times New Roman" w:eastAsia="宋体" w:cs="Times New Roman"/>
                      <w:color w:val="auto"/>
                      <w:sz w:val="21"/>
                      <w:szCs w:val="22"/>
                    </w:rPr>
                    <w:t>E</w:t>
                  </w:r>
                  <w:r>
                    <w:rPr>
                      <w:rFonts w:hint="default" w:ascii="Times New Roman" w:hAnsi="Times New Roman" w:cs="Times New Roman"/>
                      <w:color w:val="auto"/>
                      <w:sz w:val="21"/>
                      <w:szCs w:val="22"/>
                      <w:lang w:val="en-US" w:eastAsia="zh-CN"/>
                    </w:rPr>
                    <w:t>3</w:t>
                  </w:r>
                </w:p>
              </w:tc>
              <w:tc>
                <w:tcPr>
                  <w:tcW w:w="2429" w:type="dxa"/>
                  <w:tcBorders>
                    <w:tl2br w:val="nil"/>
                    <w:tr2bl w:val="nil"/>
                  </w:tcBorders>
                  <w:noWrap w:val="0"/>
                  <w:vAlign w:val="top"/>
                </w:tcPr>
                <w:p>
                  <w:pPr>
                    <w:pStyle w:val="118"/>
                    <w:kinsoku w:val="0"/>
                    <w:overflowPunct w:val="0"/>
                    <w:spacing w:before="105" w:line="271" w:lineRule="auto"/>
                    <w:ind w:left="106" w:leftChars="0" w:right="69" w:rightChars="0"/>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E3</w:t>
                  </w:r>
                </w:p>
              </w:tc>
            </w:tr>
          </w:tbl>
          <w:p>
            <w:pPr>
              <w:pStyle w:val="6"/>
              <w:jc w:val="center"/>
              <w:rPr>
                <w:rFonts w:hint="default" w:ascii="Times New Roman" w:hAnsi="Times New Roman" w:eastAsia="宋体" w:cs="Times New Roman"/>
                <w:b/>
                <w:color w:val="auto"/>
                <w:kern w:val="0"/>
                <w:sz w:val="24"/>
                <w:szCs w:val="24"/>
                <w:lang w:val="en-US" w:eastAsia="zh-CN" w:bidi="ar"/>
              </w:rPr>
            </w:pPr>
            <w:r>
              <w:rPr>
                <w:rFonts w:hint="default" w:ascii="Times New Roman" w:hAnsi="Times New Roman" w:eastAsia="宋体" w:cs="Times New Roman"/>
                <w:b/>
                <w:color w:val="auto"/>
                <w:kern w:val="0"/>
                <w:sz w:val="24"/>
                <w:szCs w:val="24"/>
                <w:lang w:val="en-US" w:eastAsia="zh-CN" w:bidi="ar"/>
              </w:rPr>
              <w:t>表 7-25 地下水环境敏感程度分级</w:t>
            </w:r>
          </w:p>
          <w:tbl>
            <w:tblPr>
              <w:tblStyle w:val="33"/>
              <w:tblW w:w="0" w:type="auto"/>
              <w:tblInd w:w="208"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31"/>
              <w:gridCol w:w="813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20" w:hRule="atLeast"/>
              </w:trPr>
              <w:tc>
                <w:tcPr>
                  <w:tcW w:w="1331"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p>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敏感 G1</w:t>
                  </w:r>
                </w:p>
              </w:tc>
              <w:tc>
                <w:tcPr>
                  <w:tcW w:w="8136"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集中式饮用水水源（包括已建成的在用、备用、应急水源，在建和规划的饮用水源）准</w:t>
                  </w:r>
                </w:p>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保护区；除集中式饮用水水源以外的国家或地方政府设定的与地下水环境相关的其他保   护区，如热水、矿泉水、温泉等特殊地下水资源保护区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40" w:hRule="atLeast"/>
              </w:trPr>
              <w:tc>
                <w:tcPr>
                  <w:tcW w:w="1331"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p>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较敏感 G2</w:t>
                  </w:r>
                </w:p>
              </w:tc>
              <w:tc>
                <w:tcPr>
                  <w:tcW w:w="8136"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集中式饮用水水源（包括已建成的在用、备用、应急水源，在建和规划的饮用水源）准</w:t>
                  </w:r>
                </w:p>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保护区以外的补给径流区；未划定准保护区的集中式饮用水水源，其保护区以外的补给   径流区；分散式饮用水水源地；特殊地下水资源（如热水、矿泉水、温泉等）保护区以   外的分布区等其他未列入上述敏感分级的环境敏感区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331"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低敏感 G3</w:t>
                  </w:r>
                </w:p>
              </w:tc>
              <w:tc>
                <w:tcPr>
                  <w:tcW w:w="8136"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上述地区之外其他地区</w:t>
                  </w:r>
                </w:p>
              </w:tc>
            </w:tr>
          </w:tbl>
          <w:p>
            <w:pPr>
              <w:pStyle w:val="6"/>
              <w:jc w:val="center"/>
              <w:rPr>
                <w:rFonts w:hint="default" w:ascii="Times New Roman" w:hAnsi="Times New Roman" w:eastAsia="宋体" w:cs="Times New Roman"/>
                <w:b/>
                <w:color w:val="auto"/>
                <w:kern w:val="0"/>
                <w:sz w:val="24"/>
                <w:szCs w:val="24"/>
                <w:lang w:val="en-US" w:eastAsia="zh-CN" w:bidi="ar"/>
              </w:rPr>
            </w:pPr>
            <w:r>
              <w:rPr>
                <w:rFonts w:hint="default" w:ascii="Times New Roman" w:hAnsi="Times New Roman" w:eastAsia="宋体" w:cs="Times New Roman"/>
                <w:b/>
                <w:color w:val="auto"/>
                <w:kern w:val="0"/>
                <w:sz w:val="24"/>
                <w:szCs w:val="24"/>
                <w:lang w:val="en-US" w:eastAsia="zh-CN" w:bidi="ar"/>
              </w:rPr>
              <w:t>表 7-</w:t>
            </w:r>
            <w:r>
              <w:rPr>
                <w:rFonts w:hint="default" w:ascii="Times New Roman" w:hAnsi="Times New Roman" w:cs="Times New Roman"/>
                <w:b/>
                <w:color w:val="auto"/>
                <w:kern w:val="0"/>
                <w:sz w:val="24"/>
                <w:szCs w:val="24"/>
                <w:lang w:val="en-US" w:eastAsia="zh-CN" w:bidi="ar"/>
              </w:rPr>
              <w:t>26</w:t>
            </w:r>
            <w:r>
              <w:rPr>
                <w:rFonts w:hint="default" w:ascii="Times New Roman" w:hAnsi="Times New Roman" w:eastAsia="宋体" w:cs="Times New Roman"/>
                <w:b/>
                <w:color w:val="auto"/>
                <w:kern w:val="0"/>
                <w:sz w:val="24"/>
                <w:szCs w:val="24"/>
                <w:lang w:val="en-US" w:eastAsia="zh-CN" w:bidi="ar"/>
              </w:rPr>
              <w:t>环境敏感目标分级</w:t>
            </w:r>
          </w:p>
          <w:tbl>
            <w:tblPr>
              <w:tblStyle w:val="33"/>
              <w:tblW w:w="0" w:type="auto"/>
              <w:tblInd w:w="208"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31"/>
              <w:gridCol w:w="813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331"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分级</w:t>
                  </w:r>
                </w:p>
              </w:tc>
              <w:tc>
                <w:tcPr>
                  <w:tcW w:w="8136"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包气带岩土的渗透性能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331"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D3</w:t>
                  </w:r>
                </w:p>
              </w:tc>
              <w:tc>
                <w:tcPr>
                  <w:tcW w:w="8136"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Mb≥1.0m，K≤1.0×10-6cm/s，且分布连续、稳定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1331"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D2</w:t>
                  </w:r>
                </w:p>
              </w:tc>
              <w:tc>
                <w:tcPr>
                  <w:tcW w:w="8136"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0.5m≤Mb＜1.0m，K≤1.0×10-6cm/s，且分布连续、稳定</w:t>
                  </w:r>
                </w:p>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Mb≥1.0m，1.0×10-6cm/s＜K≤1.0×10-4cm/s，且分布连续、稳定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331"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D1</w:t>
                  </w:r>
                </w:p>
              </w:tc>
              <w:tc>
                <w:tcPr>
                  <w:tcW w:w="8136"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岩土层不满足上述“D2”和“D3”条件</w:t>
                  </w:r>
                </w:p>
              </w:tc>
            </w:tr>
          </w:tbl>
          <w:p>
            <w:pPr>
              <w:spacing w:line="360" w:lineRule="auto"/>
              <w:ind w:firstLine="48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评价区内地下水可划分为第四系中粗砂孔隙水及第三系碎屑岩类孔隙裂隙水</w:t>
            </w: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rPr>
              <w:t>广泛的分布于整个评价区内，含水层为第四系中粗砂及砾砂，水位埋深为2-4m，含水层厚度大于120m，多为潜水，渗透系数为22.59-26.31m/d，水量极丰富，推算单井涌水量大于5000m³/d。地下水化学类型为HCO3-Ca·Na及HCO3-Ca·Mg·Na型水，pH值6.98-7.75，总硬度131-185mg/L（以CaCO3计），矿化度为323-442mg/L，为低矿化度淡水，水质良好。第三系碎屑岩类孔隙裂隙水</w:t>
            </w: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rPr>
              <w:t>评价区内伏于第四系之下，含水层由第三系砂岩组成，与上覆第四系中粗砂含水层之间有泥岩隔水层相隔，二者之间水力联系较弱。</w:t>
            </w:r>
          </w:p>
          <w:p>
            <w:pPr>
              <w:spacing w:line="360" w:lineRule="auto"/>
              <w:ind w:firstLine="48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本项目根据地下水概况及区域水文地质分析含水层渗透系数取（K=</w:t>
            </w:r>
            <w:r>
              <w:rPr>
                <w:rFonts w:hint="default" w:ascii="Times New Roman" w:hAnsi="Times New Roman" w:cs="Times New Roman"/>
                <w:color w:val="auto"/>
                <w:sz w:val="24"/>
                <w:szCs w:val="22"/>
                <w:lang w:val="en-US" w:eastAsia="zh-CN"/>
              </w:rPr>
              <w:t>24.45</w:t>
            </w:r>
            <w:r>
              <w:rPr>
                <w:rFonts w:hint="default" w:ascii="Times New Roman" w:hAnsi="Times New Roman" w:cs="Times New Roman"/>
                <w:color w:val="auto"/>
                <w:sz w:val="24"/>
                <w:szCs w:val="22"/>
              </w:rPr>
              <w:t>m/d）岩体渗透系数 K=</w:t>
            </w:r>
            <w:r>
              <w:rPr>
                <w:rFonts w:hint="default" w:ascii="Times New Roman" w:hAnsi="Times New Roman" w:cs="Times New Roman"/>
                <w:color w:val="auto"/>
                <w:sz w:val="24"/>
                <w:szCs w:val="22"/>
                <w:lang w:val="en-US" w:eastAsia="zh-CN"/>
              </w:rPr>
              <w:t>2.8</w:t>
            </w:r>
            <w:r>
              <w:rPr>
                <w:rFonts w:hint="default" w:ascii="Times New Roman" w:hAnsi="Times New Roman" w:cs="Times New Roman"/>
                <w:color w:val="auto"/>
                <w:sz w:val="24"/>
                <w:szCs w:val="22"/>
              </w:rPr>
              <w:t>×10</w:t>
            </w:r>
            <w:r>
              <w:rPr>
                <w:rFonts w:hint="default" w:ascii="Times New Roman" w:hAnsi="Times New Roman" w:cs="Times New Roman"/>
                <w:color w:val="auto"/>
                <w:sz w:val="24"/>
                <w:szCs w:val="22"/>
                <w:vertAlign w:val="superscript"/>
              </w:rPr>
              <w:t>-</w:t>
            </w:r>
            <w:r>
              <w:rPr>
                <w:rFonts w:hint="default" w:ascii="Times New Roman" w:hAnsi="Times New Roman" w:cs="Times New Roman"/>
                <w:color w:val="auto"/>
                <w:sz w:val="24"/>
                <w:szCs w:val="22"/>
                <w:vertAlign w:val="superscript"/>
                <w:lang w:val="en-US" w:eastAsia="zh-CN"/>
              </w:rPr>
              <w:t>2</w:t>
            </w:r>
            <w:r>
              <w:rPr>
                <w:rFonts w:hint="default" w:ascii="Times New Roman" w:hAnsi="Times New Roman" w:cs="Times New Roman"/>
                <w:color w:val="auto"/>
                <w:sz w:val="24"/>
                <w:szCs w:val="22"/>
              </w:rPr>
              <w:t>cm/s，环境敏感保护目标分级属于 D1，项目所在地无表 7-</w:t>
            </w:r>
            <w:r>
              <w:rPr>
                <w:rFonts w:hint="default" w:ascii="Times New Roman" w:hAnsi="Times New Roman" w:cs="Times New Roman"/>
                <w:color w:val="auto"/>
                <w:sz w:val="24"/>
                <w:szCs w:val="22"/>
                <w:lang w:val="en-US" w:eastAsia="zh-CN"/>
              </w:rPr>
              <w:t>25</w:t>
            </w:r>
            <w:r>
              <w:rPr>
                <w:rFonts w:hint="default" w:ascii="Times New Roman" w:hAnsi="Times New Roman" w:cs="Times New Roman"/>
                <w:color w:val="auto"/>
                <w:sz w:val="24"/>
                <w:szCs w:val="22"/>
              </w:rPr>
              <w:t xml:space="preserve"> 内所有环境敏感区，因此地下水功能敏感性分区属于低敏感 G3，故项目地下水环境敏感程度分级属于 E2。</w:t>
            </w:r>
          </w:p>
          <w:p>
            <w:pPr>
              <w:spacing w:line="360" w:lineRule="auto"/>
              <w:ind w:firstLine="48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根据上述分析，项目各环境要素环境敏感程度 E 值判定见下表汇总。</w:t>
            </w:r>
          </w:p>
          <w:p>
            <w:pPr>
              <w:pStyle w:val="6"/>
              <w:jc w:val="center"/>
              <w:rPr>
                <w:rFonts w:hint="default" w:ascii="Times New Roman" w:hAnsi="Times New Roman" w:eastAsia="宋体" w:cs="Times New Roman"/>
                <w:b/>
                <w:color w:val="auto"/>
                <w:kern w:val="0"/>
                <w:sz w:val="24"/>
                <w:szCs w:val="24"/>
                <w:lang w:val="en-US" w:eastAsia="zh-CN" w:bidi="ar"/>
              </w:rPr>
            </w:pPr>
            <w:r>
              <w:rPr>
                <w:rFonts w:hint="default" w:ascii="Times New Roman" w:hAnsi="Times New Roman" w:eastAsia="宋体" w:cs="Times New Roman"/>
                <w:b/>
                <w:color w:val="auto"/>
                <w:kern w:val="0"/>
                <w:sz w:val="24"/>
                <w:szCs w:val="24"/>
                <w:lang w:val="en-US" w:eastAsia="zh-CN" w:bidi="ar"/>
              </w:rPr>
              <w:t>表 7-</w:t>
            </w:r>
            <w:r>
              <w:rPr>
                <w:rFonts w:hint="default" w:ascii="Times New Roman" w:hAnsi="Times New Roman" w:cs="Times New Roman"/>
                <w:b/>
                <w:color w:val="auto"/>
                <w:kern w:val="0"/>
                <w:sz w:val="24"/>
                <w:szCs w:val="24"/>
                <w:lang w:val="en-US" w:eastAsia="zh-CN" w:bidi="ar"/>
              </w:rPr>
              <w:t>27</w:t>
            </w:r>
            <w:r>
              <w:rPr>
                <w:rFonts w:hint="default" w:ascii="Times New Roman" w:hAnsi="Times New Roman" w:eastAsia="宋体" w:cs="Times New Roman"/>
                <w:b/>
                <w:color w:val="auto"/>
                <w:kern w:val="0"/>
                <w:sz w:val="24"/>
                <w:szCs w:val="24"/>
                <w:lang w:val="en-US" w:eastAsia="zh-CN" w:bidi="ar"/>
              </w:rPr>
              <w:t>环境敏感目标分级</w:t>
            </w:r>
          </w:p>
          <w:tbl>
            <w:tblPr>
              <w:tblStyle w:val="33"/>
              <w:tblW w:w="0" w:type="auto"/>
              <w:tblInd w:w="208"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08"/>
              <w:gridCol w:w="3570"/>
              <w:gridCol w:w="3741"/>
              <w:gridCol w:w="84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40" w:hRule="atLeast"/>
              </w:trPr>
              <w:tc>
                <w:tcPr>
                  <w:tcW w:w="1354"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环境要素</w:t>
                  </w:r>
                </w:p>
              </w:tc>
              <w:tc>
                <w:tcPr>
                  <w:tcW w:w="7458" w:type="dxa"/>
                  <w:gridSpan w:val="2"/>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环境敏感程度</w:t>
                  </w:r>
                </w:p>
              </w:tc>
              <w:tc>
                <w:tcPr>
                  <w:tcW w:w="863"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E 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1354" w:type="dxa"/>
                  <w:vMerge w:val="restart"/>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p>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地表水</w:t>
                  </w:r>
                </w:p>
              </w:tc>
              <w:tc>
                <w:tcPr>
                  <w:tcW w:w="3642"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地表水功能敏感性</w:t>
                  </w:r>
                </w:p>
              </w:tc>
              <w:tc>
                <w:tcPr>
                  <w:tcW w:w="3816"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环境敏感目标分级</w:t>
                  </w:r>
                </w:p>
              </w:tc>
              <w:tc>
                <w:tcPr>
                  <w:tcW w:w="863" w:type="dxa"/>
                  <w:vMerge w:val="restart"/>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p>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E3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1354" w:type="dxa"/>
                  <w:vMerge w:val="continue"/>
                  <w:tcBorders>
                    <w:tl2br w:val="nil"/>
                    <w:tr2bl w:val="nil"/>
                  </w:tcBorders>
                  <w:noWrap w:val="0"/>
                  <w:vAlign w:val="top"/>
                </w:tcPr>
                <w:p>
                  <w:pPr>
                    <w:pStyle w:val="15"/>
                    <w:kinsoku w:val="0"/>
                    <w:overflowPunct w:val="0"/>
                    <w:spacing w:before="34"/>
                    <w:ind w:right="103"/>
                    <w:jc w:val="right"/>
                    <w:rPr>
                      <w:rFonts w:hint="default" w:ascii="Times New Roman" w:hAnsi="Times New Roman" w:eastAsia="宋体" w:cs="Times New Roman"/>
                      <w:color w:val="auto"/>
                      <w:sz w:val="21"/>
                      <w:szCs w:val="22"/>
                    </w:rPr>
                  </w:pPr>
                </w:p>
              </w:tc>
              <w:tc>
                <w:tcPr>
                  <w:tcW w:w="3642" w:type="dxa"/>
                  <w:tcBorders>
                    <w:tl2br w:val="nil"/>
                    <w:tr2bl w:val="nil"/>
                  </w:tcBorders>
                  <w:noWrap w:val="0"/>
                  <w:vAlign w:val="top"/>
                </w:tcPr>
                <w:p>
                  <w:pPr>
                    <w:pStyle w:val="118"/>
                    <w:kinsoku w:val="0"/>
                    <w:overflowPunct w:val="0"/>
                    <w:spacing w:before="153"/>
                    <w:ind w:left="990" w:right="1005"/>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F3</w:t>
                  </w:r>
                </w:p>
              </w:tc>
              <w:tc>
                <w:tcPr>
                  <w:tcW w:w="3816" w:type="dxa"/>
                  <w:tcBorders>
                    <w:tl2br w:val="nil"/>
                    <w:tr2bl w:val="nil"/>
                  </w:tcBorders>
                  <w:noWrap w:val="0"/>
                  <w:vAlign w:val="top"/>
                </w:tcPr>
                <w:p>
                  <w:pPr>
                    <w:pStyle w:val="118"/>
                    <w:kinsoku w:val="0"/>
                    <w:overflowPunct w:val="0"/>
                    <w:spacing w:before="153"/>
                    <w:ind w:left="1084" w:right="1084"/>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S3</w:t>
                  </w:r>
                </w:p>
              </w:tc>
              <w:tc>
                <w:tcPr>
                  <w:tcW w:w="863" w:type="dxa"/>
                  <w:vMerge w:val="continue"/>
                  <w:tcBorders>
                    <w:tl2br w:val="nil"/>
                    <w:tr2bl w:val="nil"/>
                  </w:tcBorders>
                  <w:noWrap w:val="0"/>
                  <w:vAlign w:val="top"/>
                </w:tcPr>
                <w:p>
                  <w:pPr>
                    <w:pStyle w:val="15"/>
                    <w:kinsoku w:val="0"/>
                    <w:overflowPunct w:val="0"/>
                    <w:spacing w:before="34"/>
                    <w:ind w:right="103"/>
                    <w:jc w:val="right"/>
                    <w:rPr>
                      <w:rFonts w:hint="default" w:ascii="Times New Roman" w:hAnsi="Times New Roman" w:eastAsia="宋体" w:cs="Times New Roman"/>
                      <w:color w:val="auto"/>
                      <w:sz w:val="21"/>
                      <w:szCs w:val="2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1354" w:type="dxa"/>
                  <w:vMerge w:val="restart"/>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p>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地下水</w:t>
                  </w:r>
                </w:p>
              </w:tc>
              <w:tc>
                <w:tcPr>
                  <w:tcW w:w="3642"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地下水功能敏感性</w:t>
                  </w:r>
                </w:p>
              </w:tc>
              <w:tc>
                <w:tcPr>
                  <w:tcW w:w="3816"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环境敏感目标分级</w:t>
                  </w:r>
                </w:p>
              </w:tc>
              <w:tc>
                <w:tcPr>
                  <w:tcW w:w="863" w:type="dxa"/>
                  <w:vMerge w:val="restart"/>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p>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E2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1354" w:type="dxa"/>
                  <w:vMerge w:val="continue"/>
                  <w:tcBorders>
                    <w:tl2br w:val="nil"/>
                    <w:tr2bl w:val="nil"/>
                  </w:tcBorders>
                  <w:noWrap w:val="0"/>
                  <w:vAlign w:val="top"/>
                </w:tcPr>
                <w:p>
                  <w:pPr>
                    <w:pStyle w:val="15"/>
                    <w:kinsoku w:val="0"/>
                    <w:overflowPunct w:val="0"/>
                    <w:spacing w:before="34"/>
                    <w:ind w:right="103"/>
                    <w:jc w:val="right"/>
                    <w:rPr>
                      <w:rFonts w:hint="default" w:ascii="Times New Roman" w:hAnsi="Times New Roman" w:cs="Times New Roman"/>
                      <w:color w:val="auto"/>
                      <w:sz w:val="24"/>
                    </w:rPr>
                  </w:pPr>
                </w:p>
              </w:tc>
              <w:tc>
                <w:tcPr>
                  <w:tcW w:w="3642" w:type="dxa"/>
                  <w:tcBorders>
                    <w:tl2br w:val="nil"/>
                    <w:tr2bl w:val="nil"/>
                  </w:tcBorders>
                  <w:noWrap w:val="0"/>
                  <w:vAlign w:val="top"/>
                </w:tcPr>
                <w:p>
                  <w:pPr>
                    <w:pStyle w:val="118"/>
                    <w:kinsoku w:val="0"/>
                    <w:overflowPunct w:val="0"/>
                    <w:spacing w:before="153"/>
                    <w:ind w:left="990" w:right="1005"/>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G3</w:t>
                  </w:r>
                </w:p>
              </w:tc>
              <w:tc>
                <w:tcPr>
                  <w:tcW w:w="3816" w:type="dxa"/>
                  <w:tcBorders>
                    <w:tl2br w:val="nil"/>
                    <w:tr2bl w:val="nil"/>
                  </w:tcBorders>
                  <w:noWrap w:val="0"/>
                  <w:vAlign w:val="top"/>
                </w:tcPr>
                <w:p>
                  <w:pPr>
                    <w:pStyle w:val="118"/>
                    <w:kinsoku w:val="0"/>
                    <w:overflowPunct w:val="0"/>
                    <w:spacing w:before="153"/>
                    <w:ind w:left="990" w:right="1005"/>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D1</w:t>
                  </w:r>
                </w:p>
              </w:tc>
              <w:tc>
                <w:tcPr>
                  <w:tcW w:w="863" w:type="dxa"/>
                  <w:vMerge w:val="continue"/>
                  <w:tcBorders>
                    <w:tl2br w:val="nil"/>
                    <w:tr2bl w:val="nil"/>
                  </w:tcBorders>
                  <w:noWrap w:val="0"/>
                  <w:vAlign w:val="top"/>
                </w:tcPr>
                <w:p>
                  <w:pPr>
                    <w:pStyle w:val="15"/>
                    <w:kinsoku w:val="0"/>
                    <w:overflowPunct w:val="0"/>
                    <w:spacing w:before="34"/>
                    <w:ind w:right="103"/>
                    <w:jc w:val="right"/>
                    <w:rPr>
                      <w:rFonts w:hint="default" w:ascii="Times New Roman" w:hAnsi="Times New Roman" w:cs="Times New Roman"/>
                      <w:color w:val="auto"/>
                      <w:sz w:val="24"/>
                    </w:rPr>
                  </w:pPr>
                </w:p>
              </w:tc>
            </w:tr>
          </w:tbl>
          <w:p>
            <w:pPr>
              <w:pageBreakBefore w:val="0"/>
              <w:widowControl w:val="0"/>
              <w:kinsoku/>
              <w:wordWrap/>
              <w:overflowPunct/>
              <w:topLinePunct w:val="0"/>
              <w:autoSpaceDE/>
              <w:autoSpaceDN/>
              <w:bidi w:val="0"/>
              <w:adjustRightInd w:val="0"/>
              <w:snapToGrid/>
              <w:spacing w:line="360" w:lineRule="auto"/>
              <w:ind w:firstLine="480"/>
              <w:textAlignment w:val="baseline"/>
              <w:rPr>
                <w:rFonts w:hint="default" w:ascii="Times New Roman" w:hAnsi="Times New Roman" w:cs="Times New Roman"/>
                <w:color w:val="auto"/>
                <w:sz w:val="24"/>
                <w:szCs w:val="22"/>
              </w:rPr>
            </w:pPr>
            <w:r>
              <w:rPr>
                <w:rFonts w:hint="default" w:ascii="Times New Roman" w:hAnsi="Times New Roman" w:cs="Times New Roman"/>
                <w:color w:val="auto"/>
                <w:sz w:val="24"/>
                <w:szCs w:val="22"/>
              </w:rPr>
              <w:t>3）评价等级判定</w:t>
            </w:r>
          </w:p>
          <w:p>
            <w:pPr>
              <w:pageBreakBefore w:val="0"/>
              <w:widowControl w:val="0"/>
              <w:kinsoku/>
              <w:wordWrap/>
              <w:overflowPunct/>
              <w:topLinePunct w:val="0"/>
              <w:autoSpaceDE/>
              <w:autoSpaceDN/>
              <w:bidi w:val="0"/>
              <w:adjustRightInd w:val="0"/>
              <w:snapToGrid/>
              <w:spacing w:line="360" w:lineRule="auto"/>
              <w:ind w:firstLine="480"/>
              <w:textAlignment w:val="baseline"/>
              <w:rPr>
                <w:rFonts w:hint="default" w:ascii="Times New Roman" w:hAnsi="Times New Roman" w:cs="Times New Roman"/>
                <w:color w:val="auto"/>
                <w:sz w:val="24"/>
                <w:szCs w:val="22"/>
              </w:rPr>
            </w:pPr>
            <w:r>
              <w:rPr>
                <w:rFonts w:hint="default" w:ascii="Times New Roman" w:hAnsi="Times New Roman" w:cs="Times New Roman"/>
                <w:color w:val="auto"/>
                <w:sz w:val="24"/>
                <w:szCs w:val="22"/>
              </w:rPr>
              <w:t>根据建设项目涉及的物质和工艺系统的危险性及其所在地的环境敏感程度，结合事故情形下环境影响途径，根据下表确定环境风险潜势。</w:t>
            </w:r>
          </w:p>
          <w:p>
            <w:pPr>
              <w:pStyle w:val="6"/>
              <w:pageBreakBefore w:val="0"/>
              <w:widowControl w:val="0"/>
              <w:kinsoku/>
              <w:wordWrap/>
              <w:overflowPunct/>
              <w:topLinePunct w:val="0"/>
              <w:autoSpaceDE/>
              <w:autoSpaceDN/>
              <w:bidi w:val="0"/>
              <w:adjustRightInd w:val="0"/>
              <w:snapToGrid/>
              <w:spacing w:before="0" w:after="0" w:line="360" w:lineRule="auto"/>
              <w:jc w:val="center"/>
              <w:textAlignment w:val="baseline"/>
              <w:rPr>
                <w:rFonts w:hint="default" w:ascii="Times New Roman" w:hAnsi="Times New Roman" w:cs="Times New Roman"/>
                <w:color w:val="auto"/>
              </w:rPr>
            </w:pPr>
            <w:r>
              <w:rPr>
                <w:rFonts w:hint="default" w:ascii="Times New Roman" w:hAnsi="Times New Roman" w:cs="Times New Roman"/>
                <w:b/>
                <w:color w:val="auto"/>
                <w:sz w:val="24"/>
              </w:rPr>
              <w:t>表</w:t>
            </w:r>
            <w:r>
              <w:rPr>
                <w:rFonts w:hint="default" w:ascii="Times New Roman" w:hAnsi="Times New Roman" w:cs="Times New Roman"/>
                <w:b/>
                <w:color w:val="auto"/>
                <w:spacing w:val="-50"/>
                <w:sz w:val="24"/>
              </w:rPr>
              <w:t xml:space="preserve"> </w:t>
            </w:r>
            <w:r>
              <w:rPr>
                <w:rFonts w:hint="default" w:ascii="Times New Roman" w:hAnsi="Times New Roman" w:eastAsia="Times New Roman" w:cs="Times New Roman"/>
                <w:b/>
                <w:color w:val="auto"/>
                <w:sz w:val="24"/>
              </w:rPr>
              <w:t>7-</w:t>
            </w:r>
            <w:r>
              <w:rPr>
                <w:rFonts w:hint="default" w:ascii="Times New Roman" w:hAnsi="Times New Roman" w:eastAsia="宋体" w:cs="Times New Roman"/>
                <w:b/>
                <w:color w:val="auto"/>
                <w:sz w:val="24"/>
                <w:lang w:val="en-US" w:eastAsia="zh-CN"/>
              </w:rPr>
              <w:t>28</w:t>
            </w:r>
            <w:r>
              <w:rPr>
                <w:rFonts w:hint="default" w:ascii="Times New Roman" w:hAnsi="Times New Roman" w:cs="Times New Roman"/>
                <w:b/>
                <w:color w:val="auto"/>
                <w:spacing w:val="7"/>
                <w:w w:val="95"/>
                <w:sz w:val="24"/>
              </w:rPr>
              <w:t>建</w:t>
            </w:r>
            <w:r>
              <w:rPr>
                <w:rFonts w:hint="default" w:ascii="Times New Roman" w:hAnsi="Times New Roman" w:cs="Times New Roman"/>
                <w:b/>
                <w:color w:val="auto"/>
                <w:spacing w:val="5"/>
                <w:w w:val="95"/>
                <w:sz w:val="24"/>
              </w:rPr>
              <w:t>设</w:t>
            </w:r>
            <w:r>
              <w:rPr>
                <w:rFonts w:hint="default" w:ascii="Times New Roman" w:hAnsi="Times New Roman" w:cs="Times New Roman"/>
                <w:b/>
                <w:color w:val="auto"/>
                <w:spacing w:val="7"/>
                <w:w w:val="95"/>
                <w:sz w:val="24"/>
              </w:rPr>
              <w:t>项目环</w:t>
            </w:r>
            <w:r>
              <w:rPr>
                <w:rFonts w:hint="default" w:ascii="Times New Roman" w:hAnsi="Times New Roman" w:cs="Times New Roman"/>
                <w:b/>
                <w:color w:val="auto"/>
                <w:spacing w:val="5"/>
                <w:w w:val="95"/>
                <w:sz w:val="24"/>
              </w:rPr>
              <w:t>境</w:t>
            </w:r>
            <w:r>
              <w:rPr>
                <w:rFonts w:hint="default" w:ascii="Times New Roman" w:hAnsi="Times New Roman" w:cs="Times New Roman"/>
                <w:b/>
                <w:color w:val="auto"/>
                <w:spacing w:val="7"/>
                <w:w w:val="95"/>
                <w:sz w:val="24"/>
              </w:rPr>
              <w:t>风险潜</w:t>
            </w:r>
            <w:r>
              <w:rPr>
                <w:rFonts w:hint="default" w:ascii="Times New Roman" w:hAnsi="Times New Roman" w:cs="Times New Roman"/>
                <w:b/>
                <w:color w:val="auto"/>
                <w:spacing w:val="5"/>
                <w:w w:val="95"/>
                <w:sz w:val="24"/>
              </w:rPr>
              <w:t>势</w:t>
            </w:r>
            <w:r>
              <w:rPr>
                <w:rFonts w:hint="default" w:ascii="Times New Roman" w:hAnsi="Times New Roman" w:cs="Times New Roman"/>
                <w:b/>
                <w:color w:val="auto"/>
                <w:spacing w:val="7"/>
                <w:w w:val="95"/>
                <w:sz w:val="24"/>
              </w:rPr>
              <w:t>划</w:t>
            </w:r>
            <w:r>
              <w:rPr>
                <w:rFonts w:hint="default" w:ascii="Times New Roman" w:hAnsi="Times New Roman" w:cs="Times New Roman"/>
                <w:b/>
                <w:color w:val="auto"/>
                <w:w w:val="95"/>
                <w:sz w:val="24"/>
              </w:rPr>
              <w:t>分</w:t>
            </w:r>
          </w:p>
          <w:tbl>
            <w:tblPr>
              <w:tblStyle w:val="33"/>
              <w:tblW w:w="9675" w:type="dxa"/>
              <w:tblInd w:w="211"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348"/>
              <w:gridCol w:w="1606"/>
              <w:gridCol w:w="1845"/>
              <w:gridCol w:w="1927"/>
              <w:gridCol w:w="194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348" w:type="dxa"/>
                  <w:vMerge w:val="restart"/>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环境敏感程度（E）</w:t>
                  </w:r>
                </w:p>
              </w:tc>
              <w:tc>
                <w:tcPr>
                  <w:tcW w:w="7327" w:type="dxa"/>
                  <w:gridSpan w:val="4"/>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危险物质及工艺系统危害性（P）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348" w:type="dxa"/>
                  <w:vMerge w:val="continue"/>
                  <w:tcBorders>
                    <w:tl2br w:val="nil"/>
                    <w:tr2bl w:val="nil"/>
                  </w:tcBorders>
                  <w:noWrap w:val="0"/>
                  <w:vAlign w:val="top"/>
                </w:tcPr>
                <w:p>
                  <w:pPr>
                    <w:rPr>
                      <w:rFonts w:hint="default" w:ascii="Times New Roman" w:hAnsi="Times New Roman" w:eastAsia="宋体" w:cs="Times New Roman"/>
                      <w:color w:val="auto"/>
                      <w:sz w:val="21"/>
                      <w:szCs w:val="22"/>
                    </w:rPr>
                  </w:pPr>
                </w:p>
              </w:tc>
              <w:tc>
                <w:tcPr>
                  <w:tcW w:w="1606" w:type="dxa"/>
                  <w:tcBorders>
                    <w:tl2br w:val="nil"/>
                    <w:tr2bl w:val="nil"/>
                  </w:tcBorders>
                  <w:noWrap w:val="0"/>
                  <w:vAlign w:val="top"/>
                </w:tcPr>
                <w:p>
                  <w:pPr>
                    <w:pStyle w:val="118"/>
                    <w:kinsoku w:val="0"/>
                    <w:overflowPunct w:val="0"/>
                    <w:spacing w:line="276" w:lineRule="exact"/>
                    <w:ind w:left="239"/>
                    <w:jc w:val="left"/>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极高危害（P1）</w:t>
                  </w:r>
                </w:p>
              </w:tc>
              <w:tc>
                <w:tcPr>
                  <w:tcW w:w="1845" w:type="dxa"/>
                  <w:tcBorders>
                    <w:tl2br w:val="nil"/>
                    <w:tr2bl w:val="nil"/>
                  </w:tcBorders>
                  <w:noWrap w:val="0"/>
                  <w:vAlign w:val="top"/>
                </w:tcPr>
                <w:p>
                  <w:pPr>
                    <w:pStyle w:val="118"/>
                    <w:kinsoku w:val="0"/>
                    <w:overflowPunct w:val="0"/>
                    <w:spacing w:line="276" w:lineRule="exact"/>
                    <w:ind w:left="154"/>
                    <w:jc w:val="left"/>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高度危害（P2）</w:t>
                  </w:r>
                </w:p>
              </w:tc>
              <w:tc>
                <w:tcPr>
                  <w:tcW w:w="1927" w:type="dxa"/>
                  <w:tcBorders>
                    <w:tl2br w:val="nil"/>
                    <w:tr2bl w:val="nil"/>
                  </w:tcBorders>
                  <w:noWrap w:val="0"/>
                  <w:vAlign w:val="top"/>
                </w:tcPr>
                <w:p>
                  <w:pPr>
                    <w:pStyle w:val="118"/>
                    <w:kinsoku w:val="0"/>
                    <w:overflowPunct w:val="0"/>
                    <w:spacing w:line="276" w:lineRule="exact"/>
                    <w:ind w:left="211"/>
                    <w:jc w:val="left"/>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中度危害（P3）</w:t>
                  </w:r>
                </w:p>
              </w:tc>
              <w:tc>
                <w:tcPr>
                  <w:tcW w:w="1949" w:type="dxa"/>
                  <w:tcBorders>
                    <w:tl2br w:val="nil"/>
                    <w:tr2bl w:val="nil"/>
                  </w:tcBorders>
                  <w:noWrap w:val="0"/>
                  <w:vAlign w:val="top"/>
                </w:tcPr>
                <w:p>
                  <w:pPr>
                    <w:pStyle w:val="118"/>
                    <w:kinsoku w:val="0"/>
                    <w:overflowPunct w:val="0"/>
                    <w:spacing w:line="276" w:lineRule="exact"/>
                    <w:ind w:left="208"/>
                    <w:jc w:val="left"/>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轻度危害（P4）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348"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环境高度敏感区</w:t>
                  </w:r>
                </w:p>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（E1）</w:t>
                  </w:r>
                </w:p>
              </w:tc>
              <w:tc>
                <w:tcPr>
                  <w:tcW w:w="1606"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Ⅳ+</w:t>
                  </w:r>
                </w:p>
              </w:tc>
              <w:tc>
                <w:tcPr>
                  <w:tcW w:w="1845"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Ⅳ</w:t>
                  </w:r>
                </w:p>
              </w:tc>
              <w:tc>
                <w:tcPr>
                  <w:tcW w:w="1927"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Ⅲ</w:t>
                  </w:r>
                </w:p>
              </w:tc>
              <w:tc>
                <w:tcPr>
                  <w:tcW w:w="1949"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348"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环境中度敏感区</w:t>
                  </w:r>
                </w:p>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（E2）</w:t>
                  </w:r>
                </w:p>
              </w:tc>
              <w:tc>
                <w:tcPr>
                  <w:tcW w:w="1606"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Ⅳ</w:t>
                  </w:r>
                </w:p>
              </w:tc>
              <w:tc>
                <w:tcPr>
                  <w:tcW w:w="1845"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Ⅲ</w:t>
                  </w:r>
                </w:p>
              </w:tc>
              <w:tc>
                <w:tcPr>
                  <w:tcW w:w="1927"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Ⅲ</w:t>
                  </w:r>
                </w:p>
              </w:tc>
              <w:tc>
                <w:tcPr>
                  <w:tcW w:w="1949"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Ⅱ</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348"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环境低度敏感区</w:t>
                  </w:r>
                </w:p>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（E3）</w:t>
                  </w:r>
                </w:p>
              </w:tc>
              <w:tc>
                <w:tcPr>
                  <w:tcW w:w="1606"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Ⅲ</w:t>
                  </w:r>
                </w:p>
              </w:tc>
              <w:tc>
                <w:tcPr>
                  <w:tcW w:w="1845"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Ⅲ</w:t>
                  </w:r>
                </w:p>
              </w:tc>
              <w:tc>
                <w:tcPr>
                  <w:tcW w:w="1927"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Ⅱ</w:t>
                  </w:r>
                </w:p>
              </w:tc>
              <w:tc>
                <w:tcPr>
                  <w:tcW w:w="1949" w:type="dxa"/>
                  <w:tcBorders>
                    <w:tl2br w:val="nil"/>
                    <w:tr2bl w:val="nil"/>
                  </w:tcBorders>
                  <w:noWrap w:val="0"/>
                  <w:vAlign w:val="top"/>
                </w:tcPr>
                <w:p>
                  <w:pPr>
                    <w:pStyle w:val="118"/>
                    <w:kinsoku w:val="0"/>
                    <w:overflowPunct w:val="0"/>
                    <w:spacing w:before="105" w:line="271" w:lineRule="auto"/>
                    <w:ind w:left="106" w:right="69"/>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Ⅰ</w:t>
                  </w:r>
                </w:p>
              </w:tc>
            </w:tr>
          </w:tbl>
          <w:p>
            <w:pPr>
              <w:pStyle w:val="118"/>
              <w:kinsoku w:val="0"/>
              <w:overflowPunct w:val="0"/>
              <w:spacing w:before="116"/>
              <w:ind w:left="482"/>
              <w:jc w:val="left"/>
              <w:rPr>
                <w:rFonts w:hint="default" w:ascii="Times New Roman" w:hAnsi="Times New Roman" w:cs="Times New Roman"/>
                <w:color w:val="auto"/>
                <w:sz w:val="24"/>
              </w:rPr>
            </w:pPr>
            <w:r>
              <w:rPr>
                <w:rFonts w:hint="default" w:ascii="Times New Roman" w:hAnsi="Times New Roman" w:cs="Times New Roman"/>
                <w:color w:val="auto"/>
                <w:sz w:val="24"/>
              </w:rPr>
              <w:t>根据风险潜势确定环境风险评价工作等级，判定依据详见下表。</w:t>
            </w:r>
          </w:p>
          <w:p>
            <w:pPr>
              <w:pStyle w:val="6"/>
              <w:jc w:val="center"/>
              <w:rPr>
                <w:rFonts w:hint="default" w:ascii="Times New Roman" w:hAnsi="Times New Roman" w:cs="Times New Roman"/>
                <w:b/>
                <w:color w:val="auto"/>
                <w:sz w:val="24"/>
              </w:rPr>
            </w:pPr>
          </w:p>
          <w:p>
            <w:pPr>
              <w:pStyle w:val="6"/>
              <w:jc w:val="center"/>
              <w:rPr>
                <w:rFonts w:hint="default" w:ascii="Times New Roman" w:hAnsi="Times New Roman" w:cs="Times New Roman"/>
                <w:color w:val="auto"/>
              </w:rPr>
            </w:pPr>
            <w:r>
              <w:rPr>
                <w:rFonts w:hint="default" w:ascii="Times New Roman" w:hAnsi="Times New Roman" w:cs="Times New Roman"/>
                <w:b/>
                <w:color w:val="auto"/>
                <w:sz w:val="24"/>
              </w:rPr>
              <w:t>表</w:t>
            </w:r>
            <w:r>
              <w:rPr>
                <w:rFonts w:hint="default" w:ascii="Times New Roman" w:hAnsi="Times New Roman" w:cs="Times New Roman"/>
                <w:b/>
                <w:color w:val="auto"/>
                <w:spacing w:val="-52"/>
                <w:sz w:val="24"/>
              </w:rPr>
              <w:t xml:space="preserve"> </w:t>
            </w:r>
            <w:r>
              <w:rPr>
                <w:rFonts w:hint="default" w:ascii="Times New Roman" w:hAnsi="Times New Roman" w:eastAsia="Times New Roman" w:cs="Times New Roman"/>
                <w:b/>
                <w:color w:val="auto"/>
                <w:spacing w:val="1"/>
                <w:sz w:val="24"/>
              </w:rPr>
              <w:t>7-</w:t>
            </w:r>
            <w:r>
              <w:rPr>
                <w:rFonts w:hint="default" w:ascii="Times New Roman" w:hAnsi="Times New Roman" w:eastAsia="宋体" w:cs="Times New Roman"/>
                <w:b/>
                <w:color w:val="auto"/>
                <w:spacing w:val="1"/>
                <w:sz w:val="24"/>
                <w:lang w:val="en-US" w:eastAsia="zh-CN"/>
              </w:rPr>
              <w:t>29</w:t>
            </w:r>
            <w:r>
              <w:rPr>
                <w:rFonts w:hint="default" w:ascii="Times New Roman" w:hAnsi="Times New Roman" w:cs="Times New Roman"/>
                <w:b/>
                <w:color w:val="auto"/>
                <w:spacing w:val="7"/>
                <w:w w:val="95"/>
                <w:sz w:val="24"/>
              </w:rPr>
              <w:t>评</w:t>
            </w:r>
            <w:r>
              <w:rPr>
                <w:rFonts w:hint="default" w:ascii="Times New Roman" w:hAnsi="Times New Roman" w:cs="Times New Roman"/>
                <w:b/>
                <w:color w:val="auto"/>
                <w:spacing w:val="5"/>
                <w:w w:val="95"/>
                <w:sz w:val="24"/>
              </w:rPr>
              <w:t>价</w:t>
            </w:r>
            <w:r>
              <w:rPr>
                <w:rFonts w:hint="default" w:ascii="Times New Roman" w:hAnsi="Times New Roman" w:cs="Times New Roman"/>
                <w:b/>
                <w:color w:val="auto"/>
                <w:spacing w:val="7"/>
                <w:w w:val="95"/>
                <w:sz w:val="24"/>
              </w:rPr>
              <w:t>工作等</w:t>
            </w:r>
            <w:r>
              <w:rPr>
                <w:rFonts w:hint="default" w:ascii="Times New Roman" w:hAnsi="Times New Roman" w:cs="Times New Roman"/>
                <w:b/>
                <w:color w:val="auto"/>
                <w:spacing w:val="5"/>
                <w:w w:val="95"/>
                <w:sz w:val="24"/>
              </w:rPr>
              <w:t>级</w:t>
            </w:r>
            <w:r>
              <w:rPr>
                <w:rFonts w:hint="default" w:ascii="Times New Roman" w:hAnsi="Times New Roman" w:cs="Times New Roman"/>
                <w:b/>
                <w:color w:val="auto"/>
                <w:spacing w:val="7"/>
                <w:w w:val="95"/>
                <w:sz w:val="24"/>
              </w:rPr>
              <w:t>划</w:t>
            </w:r>
            <w:r>
              <w:rPr>
                <w:rFonts w:hint="default" w:ascii="Times New Roman" w:hAnsi="Times New Roman" w:cs="Times New Roman"/>
                <w:b/>
                <w:color w:val="auto"/>
                <w:w w:val="95"/>
                <w:sz w:val="24"/>
              </w:rPr>
              <w:t>分</w:t>
            </w:r>
          </w:p>
          <w:tbl>
            <w:tblPr>
              <w:tblStyle w:val="33"/>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285"/>
              <w:gridCol w:w="1666"/>
              <w:gridCol w:w="1844"/>
              <w:gridCol w:w="1925"/>
              <w:gridCol w:w="194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0" w:hRule="atLeast"/>
              </w:trPr>
              <w:tc>
                <w:tcPr>
                  <w:tcW w:w="1181" w:type="pct"/>
                  <w:tcBorders>
                    <w:tl2br w:val="nil"/>
                    <w:tr2bl w:val="nil"/>
                  </w:tcBorders>
                  <w:noWrap w:val="0"/>
                  <w:vAlign w:val="top"/>
                </w:tcPr>
                <w:p>
                  <w:pPr>
                    <w:pStyle w:val="118"/>
                    <w:kinsoku w:val="0"/>
                    <w:overflowPunct w:val="0"/>
                    <w:spacing w:line="259" w:lineRule="exact"/>
                    <w:ind w:left="499"/>
                    <w:jc w:val="left"/>
                    <w:rPr>
                      <w:rFonts w:hint="default" w:ascii="Times New Roman" w:hAnsi="Times New Roman" w:cs="Times New Roman"/>
                      <w:b/>
                      <w:color w:val="auto"/>
                      <w:w w:val="95"/>
                      <w:sz w:val="21"/>
                    </w:rPr>
                  </w:pPr>
                  <w:r>
                    <w:rPr>
                      <w:rFonts w:hint="default" w:ascii="Times New Roman" w:hAnsi="Times New Roman" w:cs="Times New Roman"/>
                      <w:b/>
                      <w:color w:val="auto"/>
                      <w:w w:val="95"/>
                      <w:sz w:val="21"/>
                    </w:rPr>
                    <w:t>环境风险潜势</w:t>
                  </w:r>
                </w:p>
              </w:tc>
              <w:tc>
                <w:tcPr>
                  <w:tcW w:w="861" w:type="pct"/>
                  <w:tcBorders>
                    <w:tl2br w:val="nil"/>
                    <w:tr2bl w:val="nil"/>
                  </w:tcBorders>
                  <w:noWrap w:val="0"/>
                  <w:vAlign w:val="top"/>
                </w:tcPr>
                <w:p>
                  <w:pPr>
                    <w:pStyle w:val="118"/>
                    <w:kinsoku w:val="0"/>
                    <w:overflowPunct w:val="0"/>
                    <w:spacing w:line="259" w:lineRule="exact"/>
                    <w:ind w:left="490"/>
                    <w:jc w:val="left"/>
                    <w:rPr>
                      <w:rFonts w:hint="default" w:ascii="Times New Roman" w:hAnsi="Times New Roman" w:eastAsia="Times New Roman" w:cs="Times New Roman"/>
                      <w:b/>
                      <w:color w:val="auto"/>
                      <w:position w:val="7"/>
                      <w:sz w:val="13"/>
                    </w:rPr>
                  </w:pPr>
                  <w:r>
                    <w:rPr>
                      <w:rFonts w:hint="default" w:ascii="Times New Roman" w:hAnsi="Times New Roman" w:cs="Times New Roman"/>
                      <w:b/>
                      <w:color w:val="auto"/>
                      <w:sz w:val="21"/>
                    </w:rPr>
                    <w:t>Ⅳ、Ⅳ</w:t>
                  </w:r>
                  <w:r>
                    <w:rPr>
                      <w:rFonts w:hint="default" w:ascii="Times New Roman" w:hAnsi="Times New Roman" w:eastAsia="Times New Roman" w:cs="Times New Roman"/>
                      <w:b/>
                      <w:color w:val="auto"/>
                      <w:position w:val="7"/>
                      <w:sz w:val="13"/>
                    </w:rPr>
                    <w:t>+</w:t>
                  </w:r>
                </w:p>
              </w:tc>
              <w:tc>
                <w:tcPr>
                  <w:tcW w:w="953" w:type="pct"/>
                  <w:tcBorders>
                    <w:tl2br w:val="nil"/>
                    <w:tr2bl w:val="nil"/>
                  </w:tcBorders>
                  <w:noWrap w:val="0"/>
                  <w:vAlign w:val="top"/>
                </w:tcPr>
                <w:p>
                  <w:pPr>
                    <w:pStyle w:val="118"/>
                    <w:kinsoku w:val="0"/>
                    <w:overflowPunct w:val="0"/>
                    <w:spacing w:line="259" w:lineRule="exact"/>
                    <w:ind w:left="33"/>
                    <w:rPr>
                      <w:rFonts w:hint="default" w:ascii="Times New Roman" w:hAnsi="Times New Roman" w:cs="Times New Roman"/>
                      <w:b/>
                      <w:color w:val="auto"/>
                      <w:w w:val="99"/>
                      <w:sz w:val="21"/>
                    </w:rPr>
                  </w:pPr>
                  <w:r>
                    <w:rPr>
                      <w:rFonts w:hint="default" w:ascii="Times New Roman" w:hAnsi="Times New Roman" w:cs="Times New Roman"/>
                      <w:b/>
                      <w:color w:val="auto"/>
                      <w:w w:val="99"/>
                      <w:sz w:val="21"/>
                    </w:rPr>
                    <w:t>Ⅲ</w:t>
                  </w:r>
                </w:p>
              </w:tc>
              <w:tc>
                <w:tcPr>
                  <w:tcW w:w="995" w:type="pct"/>
                  <w:tcBorders>
                    <w:tl2br w:val="nil"/>
                    <w:tr2bl w:val="nil"/>
                  </w:tcBorders>
                  <w:noWrap w:val="0"/>
                  <w:vAlign w:val="top"/>
                </w:tcPr>
                <w:p>
                  <w:pPr>
                    <w:pStyle w:val="118"/>
                    <w:kinsoku w:val="0"/>
                    <w:overflowPunct w:val="0"/>
                    <w:spacing w:line="259" w:lineRule="exact"/>
                    <w:ind w:right="3"/>
                    <w:rPr>
                      <w:rFonts w:hint="default" w:ascii="Times New Roman" w:hAnsi="Times New Roman" w:cs="Times New Roman"/>
                      <w:b/>
                      <w:color w:val="auto"/>
                      <w:w w:val="99"/>
                      <w:sz w:val="21"/>
                    </w:rPr>
                  </w:pPr>
                  <w:r>
                    <w:rPr>
                      <w:rFonts w:hint="default" w:ascii="Times New Roman" w:hAnsi="Times New Roman" w:cs="Times New Roman"/>
                      <w:b/>
                      <w:color w:val="auto"/>
                      <w:w w:val="99"/>
                      <w:sz w:val="21"/>
                    </w:rPr>
                    <w:t>Ⅱ</w:t>
                  </w:r>
                </w:p>
              </w:tc>
              <w:tc>
                <w:tcPr>
                  <w:tcW w:w="1007" w:type="pct"/>
                  <w:tcBorders>
                    <w:tl2br w:val="nil"/>
                    <w:tr2bl w:val="nil"/>
                  </w:tcBorders>
                  <w:noWrap w:val="0"/>
                  <w:vAlign w:val="top"/>
                </w:tcPr>
                <w:p>
                  <w:pPr>
                    <w:pStyle w:val="118"/>
                    <w:kinsoku w:val="0"/>
                    <w:overflowPunct w:val="0"/>
                    <w:spacing w:line="259" w:lineRule="exact"/>
                    <w:ind w:right="13"/>
                    <w:rPr>
                      <w:rFonts w:hint="default" w:ascii="Times New Roman" w:hAnsi="Times New Roman" w:cs="Times New Roman"/>
                      <w:b/>
                      <w:color w:val="auto"/>
                      <w:w w:val="99"/>
                      <w:sz w:val="21"/>
                    </w:rPr>
                  </w:pPr>
                  <w:r>
                    <w:rPr>
                      <w:rFonts w:hint="default" w:ascii="Times New Roman" w:hAnsi="Times New Roman" w:cs="Times New Roman"/>
                      <w:b/>
                      <w:color w:val="auto"/>
                      <w:w w:val="99"/>
                      <w:sz w:val="21"/>
                    </w:rPr>
                    <w:t>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181" w:type="pct"/>
                  <w:tcBorders>
                    <w:tl2br w:val="nil"/>
                    <w:tr2bl w:val="nil"/>
                  </w:tcBorders>
                  <w:noWrap w:val="0"/>
                  <w:vAlign w:val="top"/>
                </w:tcPr>
                <w:p>
                  <w:pPr>
                    <w:pStyle w:val="118"/>
                    <w:kinsoku w:val="0"/>
                    <w:overflowPunct w:val="0"/>
                    <w:spacing w:line="261" w:lineRule="exact"/>
                    <w:ind w:left="499"/>
                    <w:jc w:val="left"/>
                    <w:rPr>
                      <w:rFonts w:hint="default" w:ascii="Times New Roman" w:hAnsi="Times New Roman" w:cs="Times New Roman"/>
                      <w:color w:val="auto"/>
                      <w:w w:val="95"/>
                      <w:sz w:val="21"/>
                    </w:rPr>
                  </w:pPr>
                  <w:r>
                    <w:rPr>
                      <w:rFonts w:hint="default" w:ascii="Times New Roman" w:hAnsi="Times New Roman" w:cs="Times New Roman"/>
                      <w:color w:val="auto"/>
                      <w:w w:val="95"/>
                      <w:sz w:val="21"/>
                    </w:rPr>
                    <w:t>评价工作等级</w:t>
                  </w:r>
                </w:p>
              </w:tc>
              <w:tc>
                <w:tcPr>
                  <w:tcW w:w="861" w:type="pct"/>
                  <w:tcBorders>
                    <w:tl2br w:val="nil"/>
                    <w:tr2bl w:val="nil"/>
                  </w:tcBorders>
                  <w:noWrap w:val="0"/>
                  <w:vAlign w:val="top"/>
                </w:tcPr>
                <w:p>
                  <w:pPr>
                    <w:pStyle w:val="118"/>
                    <w:kinsoku w:val="0"/>
                    <w:overflowPunct w:val="0"/>
                    <w:spacing w:line="261" w:lineRule="exact"/>
                    <w:ind w:left="31"/>
                    <w:rPr>
                      <w:rFonts w:hint="default" w:ascii="Times New Roman" w:hAnsi="Times New Roman" w:cs="Times New Roman"/>
                      <w:color w:val="auto"/>
                      <w:w w:val="99"/>
                      <w:sz w:val="21"/>
                    </w:rPr>
                  </w:pPr>
                  <w:r>
                    <w:rPr>
                      <w:rFonts w:hint="default" w:ascii="Times New Roman" w:hAnsi="Times New Roman" w:cs="Times New Roman"/>
                      <w:color w:val="auto"/>
                      <w:w w:val="99"/>
                      <w:sz w:val="21"/>
                    </w:rPr>
                    <w:t>一</w:t>
                  </w:r>
                </w:p>
              </w:tc>
              <w:tc>
                <w:tcPr>
                  <w:tcW w:w="953" w:type="pct"/>
                  <w:tcBorders>
                    <w:tl2br w:val="nil"/>
                    <w:tr2bl w:val="nil"/>
                  </w:tcBorders>
                  <w:noWrap w:val="0"/>
                  <w:vAlign w:val="top"/>
                </w:tcPr>
                <w:p>
                  <w:pPr>
                    <w:pStyle w:val="118"/>
                    <w:kinsoku w:val="0"/>
                    <w:overflowPunct w:val="0"/>
                    <w:spacing w:line="261" w:lineRule="exact"/>
                    <w:ind w:left="33"/>
                    <w:rPr>
                      <w:rFonts w:hint="default" w:ascii="Times New Roman" w:hAnsi="Times New Roman" w:cs="Times New Roman"/>
                      <w:color w:val="auto"/>
                      <w:w w:val="99"/>
                      <w:sz w:val="21"/>
                    </w:rPr>
                  </w:pPr>
                  <w:r>
                    <w:rPr>
                      <w:rFonts w:hint="default" w:ascii="Times New Roman" w:hAnsi="Times New Roman" w:cs="Times New Roman"/>
                      <w:color w:val="auto"/>
                      <w:w w:val="99"/>
                      <w:sz w:val="21"/>
                    </w:rPr>
                    <w:t>二</w:t>
                  </w:r>
                </w:p>
              </w:tc>
              <w:tc>
                <w:tcPr>
                  <w:tcW w:w="995" w:type="pct"/>
                  <w:tcBorders>
                    <w:tl2br w:val="nil"/>
                    <w:tr2bl w:val="nil"/>
                  </w:tcBorders>
                  <w:noWrap w:val="0"/>
                  <w:vAlign w:val="top"/>
                </w:tcPr>
                <w:p>
                  <w:pPr>
                    <w:pStyle w:val="118"/>
                    <w:kinsoku w:val="0"/>
                    <w:overflowPunct w:val="0"/>
                    <w:spacing w:line="261" w:lineRule="exact"/>
                    <w:ind w:right="3"/>
                    <w:rPr>
                      <w:rFonts w:hint="default" w:ascii="Times New Roman" w:hAnsi="Times New Roman" w:cs="Times New Roman"/>
                      <w:color w:val="auto"/>
                      <w:w w:val="99"/>
                      <w:sz w:val="21"/>
                    </w:rPr>
                  </w:pPr>
                  <w:r>
                    <w:rPr>
                      <w:rFonts w:hint="default" w:ascii="Times New Roman" w:hAnsi="Times New Roman" w:cs="Times New Roman"/>
                      <w:color w:val="auto"/>
                      <w:w w:val="99"/>
                      <w:sz w:val="21"/>
                    </w:rPr>
                    <w:t>三</w:t>
                  </w:r>
                </w:p>
              </w:tc>
              <w:tc>
                <w:tcPr>
                  <w:tcW w:w="1007" w:type="pct"/>
                  <w:tcBorders>
                    <w:tl2br w:val="nil"/>
                    <w:tr2bl w:val="nil"/>
                  </w:tcBorders>
                  <w:noWrap w:val="0"/>
                  <w:vAlign w:val="top"/>
                </w:tcPr>
                <w:p>
                  <w:pPr>
                    <w:pStyle w:val="118"/>
                    <w:kinsoku w:val="0"/>
                    <w:overflowPunct w:val="0"/>
                    <w:spacing w:line="261" w:lineRule="exact"/>
                    <w:ind w:left="537"/>
                    <w:jc w:val="left"/>
                    <w:rPr>
                      <w:rFonts w:hint="default" w:ascii="Times New Roman" w:hAnsi="Times New Roman" w:cs="Times New Roman"/>
                      <w:color w:val="auto"/>
                      <w:w w:val="95"/>
                      <w:sz w:val="21"/>
                    </w:rPr>
                  </w:pPr>
                  <w:r>
                    <w:rPr>
                      <w:rFonts w:hint="default" w:ascii="Times New Roman" w:hAnsi="Times New Roman" w:cs="Times New Roman"/>
                      <w:color w:val="auto"/>
                      <w:w w:val="95"/>
                      <w:sz w:val="21"/>
                    </w:rPr>
                    <w:t>简单分析</w:t>
                  </w:r>
                </w:p>
              </w:tc>
            </w:tr>
          </w:tbl>
          <w:p>
            <w:pPr>
              <w:pStyle w:val="118"/>
              <w:kinsoku w:val="0"/>
              <w:overflowPunct w:val="0"/>
              <w:spacing w:before="195" w:line="357"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结合前文物质和工艺系统的危险性及其所在地的环境敏感程度判定项目环境风险潜势及环境风险评价等级见下表所示。</w:t>
            </w:r>
          </w:p>
          <w:p>
            <w:pPr>
              <w:pStyle w:val="118"/>
              <w:kinsoku w:val="0"/>
              <w:overflowPunct w:val="0"/>
              <w:spacing w:before="195" w:line="357" w:lineRule="auto"/>
              <w:ind w:firstLine="480"/>
              <w:jc w:val="center"/>
              <w:rPr>
                <w:rFonts w:hint="default" w:ascii="Times New Roman" w:hAnsi="Times New Roman" w:cs="Times New Roman"/>
                <w:color w:val="auto"/>
                <w:sz w:val="24"/>
                <w:lang w:val="en-US" w:eastAsia="zh-CN"/>
              </w:rPr>
            </w:pPr>
            <w:r>
              <w:rPr>
                <w:rFonts w:hint="default" w:ascii="Times New Roman" w:hAnsi="Times New Roman" w:cs="Times New Roman"/>
                <w:b/>
                <w:color w:val="auto"/>
                <w:sz w:val="24"/>
              </w:rPr>
              <w:t xml:space="preserve">表 </w:t>
            </w:r>
            <w:r>
              <w:rPr>
                <w:rFonts w:hint="default" w:ascii="Times New Roman" w:hAnsi="Times New Roman" w:eastAsia="Times New Roman" w:cs="Times New Roman"/>
                <w:b/>
                <w:color w:val="auto"/>
                <w:sz w:val="24"/>
              </w:rPr>
              <w:t>7-</w:t>
            </w:r>
            <w:r>
              <w:rPr>
                <w:rFonts w:hint="default" w:ascii="Times New Roman" w:hAnsi="Times New Roman" w:eastAsia="宋体" w:cs="Times New Roman"/>
                <w:b/>
                <w:color w:val="auto"/>
                <w:sz w:val="24"/>
                <w:lang w:val="en-US" w:eastAsia="zh-CN"/>
              </w:rPr>
              <w:t>30</w:t>
            </w:r>
            <w:r>
              <w:rPr>
                <w:rFonts w:hint="default" w:ascii="Times New Roman" w:hAnsi="Times New Roman" w:eastAsia="Times New Roman" w:cs="Times New Roman"/>
                <w:b/>
                <w:color w:val="auto"/>
                <w:sz w:val="24"/>
              </w:rPr>
              <w:t xml:space="preserve">  </w:t>
            </w:r>
            <w:r>
              <w:rPr>
                <w:rFonts w:hint="default" w:ascii="Times New Roman" w:hAnsi="Times New Roman" w:cs="Times New Roman"/>
                <w:b/>
                <w:color w:val="auto"/>
                <w:sz w:val="24"/>
              </w:rPr>
              <w:t>项目环境风险潜势及环境风险评价等级一览表</w:t>
            </w:r>
          </w:p>
          <w:tbl>
            <w:tblPr>
              <w:tblStyle w:val="33"/>
              <w:tblpPr w:leftFromText="180" w:rightFromText="180" w:vertAnchor="text" w:horzAnchor="page" w:tblpX="165" w:tblpY="27"/>
              <w:tblOverlap w:val="never"/>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565"/>
              <w:gridCol w:w="659"/>
              <w:gridCol w:w="1606"/>
              <w:gridCol w:w="1606"/>
              <w:gridCol w:w="1606"/>
              <w:gridCol w:w="163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3224" w:type="dxa"/>
                  <w:gridSpan w:val="2"/>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危险物质及工艺系统危险性</w:t>
                  </w:r>
                </w:p>
              </w:tc>
              <w:tc>
                <w:tcPr>
                  <w:tcW w:w="3212" w:type="dxa"/>
                  <w:gridSpan w:val="2"/>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环境要素</w:t>
                  </w:r>
                </w:p>
              </w:tc>
              <w:tc>
                <w:tcPr>
                  <w:tcW w:w="1606"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环境风险潜势</w:t>
                  </w:r>
                </w:p>
              </w:tc>
              <w:tc>
                <w:tcPr>
                  <w:tcW w:w="1633"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项目评价等级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2565"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Q=</w:t>
                  </w:r>
                  <w:r>
                    <w:rPr>
                      <w:rFonts w:hint="default" w:ascii="Times New Roman" w:hAnsi="Times New Roman" w:cs="Times New Roman"/>
                      <w:color w:val="auto"/>
                      <w:sz w:val="21"/>
                      <w:szCs w:val="22"/>
                      <w:lang w:val="en-US" w:eastAsia="zh-CN"/>
                    </w:rPr>
                    <w:t>20.552</w:t>
                  </w:r>
                  <w:r>
                    <w:rPr>
                      <w:rFonts w:hint="default" w:ascii="Times New Roman" w:hAnsi="Times New Roman" w:eastAsia="宋体" w:cs="Times New Roman"/>
                      <w:color w:val="auto"/>
                      <w:sz w:val="21"/>
                      <w:szCs w:val="22"/>
                    </w:rPr>
                    <w:t>，</w:t>
                  </w:r>
                  <w:r>
                    <w:rPr>
                      <w:rFonts w:hint="default" w:ascii="Times New Roman" w:hAnsi="Times New Roman" w:eastAsia="宋体" w:cs="Times New Roman"/>
                      <w:color w:val="auto"/>
                      <w:spacing w:val="-4"/>
                      <w:sz w:val="24"/>
                      <w:szCs w:val="22"/>
                    </w:rPr>
                    <w:t>10≤Q＜100</w:t>
                  </w:r>
                </w:p>
              </w:tc>
              <w:tc>
                <w:tcPr>
                  <w:tcW w:w="659" w:type="dxa"/>
                  <w:vMerge w:val="restart"/>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ind w:left="0" w:right="0"/>
                    <w:textAlignment w:val="auto"/>
                    <w:rPr>
                      <w:rFonts w:hint="default" w:ascii="Times New Roman" w:hAnsi="Times New Roman" w:eastAsia="宋体" w:cs="Times New Roman"/>
                      <w:color w:val="auto"/>
                      <w:sz w:val="21"/>
                      <w:szCs w:val="22"/>
                      <w:lang w:eastAsia="zh-CN"/>
                    </w:rPr>
                  </w:pPr>
                  <w:r>
                    <w:rPr>
                      <w:rFonts w:hint="default" w:ascii="Times New Roman" w:hAnsi="Times New Roman" w:eastAsia="宋体" w:cs="Times New Roman"/>
                      <w:color w:val="auto"/>
                      <w:sz w:val="21"/>
                      <w:szCs w:val="22"/>
                    </w:rPr>
                    <w:t>P</w:t>
                  </w:r>
                  <w:r>
                    <w:rPr>
                      <w:rFonts w:hint="default" w:ascii="Times New Roman" w:hAnsi="Times New Roman" w:cs="Times New Roman"/>
                      <w:color w:val="auto"/>
                      <w:sz w:val="21"/>
                      <w:szCs w:val="22"/>
                      <w:lang w:val="en-US" w:eastAsia="zh-CN"/>
                    </w:rPr>
                    <w:t>4</w:t>
                  </w:r>
                </w:p>
              </w:tc>
              <w:tc>
                <w:tcPr>
                  <w:tcW w:w="1606"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地表水</w:t>
                  </w:r>
                </w:p>
              </w:tc>
              <w:tc>
                <w:tcPr>
                  <w:tcW w:w="1606"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E3</w:t>
                  </w:r>
                </w:p>
              </w:tc>
              <w:tc>
                <w:tcPr>
                  <w:tcW w:w="1606"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Ⅰ</w:t>
                  </w:r>
                </w:p>
              </w:tc>
              <w:tc>
                <w:tcPr>
                  <w:tcW w:w="1633"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textAlignment w:val="auto"/>
                    <w:rPr>
                      <w:rFonts w:hint="default" w:ascii="Times New Roman" w:hAnsi="Times New Roman" w:eastAsia="宋体" w:cs="Times New Roman"/>
                      <w:color w:val="auto"/>
                      <w:sz w:val="21"/>
                      <w:szCs w:val="22"/>
                      <w:lang w:val="en-US" w:eastAsia="zh-CN"/>
                    </w:rPr>
                  </w:pPr>
                  <w:r>
                    <w:rPr>
                      <w:rFonts w:hint="default" w:ascii="Times New Roman" w:hAnsi="Times New Roman" w:cs="Times New Roman"/>
                      <w:color w:val="auto"/>
                      <w:sz w:val="21"/>
                      <w:szCs w:val="22"/>
                      <w:lang w:val="en-US" w:eastAsia="zh-CN"/>
                    </w:rPr>
                    <w:t>简单分析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2565"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M4</w:t>
                  </w:r>
                </w:p>
              </w:tc>
              <w:tc>
                <w:tcPr>
                  <w:tcW w:w="659" w:type="dxa"/>
                  <w:vMerge w:val="continue"/>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textAlignment w:val="auto"/>
                    <w:rPr>
                      <w:rFonts w:hint="default" w:ascii="Times New Roman" w:hAnsi="Times New Roman" w:eastAsia="宋体" w:cs="Times New Roman"/>
                      <w:color w:val="auto"/>
                      <w:sz w:val="21"/>
                      <w:szCs w:val="22"/>
                    </w:rPr>
                  </w:pPr>
                </w:p>
              </w:tc>
              <w:tc>
                <w:tcPr>
                  <w:tcW w:w="1606"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地下水</w:t>
                  </w:r>
                </w:p>
              </w:tc>
              <w:tc>
                <w:tcPr>
                  <w:tcW w:w="1606"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E2</w:t>
                  </w:r>
                </w:p>
              </w:tc>
              <w:tc>
                <w:tcPr>
                  <w:tcW w:w="1606"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Ⅱ</w:t>
                  </w:r>
                </w:p>
              </w:tc>
              <w:tc>
                <w:tcPr>
                  <w:tcW w:w="1633"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ind w:left="0" w:right="0"/>
                    <w:textAlignment w:val="auto"/>
                    <w:rPr>
                      <w:rFonts w:hint="default" w:ascii="Times New Roman" w:hAnsi="Times New Roman" w:eastAsia="宋体" w:cs="Times New Roman"/>
                      <w:color w:val="auto"/>
                      <w:sz w:val="21"/>
                      <w:szCs w:val="22"/>
                    </w:rPr>
                  </w:pPr>
                  <w:r>
                    <w:rPr>
                      <w:rFonts w:hint="default" w:ascii="Times New Roman" w:hAnsi="Times New Roman" w:cs="Times New Roman"/>
                      <w:color w:val="auto"/>
                      <w:sz w:val="21"/>
                      <w:szCs w:val="22"/>
                      <w:lang w:val="en-US" w:eastAsia="zh-CN"/>
                    </w:rPr>
                    <w:t>三</w:t>
                  </w:r>
                  <w:r>
                    <w:rPr>
                      <w:rFonts w:hint="default" w:ascii="Times New Roman" w:hAnsi="Times New Roman" w:eastAsia="宋体" w:cs="Times New Roman"/>
                      <w:color w:val="auto"/>
                      <w:sz w:val="21"/>
                      <w:szCs w:val="22"/>
                    </w:rPr>
                    <w:t>级</w:t>
                  </w:r>
                </w:p>
              </w:tc>
            </w:tr>
          </w:tbl>
          <w:p>
            <w:pPr>
              <w:pStyle w:val="118"/>
              <w:kinsoku w:val="0"/>
              <w:overflowPunct w:val="0"/>
              <w:spacing w:before="195" w:line="357" w:lineRule="auto"/>
              <w:ind w:firstLine="48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由上表可知，本项目地表水及地下水环境各要素环境风险评价等级分别为</w:t>
            </w:r>
            <w:r>
              <w:rPr>
                <w:rFonts w:hint="default" w:ascii="Times New Roman" w:hAnsi="Times New Roman" w:cs="Times New Roman"/>
                <w:color w:val="auto"/>
                <w:sz w:val="24"/>
                <w:lang w:val="en-US" w:eastAsia="zh-CN"/>
              </w:rPr>
              <w:t>简单分析</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三级。</w:t>
            </w:r>
          </w:p>
          <w:p>
            <w:pPr>
              <w:spacing w:line="360" w:lineRule="auto"/>
              <w:ind w:firstLine="48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2）地下水环境风险分析</w:t>
            </w:r>
          </w:p>
          <w:p>
            <w:pPr>
              <w:spacing w:line="360" w:lineRule="auto"/>
              <w:ind w:firstLine="48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本项目非正常状况主要为</w:t>
            </w:r>
            <w:r>
              <w:rPr>
                <w:rFonts w:hint="default" w:ascii="Times New Roman" w:hAnsi="Times New Roman" w:cs="Times New Roman"/>
                <w:color w:val="auto"/>
                <w:sz w:val="24"/>
                <w:szCs w:val="22"/>
                <w:lang w:val="en-US" w:eastAsia="zh-CN"/>
              </w:rPr>
              <w:t>垃圾渗滤液</w:t>
            </w:r>
            <w:r>
              <w:rPr>
                <w:rFonts w:hint="default" w:ascii="Times New Roman" w:hAnsi="Times New Roman" w:cs="Times New Roman"/>
                <w:color w:val="auto"/>
                <w:sz w:val="24"/>
                <w:szCs w:val="22"/>
              </w:rPr>
              <w:t>处理单元池体破裂等状况导致的污染物渗入地下水的情形。假设</w:t>
            </w:r>
            <w:r>
              <w:rPr>
                <w:rFonts w:hint="default" w:ascii="Times New Roman" w:hAnsi="Times New Roman" w:cs="Times New Roman"/>
                <w:color w:val="auto"/>
                <w:sz w:val="24"/>
                <w:szCs w:val="22"/>
                <w:lang w:val="en-US" w:eastAsia="zh-CN"/>
              </w:rPr>
              <w:t>原水储罐</w:t>
            </w:r>
            <w:r>
              <w:rPr>
                <w:rFonts w:hint="default" w:ascii="Times New Roman" w:hAnsi="Times New Roman" w:cs="Times New Roman"/>
                <w:color w:val="auto"/>
                <w:sz w:val="24"/>
                <w:szCs w:val="22"/>
              </w:rPr>
              <w:t>发生渗漏，预测池体发生泄漏后的100d和1000d的污染情况。</w:t>
            </w:r>
          </w:p>
          <w:p>
            <w:pPr>
              <w:spacing w:line="360" w:lineRule="auto"/>
              <w:ind w:firstLine="48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rPr>
              <w:t>本项目发生泄漏情况下，</w:t>
            </w:r>
            <w:r>
              <w:rPr>
                <w:rFonts w:hint="default" w:ascii="Times New Roman" w:hAnsi="Times New Roman" w:cs="Times New Roman"/>
                <w:color w:val="auto"/>
                <w:sz w:val="24"/>
                <w:szCs w:val="22"/>
                <w:lang w:val="en-US" w:eastAsia="zh-CN"/>
              </w:rPr>
              <w:t>COD</w:t>
            </w:r>
            <w:r>
              <w:rPr>
                <w:rFonts w:hint="default" w:ascii="Times New Roman" w:hAnsi="Times New Roman" w:cs="Times New Roman"/>
                <w:color w:val="auto"/>
                <w:sz w:val="24"/>
                <w:szCs w:val="22"/>
              </w:rPr>
              <w:t>100d影响范围在泄漏点至下游</w:t>
            </w:r>
            <w:r>
              <w:rPr>
                <w:rFonts w:hint="default" w:ascii="Times New Roman" w:hAnsi="Times New Roman" w:cs="Times New Roman"/>
                <w:color w:val="auto"/>
                <w:sz w:val="24"/>
                <w:szCs w:val="22"/>
                <w:lang w:val="en-US" w:eastAsia="zh-CN"/>
              </w:rPr>
              <w:t>54</w:t>
            </w:r>
            <w:r>
              <w:rPr>
                <w:rFonts w:hint="default" w:ascii="Times New Roman" w:hAnsi="Times New Roman" w:cs="Times New Roman"/>
                <w:color w:val="auto"/>
                <w:sz w:val="24"/>
                <w:szCs w:val="22"/>
              </w:rPr>
              <w:t>m范围内，</w:t>
            </w:r>
            <w:r>
              <w:rPr>
                <w:rFonts w:hint="default" w:ascii="Times New Roman" w:hAnsi="Times New Roman" w:cs="Times New Roman"/>
                <w:color w:val="auto"/>
                <w:sz w:val="24"/>
                <w:szCs w:val="22"/>
                <w:lang w:val="en-US" w:eastAsia="zh-CN"/>
              </w:rPr>
              <w:t>26</w:t>
            </w:r>
            <w:r>
              <w:rPr>
                <w:rFonts w:hint="default" w:ascii="Times New Roman" w:hAnsi="Times New Roman" w:cs="Times New Roman"/>
                <w:color w:val="auto"/>
                <w:sz w:val="24"/>
                <w:szCs w:val="22"/>
              </w:rPr>
              <w:t>m处</w:t>
            </w:r>
            <w:r>
              <w:rPr>
                <w:rFonts w:hint="default" w:ascii="Times New Roman" w:hAnsi="Times New Roman" w:cs="Times New Roman"/>
                <w:color w:val="auto"/>
                <w:sz w:val="24"/>
                <w:szCs w:val="22"/>
                <w:lang w:val="en-US" w:eastAsia="zh-CN"/>
              </w:rPr>
              <w:t>COD</w:t>
            </w:r>
            <w:r>
              <w:rPr>
                <w:rFonts w:hint="default" w:ascii="Times New Roman" w:hAnsi="Times New Roman" w:cs="Times New Roman"/>
                <w:color w:val="auto"/>
                <w:sz w:val="24"/>
                <w:szCs w:val="22"/>
              </w:rPr>
              <w:t>可以满足《地下水质量标准》（GB/T14848-2017）Ⅲ类标准；</w:t>
            </w:r>
            <w:r>
              <w:rPr>
                <w:rFonts w:hint="default" w:ascii="Times New Roman" w:hAnsi="Times New Roman" w:cs="Times New Roman"/>
                <w:color w:val="auto"/>
                <w:sz w:val="24"/>
                <w:szCs w:val="22"/>
                <w:lang w:val="en-US" w:eastAsia="zh-CN"/>
              </w:rPr>
              <w:t>COD</w:t>
            </w:r>
            <w:r>
              <w:rPr>
                <w:rFonts w:hint="default" w:ascii="Times New Roman" w:hAnsi="Times New Roman" w:cs="Times New Roman"/>
                <w:color w:val="auto"/>
                <w:sz w:val="24"/>
                <w:szCs w:val="22"/>
              </w:rPr>
              <w:t>1000d影响范围在泄漏点至下游</w:t>
            </w:r>
            <w:r>
              <w:rPr>
                <w:rFonts w:hint="default" w:ascii="Times New Roman" w:hAnsi="Times New Roman" w:cs="Times New Roman"/>
                <w:color w:val="auto"/>
                <w:sz w:val="24"/>
                <w:szCs w:val="22"/>
                <w:lang w:val="en-US" w:eastAsia="zh-CN"/>
              </w:rPr>
              <w:t>1</w:t>
            </w:r>
            <w:r>
              <w:rPr>
                <w:rFonts w:hint="default" w:ascii="Times New Roman" w:hAnsi="Times New Roman" w:cs="Times New Roman"/>
                <w:color w:val="auto"/>
                <w:sz w:val="24"/>
                <w:szCs w:val="22"/>
              </w:rPr>
              <w:t>00m范围内，</w:t>
            </w:r>
            <w:r>
              <w:rPr>
                <w:rFonts w:hint="default" w:ascii="Times New Roman" w:hAnsi="Times New Roman" w:cs="Times New Roman"/>
                <w:color w:val="auto"/>
                <w:sz w:val="24"/>
                <w:szCs w:val="22"/>
                <w:lang w:val="en-US" w:eastAsia="zh-CN"/>
              </w:rPr>
              <w:t>95</w:t>
            </w:r>
            <w:r>
              <w:rPr>
                <w:rFonts w:hint="default" w:ascii="Times New Roman" w:hAnsi="Times New Roman" w:cs="Times New Roman"/>
                <w:color w:val="auto"/>
                <w:sz w:val="24"/>
                <w:szCs w:val="22"/>
              </w:rPr>
              <w:t>m处</w:t>
            </w:r>
            <w:r>
              <w:rPr>
                <w:rFonts w:hint="default" w:ascii="Times New Roman" w:hAnsi="Times New Roman" w:cs="Times New Roman"/>
                <w:color w:val="auto"/>
                <w:sz w:val="24"/>
                <w:szCs w:val="22"/>
                <w:lang w:val="en-US" w:eastAsia="zh-CN"/>
              </w:rPr>
              <w:t>COD</w:t>
            </w:r>
            <w:r>
              <w:rPr>
                <w:rFonts w:hint="default" w:ascii="Times New Roman" w:hAnsi="Times New Roman" w:cs="Times New Roman"/>
                <w:color w:val="auto"/>
                <w:sz w:val="24"/>
                <w:szCs w:val="22"/>
              </w:rPr>
              <w:t>可以满足《地下水质量标准》（GB/T14848-2017）Ⅲ类标准。</w:t>
            </w:r>
            <w:r>
              <w:rPr>
                <w:rFonts w:hint="default" w:ascii="Times New Roman" w:hAnsi="Times New Roman" w:cs="Times New Roman"/>
                <w:color w:val="auto"/>
                <w:sz w:val="24"/>
                <w:szCs w:val="22"/>
                <w:lang w:val="en-US" w:eastAsia="zh-CN"/>
              </w:rPr>
              <w:t>氨氮</w:t>
            </w:r>
            <w:r>
              <w:rPr>
                <w:rFonts w:hint="default" w:ascii="Times New Roman" w:hAnsi="Times New Roman" w:cs="Times New Roman"/>
                <w:color w:val="auto"/>
                <w:sz w:val="24"/>
                <w:szCs w:val="22"/>
              </w:rPr>
              <w:t>100d影响范围在泄漏点至下游</w:t>
            </w:r>
            <w:r>
              <w:rPr>
                <w:rFonts w:hint="default" w:ascii="Times New Roman" w:hAnsi="Times New Roman" w:cs="Times New Roman"/>
                <w:color w:val="auto"/>
                <w:sz w:val="24"/>
                <w:szCs w:val="22"/>
                <w:lang w:val="en-US" w:eastAsia="zh-CN"/>
              </w:rPr>
              <w:t>54</w:t>
            </w:r>
            <w:r>
              <w:rPr>
                <w:rFonts w:hint="default" w:ascii="Times New Roman" w:hAnsi="Times New Roman" w:cs="Times New Roman"/>
                <w:color w:val="auto"/>
                <w:sz w:val="24"/>
                <w:szCs w:val="22"/>
              </w:rPr>
              <w:t>m范围内，</w:t>
            </w:r>
            <w:r>
              <w:rPr>
                <w:rFonts w:hint="default" w:ascii="Times New Roman" w:hAnsi="Times New Roman" w:cs="Times New Roman"/>
                <w:color w:val="auto"/>
                <w:sz w:val="24"/>
                <w:szCs w:val="22"/>
                <w:lang w:val="en-US" w:eastAsia="zh-CN"/>
              </w:rPr>
              <w:t>25</w:t>
            </w:r>
            <w:r>
              <w:rPr>
                <w:rFonts w:hint="default" w:ascii="Times New Roman" w:hAnsi="Times New Roman" w:cs="Times New Roman"/>
                <w:color w:val="auto"/>
                <w:sz w:val="24"/>
                <w:szCs w:val="22"/>
              </w:rPr>
              <w:t>m处</w:t>
            </w:r>
            <w:r>
              <w:rPr>
                <w:rFonts w:hint="default" w:ascii="Times New Roman" w:hAnsi="Times New Roman" w:cs="Times New Roman"/>
                <w:color w:val="auto"/>
                <w:sz w:val="24"/>
                <w:szCs w:val="22"/>
                <w:lang w:val="en-US" w:eastAsia="zh-CN"/>
              </w:rPr>
              <w:t>氨氮</w:t>
            </w:r>
            <w:r>
              <w:rPr>
                <w:rFonts w:hint="default" w:ascii="Times New Roman" w:hAnsi="Times New Roman" w:cs="Times New Roman"/>
                <w:color w:val="auto"/>
                <w:sz w:val="24"/>
                <w:szCs w:val="22"/>
              </w:rPr>
              <w:t>可以满足《地下水质量标准》（GB/T14848-2017）Ⅲ类标准；</w:t>
            </w:r>
            <w:r>
              <w:rPr>
                <w:rFonts w:hint="default" w:ascii="Times New Roman" w:hAnsi="Times New Roman" w:cs="Times New Roman"/>
                <w:color w:val="auto"/>
                <w:sz w:val="24"/>
                <w:szCs w:val="22"/>
                <w:lang w:val="en-US" w:eastAsia="zh-CN"/>
              </w:rPr>
              <w:t>氨氮</w:t>
            </w:r>
            <w:r>
              <w:rPr>
                <w:rFonts w:hint="default" w:ascii="Times New Roman" w:hAnsi="Times New Roman" w:cs="Times New Roman"/>
                <w:color w:val="auto"/>
                <w:sz w:val="24"/>
                <w:szCs w:val="22"/>
              </w:rPr>
              <w:t>1000d影响范围在泄漏点至下游</w:t>
            </w:r>
            <w:r>
              <w:rPr>
                <w:rFonts w:hint="default" w:ascii="Times New Roman" w:hAnsi="Times New Roman" w:cs="Times New Roman"/>
                <w:color w:val="auto"/>
                <w:sz w:val="24"/>
                <w:szCs w:val="22"/>
                <w:lang w:val="en-US" w:eastAsia="zh-CN"/>
              </w:rPr>
              <w:t>1</w:t>
            </w:r>
            <w:r>
              <w:rPr>
                <w:rFonts w:hint="default" w:ascii="Times New Roman" w:hAnsi="Times New Roman" w:cs="Times New Roman"/>
                <w:color w:val="auto"/>
                <w:sz w:val="24"/>
                <w:szCs w:val="22"/>
              </w:rPr>
              <w:t>00m范围内，</w:t>
            </w:r>
            <w:r>
              <w:rPr>
                <w:rFonts w:hint="default" w:ascii="Times New Roman" w:hAnsi="Times New Roman" w:cs="Times New Roman"/>
                <w:color w:val="auto"/>
                <w:sz w:val="24"/>
                <w:szCs w:val="22"/>
                <w:lang w:val="en-US" w:eastAsia="zh-CN"/>
              </w:rPr>
              <w:t>91</w:t>
            </w:r>
            <w:r>
              <w:rPr>
                <w:rFonts w:hint="default" w:ascii="Times New Roman" w:hAnsi="Times New Roman" w:cs="Times New Roman"/>
                <w:color w:val="auto"/>
                <w:sz w:val="24"/>
                <w:szCs w:val="22"/>
              </w:rPr>
              <w:t>m处</w:t>
            </w:r>
            <w:r>
              <w:rPr>
                <w:rFonts w:hint="default" w:ascii="Times New Roman" w:hAnsi="Times New Roman" w:cs="Times New Roman"/>
                <w:color w:val="auto"/>
                <w:sz w:val="24"/>
                <w:szCs w:val="22"/>
                <w:lang w:val="en-US" w:eastAsia="zh-CN"/>
              </w:rPr>
              <w:t>氨氮可以满足《地下水质量标准》（GB/T14848-2017）Ⅲ类标准。</w:t>
            </w:r>
          </w:p>
          <w:p>
            <w:pPr>
              <w:spacing w:line="360" w:lineRule="auto"/>
              <w:ind w:firstLine="48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项目评价范围内地下水流向下游500m范围无地下水饮用水井，非正常状况下，污水泄漏不会对地下水流向下游地下饮用水造成影响。</w:t>
            </w:r>
          </w:p>
          <w:p>
            <w:pPr>
              <w:spacing w:line="360" w:lineRule="auto"/>
              <w:ind w:firstLine="48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（5）环境风险防范措施及应急要求</w:t>
            </w:r>
          </w:p>
          <w:p>
            <w:pPr>
              <w:spacing w:line="360" w:lineRule="auto"/>
              <w:ind w:firstLine="48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1）渗滤液泄漏风险防范措施</w:t>
            </w:r>
          </w:p>
          <w:p>
            <w:pPr>
              <w:spacing w:line="360" w:lineRule="auto"/>
              <w:ind w:firstLine="48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①定期检查各管道、构筑物池体防渗性，落实专门管理人员，制定相关责任制度；</w:t>
            </w:r>
          </w:p>
          <w:p>
            <w:pPr>
              <w:spacing w:line="360" w:lineRule="auto"/>
              <w:ind w:firstLine="48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②加强设备的维护与管理，提高设施的完好率；</w:t>
            </w:r>
          </w:p>
          <w:p>
            <w:pPr>
              <w:spacing w:line="360" w:lineRule="auto"/>
              <w:ind w:firstLine="48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③加强职工操作技能培训，建立和严格执行各部门的运行管理制度，杜绝操作事故隐患</w:t>
            </w:r>
          </w:p>
          <w:p>
            <w:pPr>
              <w:spacing w:line="360" w:lineRule="auto"/>
              <w:ind w:firstLine="48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④一旦发生渗滤液泄漏，需立即排查泄露点，封堵泄露源，收容泄漏物，防止泄漏物进入下水道、地表水和地下水等造成环境污染。当小量泄漏时，用砂土、干灰混合，也可用水冲洗，冲洗后排入事故应急池，防止渗滤液漫流和污染土壤及地下水。当发生大量泄漏时， 应尽可能收集进入渗滤液调节池，集中进行妥善处理，防止漫流。</w:t>
            </w:r>
          </w:p>
          <w:p>
            <w:pPr>
              <w:spacing w:line="360" w:lineRule="auto"/>
              <w:ind w:firstLine="48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⑤进一步细化事故应对措施；平时进行职工教育和信息发布，并加强应急培训与演练； 一旦发生泄漏事故，则应积极组织应急处置，并做好相关善后恢复措施。</w:t>
            </w:r>
          </w:p>
          <w:p>
            <w:pPr>
              <w:spacing w:line="360" w:lineRule="auto"/>
              <w:ind w:firstLine="48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2）渗滤液事故性排放环境风险防范措施</w:t>
            </w:r>
          </w:p>
          <w:p>
            <w:pPr>
              <w:spacing w:line="360" w:lineRule="auto"/>
              <w:ind w:firstLine="48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①严格制定各设备、工艺操作规程，落实专门管理人员，制定相关责任制度；</w:t>
            </w:r>
          </w:p>
          <w:p>
            <w:pPr>
              <w:spacing w:line="360" w:lineRule="auto"/>
              <w:ind w:firstLine="48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②严格执行设备操作规程，保证废水处理系统安全稳定运行；</w:t>
            </w:r>
          </w:p>
          <w:p>
            <w:pPr>
              <w:spacing w:line="360" w:lineRule="auto"/>
              <w:ind w:firstLine="48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③加强对出水水质及流量的监测，做好每日记录，一旦发现出水水质异常或水量超量， 应立即通知厂区应急指挥中心，启动应急预案，通知或上报相关部门和单位作出处理。</w:t>
            </w:r>
          </w:p>
          <w:p>
            <w:pPr>
              <w:spacing w:line="360" w:lineRule="auto"/>
              <w:ind w:firstLine="48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④渗滤液设置回灌系统，调节池容积为9100m</w:t>
            </w:r>
            <w:r>
              <w:rPr>
                <w:rFonts w:hint="default" w:ascii="Times New Roman" w:hAnsi="Times New Roman" w:cs="Times New Roman"/>
                <w:color w:val="auto"/>
                <w:sz w:val="24"/>
                <w:szCs w:val="22"/>
                <w:vertAlign w:val="superscript"/>
                <w:lang w:val="en-US" w:eastAsia="zh-CN"/>
              </w:rPr>
              <w:t>3</w:t>
            </w:r>
            <w:r>
              <w:rPr>
                <w:rFonts w:hint="default" w:ascii="Times New Roman" w:hAnsi="Times New Roman" w:cs="Times New Roman"/>
                <w:color w:val="auto"/>
                <w:sz w:val="24"/>
                <w:szCs w:val="22"/>
                <w:vertAlign w:val="baseline"/>
                <w:lang w:val="en-US" w:eastAsia="zh-CN"/>
              </w:rPr>
              <w:t>，</w:t>
            </w:r>
            <w:r>
              <w:rPr>
                <w:rFonts w:hint="default" w:ascii="Times New Roman" w:hAnsi="Times New Roman" w:cs="Times New Roman"/>
                <w:color w:val="auto"/>
                <w:sz w:val="24"/>
                <w:szCs w:val="22"/>
                <w:lang w:val="en-US" w:eastAsia="zh-CN"/>
              </w:rPr>
              <w:t>当处理系统出现异常时，应打开应急处理池阀门，及时关闭渗滤液排放口，查明排污源头，采取针对性措施控制排污。对于车间处理设施发生故障时，原有渗滤液处理车间作为备用处理系统，除此之外，调节池能够满足渗滤液存储30天的存储容量，同时渗滤液有回灌系统，能够保证渗滤液不外排。</w:t>
            </w:r>
          </w:p>
          <w:p>
            <w:pPr>
              <w:spacing w:line="360" w:lineRule="auto"/>
              <w:ind w:firstLine="48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（6）分析结论</w:t>
            </w:r>
          </w:p>
          <w:p>
            <w:pPr>
              <w:spacing w:line="360" w:lineRule="auto"/>
              <w:ind w:firstLine="48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综上所述，项目环境风险潜势为</w:t>
            </w:r>
            <w:r>
              <w:rPr>
                <w:rFonts w:hint="default" w:ascii="Times New Roman" w:hAnsi="Times New Roman" w:eastAsia="宋体" w:cs="Times New Roman"/>
                <w:color w:val="auto"/>
                <w:sz w:val="21"/>
                <w:szCs w:val="22"/>
              </w:rPr>
              <w:t>Ⅱ</w:t>
            </w:r>
            <w:r>
              <w:rPr>
                <w:rFonts w:hint="default" w:ascii="Times New Roman" w:hAnsi="Times New Roman" w:cs="Times New Roman"/>
                <w:color w:val="auto"/>
                <w:sz w:val="24"/>
                <w:szCs w:val="22"/>
                <w:lang w:val="en-US" w:eastAsia="zh-CN"/>
              </w:rPr>
              <w:t>级，其生产设施和所涉及的物质存在风险的可能性是很有限的，在采取严格的防范措施后，事故发生概率较小，对人群健康及周围环境不会造成不良影响。因此，本项目环境风险可接受。</w:t>
            </w:r>
          </w:p>
          <w:p>
            <w:pPr>
              <w:spacing w:line="360" w:lineRule="auto"/>
              <w:ind w:firstLine="48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（7）应急预案</w:t>
            </w:r>
          </w:p>
          <w:p>
            <w:pPr>
              <w:spacing w:line="360" w:lineRule="auto"/>
              <w:ind w:firstLine="48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环境风险评价中应急预案的主要内容见表 7-31。本项目应急预案应与企业现有应急预案联动。</w:t>
            </w:r>
          </w:p>
          <w:p>
            <w:pPr>
              <w:spacing w:line="360" w:lineRule="auto"/>
              <w:ind w:firstLine="480"/>
              <w:jc w:val="center"/>
              <w:rPr>
                <w:rFonts w:hint="default" w:ascii="Times New Roman" w:hAnsi="Times New Roman" w:cs="Times New Roman"/>
                <w:b/>
                <w:bCs/>
                <w:color w:val="auto"/>
                <w:sz w:val="24"/>
                <w:szCs w:val="22"/>
                <w:lang w:val="en-US" w:eastAsia="zh-CN"/>
              </w:rPr>
            </w:pPr>
            <w:r>
              <w:rPr>
                <w:rFonts w:hint="default" w:ascii="Times New Roman" w:hAnsi="Times New Roman" w:cs="Times New Roman"/>
                <w:b/>
                <w:bCs/>
                <w:color w:val="auto"/>
                <w:sz w:val="24"/>
                <w:szCs w:val="22"/>
                <w:lang w:val="en-US" w:eastAsia="zh-CN"/>
              </w:rPr>
              <w:t xml:space="preserve">表7-31 </w:t>
            </w:r>
            <w:r>
              <w:rPr>
                <w:rFonts w:hint="default" w:ascii="Times New Roman" w:hAnsi="Times New Roman" w:cs="Times New Roman"/>
                <w:b/>
                <w:bCs/>
                <w:color w:val="auto"/>
                <w:sz w:val="24"/>
                <w:szCs w:val="22"/>
                <w:lang w:val="en-US" w:eastAsia="zh-CN"/>
              </w:rPr>
              <w:tab/>
            </w:r>
            <w:r>
              <w:rPr>
                <w:rFonts w:hint="default" w:ascii="Times New Roman" w:hAnsi="Times New Roman" w:cs="Times New Roman"/>
                <w:b/>
                <w:bCs/>
                <w:color w:val="auto"/>
                <w:sz w:val="24"/>
                <w:szCs w:val="22"/>
                <w:lang w:val="en-US" w:eastAsia="zh-CN"/>
              </w:rPr>
              <w:t>企业应急预案一览表</w:t>
            </w:r>
          </w:p>
          <w:tbl>
            <w:tblPr>
              <w:tblStyle w:val="33"/>
              <w:tblW w:w="0" w:type="auto"/>
              <w:tblInd w:w="113"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941"/>
              <w:gridCol w:w="3005"/>
              <w:gridCol w:w="508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41"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序号</w:t>
                  </w:r>
                </w:p>
              </w:tc>
              <w:tc>
                <w:tcPr>
                  <w:tcW w:w="3005"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项目</w:t>
                  </w:r>
                </w:p>
              </w:tc>
              <w:tc>
                <w:tcPr>
                  <w:tcW w:w="5087"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内容及要求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41"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1</w:t>
                  </w:r>
                </w:p>
              </w:tc>
              <w:tc>
                <w:tcPr>
                  <w:tcW w:w="3005"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应急计划区</w:t>
                  </w:r>
                </w:p>
              </w:tc>
              <w:tc>
                <w:tcPr>
                  <w:tcW w:w="5087"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危险目标：装置区、环境保护目标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41"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2</w:t>
                  </w:r>
                </w:p>
              </w:tc>
              <w:tc>
                <w:tcPr>
                  <w:tcW w:w="3005"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应急组织机构、人员</w:t>
                  </w:r>
                </w:p>
              </w:tc>
              <w:tc>
                <w:tcPr>
                  <w:tcW w:w="5087"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工厂、地区应急组织机构、人员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41"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3</w:t>
                  </w:r>
                </w:p>
              </w:tc>
              <w:tc>
                <w:tcPr>
                  <w:tcW w:w="3005"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预案分级响应条件</w:t>
                  </w:r>
                </w:p>
              </w:tc>
              <w:tc>
                <w:tcPr>
                  <w:tcW w:w="5087"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规定预案的级别及分级响应程序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41"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4</w:t>
                  </w:r>
                </w:p>
              </w:tc>
              <w:tc>
                <w:tcPr>
                  <w:tcW w:w="3005"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应急救援保障</w:t>
                  </w:r>
                </w:p>
              </w:tc>
              <w:tc>
                <w:tcPr>
                  <w:tcW w:w="5087"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应急设施，设备与器材等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941"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5</w:t>
                  </w:r>
                </w:p>
              </w:tc>
              <w:tc>
                <w:tcPr>
                  <w:tcW w:w="3005"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报警、通讯联络方式</w:t>
                  </w:r>
                </w:p>
              </w:tc>
              <w:tc>
                <w:tcPr>
                  <w:tcW w:w="5087"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规定应急状态下的报警通讯方式、通知方式和交通保</w:t>
                  </w: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障、管制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941"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6</w:t>
                  </w:r>
                </w:p>
              </w:tc>
              <w:tc>
                <w:tcPr>
                  <w:tcW w:w="3005"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应急环境监测、抢险、救援及</w:t>
                  </w: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控制措施</w:t>
                  </w:r>
                </w:p>
              </w:tc>
              <w:tc>
                <w:tcPr>
                  <w:tcW w:w="5087"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由专业队伍负责对事故现场进行侦察监测，对事故性</w:t>
                  </w: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质、参数与后果进行评估，为指挥部门提供决策依据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941"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7</w:t>
                  </w:r>
                </w:p>
              </w:tc>
              <w:tc>
                <w:tcPr>
                  <w:tcW w:w="3005"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应急检测、防护措施、清除泄</w:t>
                  </w: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漏措施和器材</w:t>
                  </w:r>
                </w:p>
              </w:tc>
              <w:tc>
                <w:tcPr>
                  <w:tcW w:w="5087"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事故现场、邻近区域、控制防火区域，控制和清除污</w:t>
                  </w: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染措施及相应设备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20" w:hRule="atLeast"/>
              </w:trPr>
              <w:tc>
                <w:tcPr>
                  <w:tcW w:w="941"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8</w:t>
                  </w:r>
                </w:p>
              </w:tc>
              <w:tc>
                <w:tcPr>
                  <w:tcW w:w="3005"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人员紧急撤离、疏散，应急剂量控制、撤离组织计划</w:t>
                  </w:r>
                </w:p>
              </w:tc>
              <w:tc>
                <w:tcPr>
                  <w:tcW w:w="5087"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事故现场、工厂邻近区、受事故影响的区域人员及公</w:t>
                  </w: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众对毒物应急剂量控制规定，撤离组织计划及救护， 医疗救护与公众健康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20" w:hRule="atLeast"/>
              </w:trPr>
              <w:tc>
                <w:tcPr>
                  <w:tcW w:w="941"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9</w:t>
                  </w:r>
                </w:p>
              </w:tc>
              <w:tc>
                <w:tcPr>
                  <w:tcW w:w="3005"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事故应急救援关闭程序与恢复措施</w:t>
                  </w:r>
                </w:p>
              </w:tc>
              <w:tc>
                <w:tcPr>
                  <w:tcW w:w="5087"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规定应急状态终止程序</w:t>
                  </w: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事故现场善后处理，恢复措施</w:t>
                  </w: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邻近区域解除事故警戒及善后恢复措施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41"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10</w:t>
                  </w:r>
                </w:p>
              </w:tc>
              <w:tc>
                <w:tcPr>
                  <w:tcW w:w="3005"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应急培训计划</w:t>
                  </w:r>
                </w:p>
              </w:tc>
              <w:tc>
                <w:tcPr>
                  <w:tcW w:w="5087"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应急计划制定后，平时安排人员培训与演练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41"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11</w:t>
                  </w:r>
                </w:p>
              </w:tc>
              <w:tc>
                <w:tcPr>
                  <w:tcW w:w="3005"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公众教育和信息</w:t>
                  </w:r>
                </w:p>
              </w:tc>
              <w:tc>
                <w:tcPr>
                  <w:tcW w:w="5087"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对工厂邻近地区开展公众教育、培训和发布有关信息</w:t>
                  </w:r>
                </w:p>
              </w:tc>
            </w:tr>
          </w:tbl>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rPr>
              <w:t>2.</w:t>
            </w:r>
            <w:r>
              <w:rPr>
                <w:rFonts w:hint="eastAsia" w:ascii="Times New Roman" w:hAnsi="Times New Roman" w:cs="Times New Roman"/>
                <w:color w:val="auto"/>
                <w:lang w:val="en-US" w:eastAsia="zh-CN"/>
              </w:rPr>
              <w:t>10</w:t>
            </w:r>
            <w:r>
              <w:rPr>
                <w:rFonts w:hint="default" w:ascii="Times New Roman" w:hAnsi="Times New Roman" w:cs="Times New Roman"/>
                <w:color w:val="auto"/>
              </w:rPr>
              <w:t>环境管理与监测计划</w:t>
            </w:r>
          </w:p>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rPr>
              <w:t>2.</w:t>
            </w:r>
            <w:r>
              <w:rPr>
                <w:rFonts w:hint="eastAsia" w:ascii="Times New Roman" w:hAnsi="Times New Roman" w:cs="Times New Roman"/>
                <w:color w:val="auto"/>
                <w:lang w:val="en-US" w:eastAsia="zh-CN"/>
              </w:rPr>
              <w:t>10</w:t>
            </w:r>
            <w:r>
              <w:rPr>
                <w:rFonts w:hint="default" w:ascii="Times New Roman" w:hAnsi="Times New Roman" w:cs="Times New Roman"/>
                <w:color w:val="auto"/>
              </w:rPr>
              <w:t>.1环境管理</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应健全环保管理部门，配备专职环保人员，负责组织、落实、监督项目的环境保护工作，并接受环境保护局监督。运营期环境管理工作主要内容如下：</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①贯彻执行国家和地方各项环保方针、政策和法规，制定严格的污水处理工艺技术规范和操作规程，制定全厂环境保护制度和细则；贯彻落实建设项目 “三同时”制度，切实按照设计要求予以实施，使工程达到预期效果。</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②建立全厂设备维护、维修制度，定期检查各设备运行情况，确保设备正常高效运行。</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③落实环境监测制度，做好监测结果、设备运行指标的统计工作，建立健全环境档案，编制环境保护年度计划和环境保护统计报表。</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④建立分析结果及环保设施事故维修档案，取样时记录生产工况。</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⑤搞好环境保护宣传和职工环保意识教育工作。</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⑥定期开展环境风险事故应急演练，组织突发事故的应急处理和善后事宜，维护公众利益。</w:t>
            </w:r>
          </w:p>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rPr>
              <w:t>2.</w:t>
            </w:r>
            <w:r>
              <w:rPr>
                <w:rFonts w:hint="eastAsia" w:ascii="Times New Roman" w:hAnsi="Times New Roman" w:cs="Times New Roman"/>
                <w:color w:val="auto"/>
                <w:lang w:val="en-US" w:eastAsia="zh-CN"/>
              </w:rPr>
              <w:t>10</w:t>
            </w:r>
            <w:r>
              <w:rPr>
                <w:rFonts w:hint="default" w:ascii="Times New Roman" w:hAnsi="Times New Roman" w:cs="Times New Roman"/>
                <w:color w:val="auto"/>
              </w:rPr>
              <w:t>.2环境监测计划</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根据《排污单位自行监测技术指南总则》（HJ 819-2017）、《排污许可证申请与核发技术规范水处理》（HJ978-2018），企业委托有资质监测单位开展自行监测工作。项目环境管理监测计划见下表：</w:t>
            </w:r>
          </w:p>
          <w:p>
            <w:pPr>
              <w:adjustRightInd/>
              <w:spacing w:line="240" w:lineRule="auto"/>
              <w:jc w:val="center"/>
              <w:textAlignment w:val="auto"/>
              <w:rPr>
                <w:rFonts w:hint="default" w:ascii="Times New Roman" w:hAnsi="Times New Roman" w:cs="Times New Roman"/>
                <w:b/>
                <w:color w:val="auto"/>
                <w:kern w:val="2"/>
                <w:sz w:val="24"/>
                <w:szCs w:val="24"/>
              </w:rPr>
            </w:pPr>
          </w:p>
          <w:p>
            <w:pPr>
              <w:adjustRightInd/>
              <w:spacing w:line="240" w:lineRule="auto"/>
              <w:jc w:val="center"/>
              <w:textAlignment w:val="auto"/>
              <w:rPr>
                <w:rFonts w:hint="default" w:ascii="Times New Roman" w:hAnsi="Times New Roman" w:cs="Times New Roman"/>
                <w:b/>
                <w:color w:val="auto"/>
                <w:kern w:val="2"/>
                <w:sz w:val="24"/>
                <w:szCs w:val="24"/>
              </w:rPr>
            </w:pPr>
          </w:p>
          <w:p>
            <w:pPr>
              <w:adjustRightInd/>
              <w:spacing w:line="240" w:lineRule="auto"/>
              <w:jc w:val="center"/>
              <w:textAlignment w:val="auto"/>
              <w:rPr>
                <w:rFonts w:hint="default" w:ascii="Times New Roman" w:hAnsi="Times New Roman" w:cs="Times New Roman"/>
                <w:b/>
                <w:color w:val="auto"/>
                <w:kern w:val="2"/>
                <w:sz w:val="24"/>
                <w:szCs w:val="24"/>
              </w:rPr>
            </w:pPr>
            <w:r>
              <w:rPr>
                <w:rFonts w:hint="default" w:ascii="Times New Roman" w:hAnsi="Times New Roman" w:cs="Times New Roman"/>
                <w:b/>
                <w:color w:val="auto"/>
                <w:kern w:val="2"/>
                <w:sz w:val="24"/>
                <w:szCs w:val="24"/>
              </w:rPr>
              <w:t>表7-</w:t>
            </w:r>
            <w:r>
              <w:rPr>
                <w:rFonts w:hint="default" w:ascii="Times New Roman" w:hAnsi="Times New Roman" w:cs="Times New Roman"/>
                <w:b/>
                <w:color w:val="auto"/>
                <w:kern w:val="2"/>
                <w:sz w:val="24"/>
                <w:szCs w:val="24"/>
                <w:lang w:val="en-US" w:eastAsia="zh-CN"/>
              </w:rPr>
              <w:t>32污染源</w:t>
            </w:r>
            <w:r>
              <w:rPr>
                <w:rFonts w:hint="default" w:ascii="Times New Roman" w:hAnsi="Times New Roman" w:cs="Times New Roman"/>
                <w:b/>
                <w:color w:val="auto"/>
                <w:kern w:val="2"/>
                <w:sz w:val="24"/>
                <w:szCs w:val="24"/>
              </w:rPr>
              <w:t>监测计划一览表</w:t>
            </w:r>
          </w:p>
          <w:tbl>
            <w:tblPr>
              <w:tblStyle w:val="33"/>
              <w:tblW w:w="0" w:type="auto"/>
              <w:tblInd w:w="214"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89"/>
              <w:gridCol w:w="2039"/>
              <w:gridCol w:w="2093"/>
              <w:gridCol w:w="1035"/>
              <w:gridCol w:w="269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0" w:hRule="atLeast"/>
              </w:trPr>
              <w:tc>
                <w:tcPr>
                  <w:tcW w:w="1089"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污染源</w:t>
                  </w:r>
                </w:p>
              </w:tc>
              <w:tc>
                <w:tcPr>
                  <w:tcW w:w="2039"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监测点位</w:t>
                  </w:r>
                </w:p>
              </w:tc>
              <w:tc>
                <w:tcPr>
                  <w:tcW w:w="2093"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监测指标</w:t>
                  </w:r>
                </w:p>
              </w:tc>
              <w:tc>
                <w:tcPr>
                  <w:tcW w:w="1035"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监测频次</w:t>
                  </w:r>
                </w:p>
              </w:tc>
              <w:tc>
                <w:tcPr>
                  <w:tcW w:w="2691"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执行排放标准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40" w:hRule="atLeast"/>
              </w:trPr>
              <w:tc>
                <w:tcPr>
                  <w:tcW w:w="1089"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废气</w:t>
                  </w:r>
                </w:p>
              </w:tc>
              <w:tc>
                <w:tcPr>
                  <w:tcW w:w="2039"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厂界边界无组织排放监控点</w:t>
                  </w:r>
                </w:p>
              </w:tc>
              <w:tc>
                <w:tcPr>
                  <w:tcW w:w="2093"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NH</w:t>
                  </w:r>
                  <w:r>
                    <w:rPr>
                      <w:rFonts w:hint="default" w:ascii="Times New Roman" w:hAnsi="Times New Roman" w:eastAsia="宋体" w:cs="Times New Roman"/>
                      <w:color w:val="auto"/>
                      <w:sz w:val="21"/>
                      <w:szCs w:val="22"/>
                      <w:vertAlign w:val="subscript"/>
                    </w:rPr>
                    <w:t>3</w:t>
                  </w:r>
                  <w:r>
                    <w:rPr>
                      <w:rFonts w:hint="default" w:ascii="Times New Roman" w:hAnsi="Times New Roman" w:eastAsia="宋体" w:cs="Times New Roman"/>
                      <w:color w:val="auto"/>
                      <w:sz w:val="21"/>
                      <w:szCs w:val="22"/>
                    </w:rPr>
                    <w:t>、H</w:t>
                  </w:r>
                  <w:r>
                    <w:rPr>
                      <w:rFonts w:hint="default" w:ascii="Times New Roman" w:hAnsi="Times New Roman" w:eastAsia="宋体" w:cs="Times New Roman"/>
                      <w:color w:val="auto"/>
                      <w:sz w:val="21"/>
                      <w:szCs w:val="22"/>
                      <w:vertAlign w:val="subscript"/>
                    </w:rPr>
                    <w:t>2</w:t>
                  </w:r>
                  <w:r>
                    <w:rPr>
                      <w:rFonts w:hint="default" w:ascii="Times New Roman" w:hAnsi="Times New Roman" w:eastAsia="宋体" w:cs="Times New Roman"/>
                      <w:color w:val="auto"/>
                      <w:sz w:val="21"/>
                      <w:szCs w:val="22"/>
                    </w:rPr>
                    <w:t>S</w:t>
                  </w:r>
                </w:p>
              </w:tc>
              <w:tc>
                <w:tcPr>
                  <w:tcW w:w="1035"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1 次/年</w:t>
                  </w:r>
                </w:p>
              </w:tc>
              <w:tc>
                <w:tcPr>
                  <w:tcW w:w="2691"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恶臭气体排放《恶臭污染物排放标准》（GB14554-93）中的二级标准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80" w:hRule="atLeast"/>
              </w:trPr>
              <w:tc>
                <w:tcPr>
                  <w:tcW w:w="1089"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废水</w:t>
                  </w:r>
                </w:p>
              </w:tc>
              <w:tc>
                <w:tcPr>
                  <w:tcW w:w="2039"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渗滤液污水处理站总排放口</w:t>
                  </w:r>
                </w:p>
              </w:tc>
              <w:tc>
                <w:tcPr>
                  <w:tcW w:w="2093"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流量、化学需氧量、五日生化需氧量、悬浮物、氨氮、总氮、总磷色度、粪大肠菌群、总铬、六价铬、总砷、总镉、总铅、总汞</w:t>
                  </w:r>
                </w:p>
              </w:tc>
              <w:tc>
                <w:tcPr>
                  <w:tcW w:w="1035"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w:t>
                  </w: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1 次/年</w:t>
                  </w:r>
                </w:p>
              </w:tc>
              <w:tc>
                <w:tcPr>
                  <w:tcW w:w="2691"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《生活垃圾处理场污染物控制标准》（GB16889-2008） 表 2 标准及红谷滩污水处理厂的接管标准要求较严值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60" w:hRule="atLeast"/>
              </w:trPr>
              <w:tc>
                <w:tcPr>
                  <w:tcW w:w="1089"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噪声</w:t>
                  </w:r>
                </w:p>
              </w:tc>
              <w:tc>
                <w:tcPr>
                  <w:tcW w:w="2039"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厂界</w:t>
                  </w:r>
                </w:p>
              </w:tc>
              <w:tc>
                <w:tcPr>
                  <w:tcW w:w="2093"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等效连续 A 声级</w:t>
                  </w:r>
                </w:p>
              </w:tc>
              <w:tc>
                <w:tcPr>
                  <w:tcW w:w="1035"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1 次/年</w:t>
                  </w:r>
                </w:p>
              </w:tc>
              <w:tc>
                <w:tcPr>
                  <w:tcW w:w="2691"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《工业企业厂界环境噪声排放标准》(GB12348-2008)标准</w:t>
                  </w:r>
                </w:p>
              </w:tc>
            </w:tr>
          </w:tbl>
          <w:p>
            <w:pPr>
              <w:adjustRightInd/>
              <w:spacing w:line="240" w:lineRule="auto"/>
              <w:jc w:val="center"/>
              <w:textAlignment w:val="auto"/>
              <w:rPr>
                <w:rFonts w:hint="default" w:ascii="Times New Roman" w:hAnsi="Times New Roman" w:cs="Times New Roman"/>
                <w:b/>
                <w:color w:val="auto"/>
                <w:kern w:val="2"/>
                <w:sz w:val="24"/>
                <w:szCs w:val="24"/>
              </w:rPr>
            </w:pPr>
            <w:r>
              <w:rPr>
                <w:rFonts w:hint="default" w:ascii="Times New Roman" w:hAnsi="Times New Roman" w:cs="Times New Roman"/>
                <w:b/>
                <w:color w:val="auto"/>
                <w:kern w:val="2"/>
                <w:sz w:val="24"/>
                <w:szCs w:val="24"/>
              </w:rPr>
              <w:t>表7-</w:t>
            </w:r>
            <w:r>
              <w:rPr>
                <w:rFonts w:hint="default" w:ascii="Times New Roman" w:hAnsi="Times New Roman" w:cs="Times New Roman"/>
                <w:b/>
                <w:color w:val="auto"/>
                <w:kern w:val="2"/>
                <w:sz w:val="24"/>
                <w:szCs w:val="24"/>
                <w:lang w:val="en-US" w:eastAsia="zh-CN"/>
              </w:rPr>
              <w:t>33环质量</w:t>
            </w:r>
            <w:r>
              <w:rPr>
                <w:rFonts w:hint="default" w:ascii="Times New Roman" w:hAnsi="Times New Roman" w:cs="Times New Roman"/>
                <w:b/>
                <w:color w:val="auto"/>
                <w:kern w:val="2"/>
                <w:sz w:val="24"/>
                <w:szCs w:val="24"/>
              </w:rPr>
              <w:t>监测计划一览表</w:t>
            </w:r>
          </w:p>
          <w:tbl>
            <w:tblPr>
              <w:tblStyle w:val="33"/>
              <w:tblW w:w="8933" w:type="dxa"/>
              <w:tblInd w:w="108"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221"/>
              <w:gridCol w:w="2605"/>
              <w:gridCol w:w="3418"/>
              <w:gridCol w:w="168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1"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项目</w:t>
                  </w:r>
                </w:p>
              </w:tc>
              <w:tc>
                <w:tcPr>
                  <w:tcW w:w="2605"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监测点位</w:t>
                  </w:r>
                </w:p>
              </w:tc>
              <w:tc>
                <w:tcPr>
                  <w:tcW w:w="3418"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监测项目</w:t>
                  </w:r>
                </w:p>
              </w:tc>
              <w:tc>
                <w:tcPr>
                  <w:tcW w:w="1689"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监测频率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1221"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环境空气</w:t>
                  </w:r>
                </w:p>
              </w:tc>
              <w:tc>
                <w:tcPr>
                  <w:tcW w:w="2605"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2 个监测点：厂区内、下</w:t>
                  </w: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风向敏感点处各 1 个</w:t>
                  </w:r>
                </w:p>
              </w:tc>
              <w:tc>
                <w:tcPr>
                  <w:tcW w:w="3418"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NH</w:t>
                  </w:r>
                  <w:r>
                    <w:rPr>
                      <w:rFonts w:hint="default" w:ascii="Times New Roman" w:hAnsi="Times New Roman" w:eastAsia="宋体" w:cs="Times New Roman"/>
                      <w:color w:val="auto"/>
                      <w:sz w:val="21"/>
                      <w:szCs w:val="22"/>
                      <w:vertAlign w:val="subscript"/>
                    </w:rPr>
                    <w:t>3</w:t>
                  </w:r>
                  <w:r>
                    <w:rPr>
                      <w:rFonts w:hint="default" w:ascii="Times New Roman" w:hAnsi="Times New Roman" w:eastAsia="宋体" w:cs="Times New Roman"/>
                      <w:color w:val="auto"/>
                      <w:sz w:val="21"/>
                      <w:szCs w:val="22"/>
                    </w:rPr>
                    <w:t>、H</w:t>
                  </w:r>
                  <w:r>
                    <w:rPr>
                      <w:rFonts w:hint="default" w:ascii="Times New Roman" w:hAnsi="Times New Roman" w:eastAsia="宋体" w:cs="Times New Roman"/>
                      <w:color w:val="auto"/>
                      <w:sz w:val="21"/>
                      <w:szCs w:val="22"/>
                      <w:vertAlign w:val="subscript"/>
                    </w:rPr>
                    <w:t>2</w:t>
                  </w:r>
                  <w:r>
                    <w:rPr>
                      <w:rFonts w:hint="default" w:ascii="Times New Roman" w:hAnsi="Times New Roman" w:eastAsia="宋体" w:cs="Times New Roman"/>
                      <w:color w:val="auto"/>
                      <w:sz w:val="21"/>
                      <w:szCs w:val="22"/>
                    </w:rPr>
                    <w:t>S、臭气浓度</w:t>
                  </w:r>
                </w:p>
              </w:tc>
              <w:tc>
                <w:tcPr>
                  <w:tcW w:w="1689"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一次/年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920" w:hRule="atLeast"/>
              </w:trPr>
              <w:tc>
                <w:tcPr>
                  <w:tcW w:w="1221" w:type="dxa"/>
                  <w:vMerge w:val="restart"/>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地下水</w:t>
                  </w:r>
                </w:p>
              </w:tc>
              <w:tc>
                <w:tcPr>
                  <w:tcW w:w="2605"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lang w:val="en-US"/>
                    </w:rPr>
                  </w:pPr>
                  <w:r>
                    <w:rPr>
                      <w:rFonts w:hint="default" w:ascii="Times New Roman" w:hAnsi="Times New Roman" w:eastAsia="宋体" w:cs="Times New Roman"/>
                      <w:color w:val="auto"/>
                      <w:kern w:val="0"/>
                      <w:sz w:val="21"/>
                      <w:szCs w:val="21"/>
                      <w:lang w:val="en-US" w:eastAsia="zh-CN" w:bidi="ar-SA"/>
                    </w:rPr>
                    <w:t>垃圾填埋场厂址上游</w:t>
                  </w:r>
                  <w:r>
                    <w:rPr>
                      <w:rFonts w:hint="default" w:ascii="Times New Roman" w:hAnsi="Times New Roman" w:cs="Times New Roman"/>
                      <w:color w:val="auto"/>
                      <w:kern w:val="0"/>
                      <w:sz w:val="21"/>
                      <w:szCs w:val="21"/>
                      <w:lang w:val="en-US" w:eastAsia="zh-CN" w:bidi="ar-SA"/>
                    </w:rPr>
                    <w:t>、厂址、</w:t>
                  </w:r>
                  <w:r>
                    <w:rPr>
                      <w:rFonts w:hint="default" w:ascii="Times New Roman" w:hAnsi="Times New Roman" w:eastAsia="宋体" w:cs="Times New Roman"/>
                      <w:color w:val="auto"/>
                      <w:kern w:val="0"/>
                      <w:sz w:val="21"/>
                      <w:szCs w:val="21"/>
                      <w:lang w:val="en-US" w:eastAsia="zh-CN" w:bidi="ar-SA"/>
                    </w:rPr>
                    <w:t>东兴村</w:t>
                  </w:r>
                </w:p>
              </w:tc>
              <w:tc>
                <w:tcPr>
                  <w:tcW w:w="3418"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pH 值、总硬度、溶解性总固体、氨</w:t>
                  </w: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氮、硝酸盐氮、亚硝酸盐氮、挥发酚、总氰化物、高锰酸盐指数、氟化物、砷、汞、镉、六价铬、铁、锰、大肠菌群、石油类</w:t>
                  </w:r>
                </w:p>
              </w:tc>
              <w:tc>
                <w:tcPr>
                  <w:tcW w:w="1689"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一次/年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20" w:hRule="atLeast"/>
              </w:trPr>
              <w:tc>
                <w:tcPr>
                  <w:tcW w:w="1221" w:type="dxa"/>
                  <w:vMerge w:val="continue"/>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tc>
              <w:tc>
                <w:tcPr>
                  <w:tcW w:w="2605"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厂区</w:t>
                  </w:r>
                </w:p>
              </w:tc>
              <w:tc>
                <w:tcPr>
                  <w:tcW w:w="3418"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防渗层完整性检测</w:t>
                  </w:r>
                </w:p>
              </w:tc>
              <w:tc>
                <w:tcPr>
                  <w:tcW w:w="1689"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两次/年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1020" w:hRule="atLeast"/>
              </w:trPr>
              <w:tc>
                <w:tcPr>
                  <w:tcW w:w="1221"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土壤</w:t>
                  </w:r>
                </w:p>
              </w:tc>
              <w:tc>
                <w:tcPr>
                  <w:tcW w:w="2605"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厂区内设置1 个监测点；</w:t>
                  </w: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厂区外敏感点设置 2 个监测点</w:t>
                  </w:r>
                </w:p>
              </w:tc>
              <w:tc>
                <w:tcPr>
                  <w:tcW w:w="3418"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pH、镉、汞、砷、铜、铅、铬、锌、镍</w:t>
                  </w:r>
                </w:p>
              </w:tc>
              <w:tc>
                <w:tcPr>
                  <w:tcW w:w="1689"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一次/</w:t>
                  </w:r>
                  <w:r>
                    <w:rPr>
                      <w:rFonts w:hint="default" w:ascii="Times New Roman" w:hAnsi="Times New Roman" w:eastAsia="宋体" w:cs="Times New Roman"/>
                      <w:color w:val="auto"/>
                      <w:sz w:val="21"/>
                      <w:szCs w:val="22"/>
                      <w:lang w:val="en-US" w:eastAsia="zh-CN"/>
                    </w:rPr>
                    <w:t>5</w:t>
                  </w:r>
                  <w:r>
                    <w:rPr>
                      <w:rFonts w:hint="default" w:ascii="Times New Roman" w:hAnsi="Times New Roman" w:eastAsia="宋体" w:cs="Times New Roman"/>
                      <w:color w:val="auto"/>
                      <w:sz w:val="21"/>
                      <w:szCs w:val="22"/>
                    </w:rPr>
                    <w:t>年</w:t>
                  </w:r>
                </w:p>
              </w:tc>
            </w:tr>
          </w:tbl>
          <w:p>
            <w:pPr>
              <w:spacing w:line="50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企业应将自行监测工作开展情况及监测结果向社会公众公开，公开内容应包括：</w:t>
            </w:r>
          </w:p>
          <w:p>
            <w:pPr>
              <w:spacing w:line="50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①基础信息：企业名称、法人代表、所属行业、地理位置、联系方式、委托监测机构名称等；</w:t>
            </w:r>
          </w:p>
          <w:p>
            <w:pPr>
              <w:spacing w:line="50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②自行监测方案；</w:t>
            </w:r>
          </w:p>
          <w:p>
            <w:pPr>
              <w:spacing w:line="50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③自行监测结果：全部监测点位、监测时间、污染物种类及浓度、标准限值、达标情况、超标倍数、污染物排放方式及排放去向；</w:t>
            </w:r>
          </w:p>
          <w:p>
            <w:pPr>
              <w:spacing w:line="50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④未开展自行监测的原因；</w:t>
            </w:r>
          </w:p>
          <w:p>
            <w:pPr>
              <w:spacing w:line="50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⑤污染源监测年度报告。</w:t>
            </w:r>
          </w:p>
          <w:p>
            <w:pPr>
              <w:spacing w:line="44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（2）公开方式</w:t>
            </w:r>
          </w:p>
          <w:p>
            <w:pPr>
              <w:spacing w:line="44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企业可通过对外网站、报纸、广播、电视等便于公众知晓的方式公开自行监测信息。</w:t>
            </w:r>
          </w:p>
          <w:p>
            <w:pPr>
              <w:spacing w:line="44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（3）公开时限</w:t>
            </w:r>
          </w:p>
          <w:p>
            <w:pPr>
              <w:spacing w:line="44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企业自行监测信息按以下要求的时限公开：</w:t>
            </w:r>
          </w:p>
          <w:p>
            <w:pPr>
              <w:spacing w:line="44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①企业基础信息应随监测数据一并公布，基础信息、自行监测方案如有调整变化时，应于变更后的五日内公布最新内容；</w:t>
            </w:r>
          </w:p>
          <w:p>
            <w:pPr>
              <w:spacing w:line="44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②手工监测数据应于每次监测完成后的次日公布；</w:t>
            </w:r>
          </w:p>
          <w:p>
            <w:pPr>
              <w:spacing w:line="44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③自动监测数据应实时公布监测结果；</w:t>
            </w:r>
          </w:p>
          <w:p>
            <w:pPr>
              <w:spacing w:line="44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④每年1月底前公布上年度自行监测年度报告。</w:t>
            </w:r>
          </w:p>
          <w:p>
            <w:pPr>
              <w:pStyle w:val="68"/>
              <w:ind w:firstLine="0" w:firstLineChars="0"/>
              <w:rPr>
                <w:rFonts w:hint="default" w:ascii="Times New Roman" w:hAnsi="Times New Roman" w:cs="Times New Roman"/>
                <w:color w:val="auto"/>
                <w:szCs w:val="22"/>
              </w:rPr>
            </w:pPr>
            <w:r>
              <w:rPr>
                <w:rFonts w:hint="default" w:ascii="Times New Roman" w:hAnsi="Times New Roman" w:cs="Times New Roman"/>
                <w:color w:val="auto"/>
                <w:szCs w:val="22"/>
              </w:rPr>
              <w:t>2.1</w:t>
            </w:r>
            <w:r>
              <w:rPr>
                <w:rFonts w:hint="eastAsia" w:ascii="Times New Roman" w:hAnsi="Times New Roman" w:cs="Times New Roman"/>
                <w:color w:val="auto"/>
                <w:szCs w:val="22"/>
                <w:lang w:val="en-US" w:eastAsia="zh-CN"/>
              </w:rPr>
              <w:t>1</w:t>
            </w:r>
            <w:r>
              <w:rPr>
                <w:rFonts w:hint="default" w:ascii="Times New Roman" w:hAnsi="Times New Roman" w:cs="Times New Roman"/>
                <w:color w:val="auto"/>
                <w:szCs w:val="22"/>
              </w:rPr>
              <w:t>排污口规范化管理</w:t>
            </w:r>
          </w:p>
          <w:p>
            <w:pPr>
              <w:spacing w:line="44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本项目废水排放口、固定噪声源、固体废物贮存和排气筒要求按照国家环保局制定的《环境保护图形标志实施细则（试行）》的规定，设置与排污口相应的图形标志牌。</w:t>
            </w:r>
          </w:p>
          <w:p>
            <w:pPr>
              <w:spacing w:line="44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（1）排气筒设置取样口，并具备采样监测条件，排放口附近竖立图形标志牌。</w:t>
            </w:r>
          </w:p>
          <w:p>
            <w:pPr>
              <w:spacing w:line="44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（2）排污口管理</w:t>
            </w:r>
          </w:p>
          <w:p>
            <w:pPr>
              <w:spacing w:line="44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应在各个排污口处树立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pPr>
              <w:spacing w:line="44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在厂区的废气、废水排放源、固体废物贮存处置场应设置环境保护图形标志，图形符号分为提示图形和警告图形符号两种，分别按 GB15562.1-1995、GB15562.2-1995 执行。环境境保护图形符号见表 7-</w:t>
            </w:r>
            <w:r>
              <w:rPr>
                <w:rFonts w:hint="default" w:ascii="Times New Roman" w:hAnsi="Times New Roman" w:cs="Times New Roman"/>
                <w:color w:val="auto"/>
                <w:sz w:val="24"/>
                <w:szCs w:val="24"/>
                <w:lang w:val="en-US" w:eastAsia="zh-CN"/>
              </w:rPr>
              <w:t>34</w:t>
            </w:r>
            <w:r>
              <w:rPr>
                <w:rFonts w:hint="default" w:ascii="Times New Roman" w:hAnsi="Times New Roman" w:cs="Times New Roman"/>
                <w:color w:val="auto"/>
                <w:sz w:val="24"/>
                <w:szCs w:val="24"/>
              </w:rPr>
              <w:t>。环境境保护图形标志的形状及颜色见下表：</w:t>
            </w:r>
          </w:p>
          <w:p>
            <w:pPr>
              <w:pStyle w:val="6"/>
              <w:jc w:val="center"/>
              <w:rPr>
                <w:rFonts w:hint="default" w:ascii="Times New Roman" w:hAnsi="Times New Roman" w:cs="Times New Roman"/>
                <w:color w:val="auto"/>
                <w:sz w:val="24"/>
              </w:rPr>
            </w:pPr>
            <w:r>
              <w:rPr>
                <w:rFonts w:hint="default" w:ascii="Times New Roman" w:hAnsi="Times New Roman" w:cs="Times New Roman"/>
                <w:b/>
                <w:color w:val="auto"/>
                <w:spacing w:val="-32"/>
                <w:sz w:val="24"/>
              </w:rPr>
              <w:t xml:space="preserve">表 </w:t>
            </w:r>
            <w:r>
              <w:rPr>
                <w:rFonts w:hint="default" w:ascii="Times New Roman" w:hAnsi="Times New Roman" w:eastAsia="Times New Roman" w:cs="Times New Roman"/>
                <w:b/>
                <w:color w:val="auto"/>
                <w:sz w:val="24"/>
              </w:rPr>
              <w:t>7-</w:t>
            </w:r>
            <w:r>
              <w:rPr>
                <w:rFonts w:hint="default" w:ascii="Times New Roman" w:hAnsi="Times New Roman" w:eastAsia="宋体" w:cs="Times New Roman"/>
                <w:b/>
                <w:color w:val="auto"/>
                <w:sz w:val="24"/>
                <w:lang w:val="en-US" w:eastAsia="zh-CN"/>
              </w:rPr>
              <w:t>34</w:t>
            </w:r>
            <w:r>
              <w:rPr>
                <w:rFonts w:hint="default" w:ascii="Times New Roman" w:hAnsi="Times New Roman" w:eastAsia="Times New Roman" w:cs="Times New Roman"/>
                <w:b/>
                <w:color w:val="auto"/>
                <w:spacing w:val="56"/>
                <w:sz w:val="24"/>
              </w:rPr>
              <w:t xml:space="preserve"> </w:t>
            </w:r>
            <w:r>
              <w:rPr>
                <w:rFonts w:hint="default" w:ascii="Times New Roman" w:hAnsi="Times New Roman" w:cs="Times New Roman"/>
                <w:b/>
                <w:color w:val="auto"/>
                <w:sz w:val="24"/>
              </w:rPr>
              <w:t>环境境保护图形标志一览表</w:t>
            </w:r>
          </w:p>
          <w:tbl>
            <w:tblPr>
              <w:tblStyle w:val="33"/>
              <w:tblW w:w="0" w:type="auto"/>
              <w:tblInd w:w="214"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66"/>
              <w:gridCol w:w="1786"/>
              <w:gridCol w:w="1968"/>
              <w:gridCol w:w="1673"/>
              <w:gridCol w:w="243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40" w:hRule="atLeast"/>
              </w:trPr>
              <w:tc>
                <w:tcPr>
                  <w:tcW w:w="866" w:type="dxa"/>
                  <w:tcBorders>
                    <w:tl2br w:val="nil"/>
                    <w:tr2bl w:val="nil"/>
                  </w:tcBorders>
                  <w:noWrap w:val="0"/>
                  <w:vAlign w:val="top"/>
                </w:tcPr>
                <w:p>
                  <w:pPr>
                    <w:pStyle w:val="118"/>
                    <w:kinsoku w:val="0"/>
                    <w:overflowPunct w:val="0"/>
                    <w:jc w:val="left"/>
                    <w:rPr>
                      <w:rFonts w:hint="default" w:ascii="Times New Roman" w:hAnsi="Times New Roman" w:cs="Times New Roman"/>
                      <w:color w:val="auto"/>
                      <w:sz w:val="22"/>
                    </w:rPr>
                  </w:pPr>
                </w:p>
                <w:p>
                  <w:pPr>
                    <w:pStyle w:val="118"/>
                    <w:kinsoku w:val="0"/>
                    <w:overflowPunct w:val="0"/>
                    <w:spacing w:before="6"/>
                    <w:jc w:val="left"/>
                    <w:rPr>
                      <w:rFonts w:hint="default" w:ascii="Times New Roman" w:hAnsi="Times New Roman" w:cs="Times New Roman"/>
                      <w:color w:val="auto"/>
                      <w:sz w:val="16"/>
                    </w:rPr>
                  </w:pPr>
                </w:p>
                <w:p>
                  <w:pPr>
                    <w:pStyle w:val="118"/>
                    <w:kinsoku w:val="0"/>
                    <w:overflowPunct w:val="0"/>
                    <w:spacing w:before="1"/>
                    <w:ind w:left="6"/>
                    <w:rPr>
                      <w:rFonts w:hint="default" w:ascii="Times New Roman" w:hAnsi="Times New Roman" w:eastAsia="Times New Roman" w:cs="Times New Roman"/>
                      <w:color w:val="auto"/>
                      <w:w w:val="99"/>
                      <w:sz w:val="21"/>
                    </w:rPr>
                  </w:pPr>
                  <w:r>
                    <w:rPr>
                      <w:rFonts w:hint="default" w:ascii="Times New Roman" w:hAnsi="Times New Roman" w:eastAsia="Times New Roman" w:cs="Times New Roman"/>
                      <w:color w:val="auto"/>
                      <w:w w:val="99"/>
                      <w:sz w:val="21"/>
                    </w:rPr>
                    <w:t>1</w:t>
                  </w:r>
                </w:p>
              </w:tc>
              <w:tc>
                <w:tcPr>
                  <w:tcW w:w="1786" w:type="dxa"/>
                  <w:tcBorders>
                    <w:tl2br w:val="nil"/>
                    <w:tr2bl w:val="nil"/>
                  </w:tcBorders>
                  <w:noWrap w:val="0"/>
                  <w:vAlign w:val="top"/>
                </w:tcPr>
                <w:p>
                  <w:pPr>
                    <w:pStyle w:val="118"/>
                    <w:kinsoku w:val="0"/>
                    <w:overflowPunct w:val="0"/>
                    <w:spacing w:before="3"/>
                    <w:jc w:val="left"/>
                    <w:rPr>
                      <w:rFonts w:hint="default" w:ascii="Times New Roman" w:hAnsi="Times New Roman" w:cs="Times New Roman"/>
                      <w:color w:val="auto"/>
                      <w:sz w:val="9"/>
                    </w:rPr>
                  </w:pPr>
                </w:p>
                <w:p>
                  <w:pPr>
                    <w:pStyle w:val="118"/>
                    <w:kinsoku w:val="0"/>
                    <w:overflowPunct w:val="0"/>
                    <w:ind w:left="400"/>
                    <w:jc w:val="left"/>
                    <w:rPr>
                      <w:rFonts w:hint="default" w:ascii="Times New Roman" w:hAnsi="Times New Roman" w:cs="Times New Roman"/>
                      <w:color w:val="auto"/>
                      <w:sz w:val="20"/>
                    </w:rPr>
                  </w:pPr>
                  <w:r>
                    <w:rPr>
                      <w:rFonts w:hint="default" w:ascii="Times New Roman" w:hAnsi="Times New Roman" w:cs="Times New Roman"/>
                      <w:color w:val="auto"/>
                      <w:sz w:val="20"/>
                    </w:rPr>
                    <w:drawing>
                      <wp:inline distT="0" distB="0" distL="114300" distR="114300">
                        <wp:extent cx="641350" cy="637540"/>
                        <wp:effectExtent l="0" t="0" r="6350" b="1016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32"/>
                                <a:stretch>
                                  <a:fillRect/>
                                </a:stretch>
                              </pic:blipFill>
                              <pic:spPr>
                                <a:xfrm>
                                  <a:off x="0" y="0"/>
                                  <a:ext cx="641350" cy="637540"/>
                                </a:xfrm>
                                <a:prstGeom prst="rect">
                                  <a:avLst/>
                                </a:prstGeom>
                                <a:noFill/>
                                <a:ln>
                                  <a:noFill/>
                                </a:ln>
                              </pic:spPr>
                            </pic:pic>
                          </a:graphicData>
                        </a:graphic>
                      </wp:inline>
                    </w:drawing>
                  </w:r>
                </w:p>
              </w:tc>
              <w:tc>
                <w:tcPr>
                  <w:tcW w:w="1956" w:type="dxa"/>
                  <w:tcBorders>
                    <w:tl2br w:val="nil"/>
                    <w:tr2bl w:val="nil"/>
                  </w:tcBorders>
                  <w:noWrap w:val="0"/>
                  <w:vAlign w:val="top"/>
                </w:tcPr>
                <w:p>
                  <w:pPr>
                    <w:pStyle w:val="118"/>
                    <w:kinsoku w:val="0"/>
                    <w:overflowPunct w:val="0"/>
                    <w:spacing w:before="3"/>
                    <w:jc w:val="left"/>
                    <w:rPr>
                      <w:rFonts w:hint="default" w:ascii="Times New Roman" w:hAnsi="Times New Roman" w:cs="Times New Roman"/>
                      <w:color w:val="auto"/>
                      <w:sz w:val="9"/>
                    </w:rPr>
                  </w:pPr>
                </w:p>
                <w:p>
                  <w:pPr>
                    <w:pStyle w:val="118"/>
                    <w:kinsoku w:val="0"/>
                    <w:overflowPunct w:val="0"/>
                    <w:ind w:left="498"/>
                    <w:jc w:val="left"/>
                    <w:rPr>
                      <w:rFonts w:hint="default" w:ascii="Times New Roman" w:hAnsi="Times New Roman" w:cs="Times New Roman"/>
                      <w:color w:val="auto"/>
                      <w:sz w:val="20"/>
                    </w:rPr>
                  </w:pPr>
                  <w:r>
                    <w:rPr>
                      <w:rFonts w:hint="default" w:ascii="Times New Roman" w:hAnsi="Times New Roman" w:cs="Times New Roman"/>
                      <w:color w:val="auto"/>
                      <w:sz w:val="20"/>
                    </w:rPr>
                    <w:drawing>
                      <wp:inline distT="0" distB="0" distL="114300" distR="114300">
                        <wp:extent cx="622300" cy="630555"/>
                        <wp:effectExtent l="0" t="0" r="6350" b="1714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33"/>
                                <a:stretch>
                                  <a:fillRect/>
                                </a:stretch>
                              </pic:blipFill>
                              <pic:spPr>
                                <a:xfrm>
                                  <a:off x="0" y="0"/>
                                  <a:ext cx="622300" cy="630555"/>
                                </a:xfrm>
                                <a:prstGeom prst="rect">
                                  <a:avLst/>
                                </a:prstGeom>
                                <a:noFill/>
                                <a:ln>
                                  <a:noFill/>
                                </a:ln>
                              </pic:spPr>
                            </pic:pic>
                          </a:graphicData>
                        </a:graphic>
                      </wp:inline>
                    </w:drawing>
                  </w:r>
                </w:p>
              </w:tc>
              <w:tc>
                <w:tcPr>
                  <w:tcW w:w="1673"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废气排放口</w:t>
                  </w:r>
                </w:p>
              </w:tc>
              <w:tc>
                <w:tcPr>
                  <w:tcW w:w="2430"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表示废气向大气环境排放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40" w:hRule="atLeast"/>
              </w:trPr>
              <w:tc>
                <w:tcPr>
                  <w:tcW w:w="866" w:type="dxa"/>
                  <w:tcBorders>
                    <w:tl2br w:val="nil"/>
                    <w:tr2bl w:val="nil"/>
                  </w:tcBorders>
                  <w:noWrap w:val="0"/>
                  <w:vAlign w:val="top"/>
                </w:tcPr>
                <w:p>
                  <w:pPr>
                    <w:pStyle w:val="118"/>
                    <w:kinsoku w:val="0"/>
                    <w:overflowPunct w:val="0"/>
                    <w:jc w:val="left"/>
                    <w:rPr>
                      <w:rFonts w:hint="default" w:ascii="Times New Roman" w:hAnsi="Times New Roman" w:cs="Times New Roman"/>
                      <w:color w:val="auto"/>
                      <w:sz w:val="22"/>
                    </w:rPr>
                  </w:pPr>
                </w:p>
                <w:p>
                  <w:pPr>
                    <w:pStyle w:val="118"/>
                    <w:kinsoku w:val="0"/>
                    <w:overflowPunct w:val="0"/>
                    <w:spacing w:before="6"/>
                    <w:jc w:val="left"/>
                    <w:rPr>
                      <w:rFonts w:hint="default" w:ascii="Times New Roman" w:hAnsi="Times New Roman" w:cs="Times New Roman"/>
                      <w:color w:val="auto"/>
                      <w:sz w:val="16"/>
                    </w:rPr>
                  </w:pPr>
                </w:p>
                <w:p>
                  <w:pPr>
                    <w:pStyle w:val="118"/>
                    <w:kinsoku w:val="0"/>
                    <w:overflowPunct w:val="0"/>
                    <w:ind w:left="6"/>
                    <w:rPr>
                      <w:rFonts w:hint="default" w:ascii="Times New Roman" w:hAnsi="Times New Roman" w:eastAsia="Times New Roman" w:cs="Times New Roman"/>
                      <w:color w:val="auto"/>
                      <w:w w:val="99"/>
                      <w:sz w:val="21"/>
                    </w:rPr>
                  </w:pPr>
                  <w:r>
                    <w:rPr>
                      <w:rFonts w:hint="default" w:ascii="Times New Roman" w:hAnsi="Times New Roman" w:eastAsia="Times New Roman" w:cs="Times New Roman"/>
                      <w:color w:val="auto"/>
                      <w:w w:val="99"/>
                      <w:sz w:val="21"/>
                    </w:rPr>
                    <w:t>2</w:t>
                  </w:r>
                </w:p>
              </w:tc>
              <w:tc>
                <w:tcPr>
                  <w:tcW w:w="1786" w:type="dxa"/>
                  <w:tcBorders>
                    <w:tl2br w:val="nil"/>
                    <w:tr2bl w:val="nil"/>
                  </w:tcBorders>
                  <w:noWrap w:val="0"/>
                  <w:vAlign w:val="top"/>
                </w:tcPr>
                <w:p>
                  <w:pPr>
                    <w:pStyle w:val="118"/>
                    <w:kinsoku w:val="0"/>
                    <w:overflowPunct w:val="0"/>
                    <w:spacing w:before="2"/>
                    <w:jc w:val="left"/>
                    <w:rPr>
                      <w:rFonts w:hint="default" w:ascii="Times New Roman" w:hAnsi="Times New Roman" w:cs="Times New Roman"/>
                      <w:color w:val="auto"/>
                      <w:sz w:val="9"/>
                    </w:rPr>
                  </w:pPr>
                </w:p>
                <w:p>
                  <w:pPr>
                    <w:pStyle w:val="118"/>
                    <w:kinsoku w:val="0"/>
                    <w:overflowPunct w:val="0"/>
                    <w:ind w:left="412"/>
                    <w:jc w:val="left"/>
                    <w:rPr>
                      <w:rFonts w:hint="default" w:ascii="Times New Roman" w:hAnsi="Times New Roman" w:cs="Times New Roman"/>
                      <w:color w:val="auto"/>
                      <w:sz w:val="20"/>
                    </w:rPr>
                  </w:pPr>
                  <w:r>
                    <w:rPr>
                      <w:rFonts w:hint="default" w:ascii="Times New Roman" w:hAnsi="Times New Roman" w:cs="Times New Roman"/>
                      <w:color w:val="auto"/>
                      <w:sz w:val="20"/>
                    </w:rPr>
                    <w:drawing>
                      <wp:inline distT="0" distB="0" distL="114300" distR="114300">
                        <wp:extent cx="622935" cy="633095"/>
                        <wp:effectExtent l="0" t="0" r="5715" b="14605"/>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34"/>
                                <a:stretch>
                                  <a:fillRect/>
                                </a:stretch>
                              </pic:blipFill>
                              <pic:spPr>
                                <a:xfrm>
                                  <a:off x="0" y="0"/>
                                  <a:ext cx="622935" cy="633095"/>
                                </a:xfrm>
                                <a:prstGeom prst="rect">
                                  <a:avLst/>
                                </a:prstGeom>
                                <a:noFill/>
                                <a:ln>
                                  <a:noFill/>
                                </a:ln>
                              </pic:spPr>
                            </pic:pic>
                          </a:graphicData>
                        </a:graphic>
                      </wp:inline>
                    </w:drawing>
                  </w:r>
                </w:p>
              </w:tc>
              <w:tc>
                <w:tcPr>
                  <w:tcW w:w="1956" w:type="dxa"/>
                  <w:tcBorders>
                    <w:tl2br w:val="nil"/>
                    <w:tr2bl w:val="nil"/>
                  </w:tcBorders>
                  <w:noWrap w:val="0"/>
                  <w:vAlign w:val="top"/>
                </w:tcPr>
                <w:p>
                  <w:pPr>
                    <w:pStyle w:val="118"/>
                    <w:kinsoku w:val="0"/>
                    <w:overflowPunct w:val="0"/>
                    <w:spacing w:before="2"/>
                    <w:jc w:val="left"/>
                    <w:rPr>
                      <w:rFonts w:hint="default" w:ascii="Times New Roman" w:hAnsi="Times New Roman" w:cs="Times New Roman"/>
                      <w:color w:val="auto"/>
                      <w:sz w:val="9"/>
                    </w:rPr>
                  </w:pPr>
                </w:p>
                <w:p>
                  <w:pPr>
                    <w:pStyle w:val="118"/>
                    <w:kinsoku w:val="0"/>
                    <w:overflowPunct w:val="0"/>
                    <w:ind w:left="450"/>
                    <w:jc w:val="left"/>
                    <w:rPr>
                      <w:rFonts w:hint="default" w:ascii="Times New Roman" w:hAnsi="Times New Roman" w:cs="Times New Roman"/>
                      <w:color w:val="auto"/>
                      <w:sz w:val="20"/>
                    </w:rPr>
                  </w:pPr>
                  <w:r>
                    <w:rPr>
                      <w:rFonts w:hint="default" w:ascii="Times New Roman" w:hAnsi="Times New Roman" w:cs="Times New Roman"/>
                      <w:color w:val="auto"/>
                      <w:sz w:val="20"/>
                    </w:rPr>
                    <w:drawing>
                      <wp:inline distT="0" distB="0" distL="114300" distR="114300">
                        <wp:extent cx="685800" cy="635635"/>
                        <wp:effectExtent l="0" t="0" r="0" b="12065"/>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35"/>
                                <a:stretch>
                                  <a:fillRect/>
                                </a:stretch>
                              </pic:blipFill>
                              <pic:spPr>
                                <a:xfrm>
                                  <a:off x="0" y="0"/>
                                  <a:ext cx="685800" cy="635635"/>
                                </a:xfrm>
                                <a:prstGeom prst="rect">
                                  <a:avLst/>
                                </a:prstGeom>
                                <a:noFill/>
                                <a:ln>
                                  <a:noFill/>
                                </a:ln>
                              </pic:spPr>
                            </pic:pic>
                          </a:graphicData>
                        </a:graphic>
                      </wp:inline>
                    </w:drawing>
                  </w:r>
                </w:p>
              </w:tc>
              <w:tc>
                <w:tcPr>
                  <w:tcW w:w="1673"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一般固体废物</w:t>
                  </w:r>
                </w:p>
              </w:tc>
              <w:tc>
                <w:tcPr>
                  <w:tcW w:w="2430"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表示一般固体废物贮存、处置场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60" w:hRule="atLeast"/>
              </w:trPr>
              <w:tc>
                <w:tcPr>
                  <w:tcW w:w="866" w:type="dxa"/>
                  <w:tcBorders>
                    <w:tl2br w:val="nil"/>
                    <w:tr2bl w:val="nil"/>
                  </w:tcBorders>
                  <w:noWrap w:val="0"/>
                  <w:vAlign w:val="top"/>
                </w:tcPr>
                <w:p>
                  <w:pPr>
                    <w:pStyle w:val="118"/>
                    <w:kinsoku w:val="0"/>
                    <w:overflowPunct w:val="0"/>
                    <w:jc w:val="left"/>
                    <w:rPr>
                      <w:rFonts w:hint="default" w:ascii="Times New Roman" w:hAnsi="Times New Roman" w:cs="Times New Roman"/>
                      <w:color w:val="auto"/>
                      <w:sz w:val="22"/>
                    </w:rPr>
                  </w:pPr>
                </w:p>
                <w:p>
                  <w:pPr>
                    <w:pStyle w:val="118"/>
                    <w:kinsoku w:val="0"/>
                    <w:overflowPunct w:val="0"/>
                    <w:spacing w:before="4"/>
                    <w:jc w:val="left"/>
                    <w:rPr>
                      <w:rFonts w:hint="default" w:ascii="Times New Roman" w:hAnsi="Times New Roman" w:cs="Times New Roman"/>
                      <w:color w:val="auto"/>
                      <w:sz w:val="28"/>
                    </w:rPr>
                  </w:pPr>
                </w:p>
                <w:p>
                  <w:pPr>
                    <w:pStyle w:val="118"/>
                    <w:kinsoku w:val="0"/>
                    <w:overflowPunct w:val="0"/>
                    <w:ind w:left="6"/>
                    <w:rPr>
                      <w:rFonts w:hint="default" w:ascii="Times New Roman" w:hAnsi="Times New Roman" w:eastAsia="Times New Roman" w:cs="Times New Roman"/>
                      <w:color w:val="auto"/>
                      <w:w w:val="99"/>
                      <w:sz w:val="21"/>
                    </w:rPr>
                  </w:pPr>
                  <w:r>
                    <w:rPr>
                      <w:rFonts w:hint="default" w:ascii="Times New Roman" w:hAnsi="Times New Roman" w:eastAsia="Times New Roman" w:cs="Times New Roman"/>
                      <w:color w:val="auto"/>
                      <w:w w:val="99"/>
                      <w:sz w:val="21"/>
                    </w:rPr>
                    <w:t>3</w:t>
                  </w:r>
                </w:p>
              </w:tc>
              <w:tc>
                <w:tcPr>
                  <w:tcW w:w="1786" w:type="dxa"/>
                  <w:tcBorders>
                    <w:tl2br w:val="nil"/>
                    <w:tr2bl w:val="nil"/>
                  </w:tcBorders>
                  <w:noWrap w:val="0"/>
                  <w:vAlign w:val="top"/>
                </w:tcPr>
                <w:p>
                  <w:pPr>
                    <w:pStyle w:val="118"/>
                    <w:kinsoku w:val="0"/>
                    <w:overflowPunct w:val="0"/>
                    <w:spacing w:before="8"/>
                    <w:jc w:val="left"/>
                    <w:rPr>
                      <w:rFonts w:hint="default" w:ascii="Times New Roman" w:hAnsi="Times New Roman" w:cs="Times New Roman"/>
                      <w:color w:val="auto"/>
                      <w:sz w:val="3"/>
                    </w:rPr>
                  </w:pPr>
                </w:p>
                <w:p>
                  <w:pPr>
                    <w:pStyle w:val="118"/>
                    <w:kinsoku w:val="0"/>
                    <w:overflowPunct w:val="0"/>
                    <w:ind w:left="424"/>
                    <w:jc w:val="left"/>
                    <w:rPr>
                      <w:rFonts w:hint="default" w:ascii="Times New Roman" w:hAnsi="Times New Roman" w:cs="Times New Roman"/>
                      <w:color w:val="auto"/>
                      <w:sz w:val="20"/>
                    </w:rPr>
                  </w:pPr>
                  <w:r>
                    <w:rPr>
                      <w:rFonts w:hint="default" w:ascii="Times New Roman" w:hAnsi="Times New Roman" w:cs="Times New Roman"/>
                      <w:color w:val="auto"/>
                      <w:sz w:val="20"/>
                    </w:rPr>
                    <w:drawing>
                      <wp:inline distT="0" distB="0" distL="114300" distR="114300">
                        <wp:extent cx="603250" cy="930275"/>
                        <wp:effectExtent l="0" t="0" r="6350" b="317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36"/>
                                <a:stretch>
                                  <a:fillRect/>
                                </a:stretch>
                              </pic:blipFill>
                              <pic:spPr>
                                <a:xfrm>
                                  <a:off x="0" y="0"/>
                                  <a:ext cx="603250" cy="930275"/>
                                </a:xfrm>
                                <a:prstGeom prst="rect">
                                  <a:avLst/>
                                </a:prstGeom>
                                <a:noFill/>
                                <a:ln>
                                  <a:noFill/>
                                </a:ln>
                              </pic:spPr>
                            </pic:pic>
                          </a:graphicData>
                        </a:graphic>
                      </wp:inline>
                    </w:drawing>
                  </w:r>
                </w:p>
              </w:tc>
              <w:tc>
                <w:tcPr>
                  <w:tcW w:w="1956" w:type="dxa"/>
                  <w:tcBorders>
                    <w:tl2br w:val="nil"/>
                    <w:tr2bl w:val="nil"/>
                  </w:tcBorders>
                  <w:noWrap w:val="0"/>
                  <w:vAlign w:val="top"/>
                </w:tcPr>
                <w:p>
                  <w:pPr>
                    <w:pStyle w:val="118"/>
                    <w:kinsoku w:val="0"/>
                    <w:overflowPunct w:val="0"/>
                    <w:ind w:left="222"/>
                    <w:jc w:val="left"/>
                    <w:rPr>
                      <w:rFonts w:hint="default" w:ascii="Times New Roman" w:hAnsi="Times New Roman" w:cs="Times New Roman"/>
                      <w:color w:val="auto"/>
                      <w:sz w:val="20"/>
                    </w:rPr>
                  </w:pPr>
                  <w:r>
                    <w:rPr>
                      <w:rFonts w:hint="default" w:ascii="Times New Roman" w:hAnsi="Times New Roman" w:cs="Times New Roman"/>
                      <w:color w:val="auto"/>
                      <w:sz w:val="20"/>
                    </w:rPr>
                    <w:drawing>
                      <wp:inline distT="0" distB="0" distL="114300" distR="114300">
                        <wp:extent cx="968375" cy="968375"/>
                        <wp:effectExtent l="0" t="0" r="3175" b="3175"/>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37"/>
                                <a:stretch>
                                  <a:fillRect/>
                                </a:stretch>
                              </pic:blipFill>
                              <pic:spPr>
                                <a:xfrm>
                                  <a:off x="0" y="0"/>
                                  <a:ext cx="968375" cy="968375"/>
                                </a:xfrm>
                                <a:prstGeom prst="rect">
                                  <a:avLst/>
                                </a:prstGeom>
                                <a:noFill/>
                                <a:ln>
                                  <a:noFill/>
                                </a:ln>
                              </pic:spPr>
                            </pic:pic>
                          </a:graphicData>
                        </a:graphic>
                      </wp:inline>
                    </w:drawing>
                  </w:r>
                </w:p>
              </w:tc>
              <w:tc>
                <w:tcPr>
                  <w:tcW w:w="1673"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废水排放口</w:t>
                  </w:r>
                </w:p>
              </w:tc>
              <w:tc>
                <w:tcPr>
                  <w:tcW w:w="2430"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表示废水向水环境排放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40" w:hRule="atLeast"/>
              </w:trPr>
              <w:tc>
                <w:tcPr>
                  <w:tcW w:w="866" w:type="dxa"/>
                  <w:tcBorders>
                    <w:tl2br w:val="nil"/>
                    <w:tr2bl w:val="nil"/>
                  </w:tcBorders>
                  <w:noWrap w:val="0"/>
                  <w:vAlign w:val="top"/>
                </w:tcPr>
                <w:p>
                  <w:pPr>
                    <w:pStyle w:val="118"/>
                    <w:kinsoku w:val="0"/>
                    <w:overflowPunct w:val="0"/>
                    <w:jc w:val="left"/>
                    <w:rPr>
                      <w:rFonts w:hint="default" w:ascii="Times New Roman" w:hAnsi="Times New Roman" w:cs="Times New Roman"/>
                      <w:color w:val="auto"/>
                      <w:sz w:val="22"/>
                    </w:rPr>
                  </w:pPr>
                </w:p>
                <w:p>
                  <w:pPr>
                    <w:pStyle w:val="118"/>
                    <w:kinsoku w:val="0"/>
                    <w:overflowPunct w:val="0"/>
                    <w:spacing w:before="5"/>
                    <w:jc w:val="left"/>
                    <w:rPr>
                      <w:rFonts w:hint="default" w:ascii="Times New Roman" w:hAnsi="Times New Roman" w:cs="Times New Roman"/>
                      <w:color w:val="auto"/>
                      <w:sz w:val="16"/>
                    </w:rPr>
                  </w:pPr>
                </w:p>
                <w:p>
                  <w:pPr>
                    <w:pStyle w:val="118"/>
                    <w:kinsoku w:val="0"/>
                    <w:overflowPunct w:val="0"/>
                    <w:ind w:left="6"/>
                    <w:rPr>
                      <w:rFonts w:hint="default" w:ascii="Times New Roman" w:hAnsi="Times New Roman" w:eastAsia="Times New Roman" w:cs="Times New Roman"/>
                      <w:color w:val="auto"/>
                      <w:w w:val="99"/>
                      <w:sz w:val="21"/>
                    </w:rPr>
                  </w:pPr>
                  <w:r>
                    <w:rPr>
                      <w:rFonts w:hint="default" w:ascii="Times New Roman" w:hAnsi="Times New Roman" w:eastAsia="Times New Roman" w:cs="Times New Roman"/>
                      <w:color w:val="auto"/>
                      <w:w w:val="99"/>
                      <w:sz w:val="21"/>
                    </w:rPr>
                    <w:t>4</w:t>
                  </w:r>
                </w:p>
              </w:tc>
              <w:tc>
                <w:tcPr>
                  <w:tcW w:w="1786" w:type="dxa"/>
                  <w:tcBorders>
                    <w:tl2br w:val="nil"/>
                    <w:tr2bl w:val="nil"/>
                  </w:tcBorders>
                  <w:noWrap w:val="0"/>
                  <w:vAlign w:val="top"/>
                </w:tcPr>
                <w:p>
                  <w:pPr>
                    <w:pStyle w:val="118"/>
                    <w:kinsoku w:val="0"/>
                    <w:overflowPunct w:val="0"/>
                    <w:jc w:val="left"/>
                    <w:rPr>
                      <w:rFonts w:hint="default" w:ascii="Times New Roman" w:hAnsi="Times New Roman" w:cs="Times New Roman"/>
                      <w:color w:val="auto"/>
                      <w:sz w:val="22"/>
                    </w:rPr>
                  </w:pPr>
                </w:p>
                <w:p>
                  <w:pPr>
                    <w:pStyle w:val="118"/>
                    <w:kinsoku w:val="0"/>
                    <w:overflowPunct w:val="0"/>
                    <w:spacing w:before="5"/>
                    <w:jc w:val="left"/>
                    <w:rPr>
                      <w:rFonts w:hint="default" w:ascii="Times New Roman" w:hAnsi="Times New Roman" w:cs="Times New Roman"/>
                      <w:color w:val="auto"/>
                      <w:sz w:val="16"/>
                    </w:rPr>
                  </w:pPr>
                </w:p>
                <w:p>
                  <w:pPr>
                    <w:pStyle w:val="118"/>
                    <w:kinsoku w:val="0"/>
                    <w:overflowPunct w:val="0"/>
                    <w:ind w:right="1"/>
                    <w:rPr>
                      <w:rFonts w:hint="default" w:ascii="Times New Roman" w:hAnsi="Times New Roman" w:eastAsia="Times New Roman" w:cs="Times New Roman"/>
                      <w:color w:val="auto"/>
                      <w:w w:val="99"/>
                      <w:sz w:val="21"/>
                    </w:rPr>
                  </w:pPr>
                  <w:r>
                    <w:rPr>
                      <w:rFonts w:hint="default" w:ascii="Times New Roman" w:hAnsi="Times New Roman" w:eastAsia="Times New Roman" w:cs="Times New Roman"/>
                      <w:color w:val="auto"/>
                      <w:w w:val="99"/>
                      <w:sz w:val="21"/>
                    </w:rPr>
                    <w:t>/</w:t>
                  </w:r>
                </w:p>
              </w:tc>
              <w:tc>
                <w:tcPr>
                  <w:tcW w:w="1956" w:type="dxa"/>
                  <w:tcBorders>
                    <w:tl2br w:val="nil"/>
                    <w:tr2bl w:val="nil"/>
                  </w:tcBorders>
                  <w:noWrap w:val="0"/>
                  <w:vAlign w:val="top"/>
                </w:tcPr>
                <w:p>
                  <w:pPr>
                    <w:pStyle w:val="118"/>
                    <w:kinsoku w:val="0"/>
                    <w:overflowPunct w:val="0"/>
                    <w:spacing w:before="1"/>
                    <w:jc w:val="left"/>
                    <w:rPr>
                      <w:rFonts w:hint="default" w:ascii="Times New Roman" w:hAnsi="Times New Roman" w:cs="Times New Roman"/>
                      <w:color w:val="auto"/>
                      <w:sz w:val="11"/>
                    </w:rPr>
                  </w:pPr>
                </w:p>
                <w:p>
                  <w:pPr>
                    <w:pStyle w:val="118"/>
                    <w:kinsoku w:val="0"/>
                    <w:overflowPunct w:val="0"/>
                    <w:ind w:left="498"/>
                    <w:jc w:val="left"/>
                    <w:rPr>
                      <w:rFonts w:hint="default" w:ascii="Times New Roman" w:hAnsi="Times New Roman" w:cs="Times New Roman"/>
                      <w:color w:val="auto"/>
                      <w:sz w:val="20"/>
                    </w:rPr>
                  </w:pPr>
                  <w:r>
                    <w:rPr>
                      <w:rFonts w:hint="default" w:ascii="Times New Roman" w:hAnsi="Times New Roman" w:cs="Times New Roman"/>
                      <w:color w:val="auto"/>
                      <w:sz w:val="20"/>
                    </w:rPr>
                    <w:drawing>
                      <wp:inline distT="0" distB="0" distL="114300" distR="114300">
                        <wp:extent cx="622300" cy="607060"/>
                        <wp:effectExtent l="0" t="0" r="6350" b="2540"/>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38"/>
                                <a:stretch>
                                  <a:fillRect/>
                                </a:stretch>
                              </pic:blipFill>
                              <pic:spPr>
                                <a:xfrm>
                                  <a:off x="0" y="0"/>
                                  <a:ext cx="622300" cy="607060"/>
                                </a:xfrm>
                                <a:prstGeom prst="rect">
                                  <a:avLst/>
                                </a:prstGeom>
                                <a:noFill/>
                                <a:ln>
                                  <a:noFill/>
                                </a:ln>
                              </pic:spPr>
                            </pic:pic>
                          </a:graphicData>
                        </a:graphic>
                      </wp:inline>
                    </w:drawing>
                  </w:r>
                </w:p>
              </w:tc>
              <w:tc>
                <w:tcPr>
                  <w:tcW w:w="1673"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危险废物</w:t>
                  </w:r>
                </w:p>
              </w:tc>
              <w:tc>
                <w:tcPr>
                  <w:tcW w:w="2430" w:type="dxa"/>
                  <w:tcBorders>
                    <w:tl2br w:val="nil"/>
                    <w:tr2bl w:val="nil"/>
                  </w:tcBorders>
                  <w:noWrap w:val="0"/>
                  <w:vAlign w:val="top"/>
                </w:tcPr>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p>
                <w:p>
                  <w:pPr>
                    <w:pStyle w:val="118"/>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表示危险废物贮存、处置场</w:t>
                  </w:r>
                </w:p>
              </w:tc>
            </w:tr>
          </w:tbl>
          <w:p>
            <w:pPr>
              <w:rPr>
                <w:rFonts w:hint="default" w:ascii="Times New Roman" w:hAnsi="Times New Roman" w:cs="Times New Roman"/>
                <w:color w:val="auto"/>
                <w:lang w:val="en-US" w:eastAsia="zh-CN"/>
              </w:rPr>
            </w:pPr>
          </w:p>
          <w:p>
            <w:pPr>
              <w:spacing w:line="360" w:lineRule="auto"/>
              <w:rPr>
                <w:b/>
                <w:bCs/>
              </w:rPr>
            </w:pPr>
            <w:r>
              <w:rPr>
                <w:rFonts w:hint="eastAsia" w:cs="Times New Roman"/>
                <w:b/>
                <w:bCs/>
                <w:color w:val="auto"/>
                <w:sz w:val="24"/>
                <w:lang w:val="en-US" w:eastAsia="zh-CN"/>
              </w:rPr>
              <w:t>2.12环保投资</w:t>
            </w:r>
          </w:p>
          <w:p>
            <w:pPr>
              <w:pStyle w:val="118"/>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44" w:firstLineChars="200"/>
              <w:jc w:val="left"/>
              <w:textAlignment w:val="auto"/>
              <w:rPr>
                <w:rFonts w:hint="eastAsia"/>
                <w:spacing w:val="-9"/>
                <w:sz w:val="24"/>
                <w:szCs w:val="22"/>
              </w:rPr>
            </w:pPr>
            <w:r>
              <w:rPr>
                <w:rFonts w:hint="eastAsia"/>
                <w:spacing w:val="-9"/>
                <w:sz w:val="24"/>
                <w:szCs w:val="22"/>
              </w:rPr>
              <w:t xml:space="preserve">为了确保本项目的废气、噪声等符合国家有关排放标准要求，减轻项目对周围环境的所带来的污染，根据本评价中提出的环保治理措施和对策，对该项目的环保设施投资进行估算。经估算可知项目环保投资 </w:t>
            </w:r>
            <w:r>
              <w:rPr>
                <w:rFonts w:hint="eastAsia"/>
                <w:spacing w:val="-9"/>
                <w:sz w:val="24"/>
                <w:szCs w:val="22"/>
                <w:lang w:val="en-US" w:eastAsia="zh-CN"/>
              </w:rPr>
              <w:t>870</w:t>
            </w:r>
            <w:r>
              <w:rPr>
                <w:rFonts w:hint="eastAsia"/>
                <w:spacing w:val="-9"/>
                <w:sz w:val="24"/>
                <w:szCs w:val="22"/>
              </w:rPr>
              <w:t>万元，占总投资额（</w:t>
            </w:r>
            <w:r>
              <w:rPr>
                <w:rFonts w:hint="eastAsia"/>
                <w:spacing w:val="-9"/>
                <w:sz w:val="24"/>
                <w:szCs w:val="22"/>
                <w:lang w:val="en-US" w:eastAsia="zh-CN"/>
              </w:rPr>
              <w:t>1483.43</w:t>
            </w:r>
            <w:r>
              <w:rPr>
                <w:rFonts w:hint="eastAsia"/>
                <w:spacing w:val="-9"/>
                <w:sz w:val="24"/>
                <w:szCs w:val="22"/>
              </w:rPr>
              <w:t xml:space="preserve">万元）的 </w:t>
            </w:r>
            <w:r>
              <w:rPr>
                <w:rFonts w:hint="eastAsia"/>
                <w:spacing w:val="-9"/>
                <w:sz w:val="24"/>
                <w:szCs w:val="22"/>
                <w:lang w:val="en-US" w:eastAsia="zh-CN"/>
              </w:rPr>
              <w:t>58.6</w:t>
            </w:r>
            <w:r>
              <w:rPr>
                <w:rFonts w:hint="default"/>
                <w:spacing w:val="-9"/>
                <w:sz w:val="24"/>
                <w:szCs w:val="22"/>
              </w:rPr>
              <w:t>%</w:t>
            </w:r>
            <w:r>
              <w:rPr>
                <w:rFonts w:hint="eastAsia"/>
                <w:spacing w:val="-9"/>
                <w:sz w:val="24"/>
                <w:szCs w:val="22"/>
              </w:rPr>
              <w:t>，详见下表。</w:t>
            </w:r>
          </w:p>
          <w:p>
            <w:pPr>
              <w:adjustRightInd/>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color w:val="auto"/>
                <w:kern w:val="2"/>
                <w:sz w:val="24"/>
                <w:szCs w:val="24"/>
              </w:rPr>
              <w:t xml:space="preserve">表7-15 </w:t>
            </w:r>
            <w:r>
              <w:rPr>
                <w:rFonts w:hint="eastAsia" w:cs="Times New Roman"/>
                <w:b/>
                <w:color w:val="auto"/>
                <w:kern w:val="2"/>
                <w:sz w:val="24"/>
                <w:szCs w:val="24"/>
                <w:lang w:val="en-US" w:eastAsia="zh-CN"/>
              </w:rPr>
              <w:t>环保投资估算一览表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Layout w:type="autofit"/>
              <w:tblCellMar>
                <w:top w:w="0" w:type="dxa"/>
                <w:left w:w="108" w:type="dxa"/>
                <w:bottom w:w="0" w:type="dxa"/>
                <w:right w:w="108" w:type="dxa"/>
              </w:tblCellMar>
            </w:tblPr>
            <w:tblGrid>
              <w:gridCol w:w="1342"/>
              <w:gridCol w:w="6886"/>
              <w:gridCol w:w="1441"/>
            </w:tblGrid>
            <w:tr>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20" w:hRule="atLeast"/>
                <w:jc w:val="center"/>
              </w:trPr>
              <w:tc>
                <w:tcPr>
                  <w:tcW w:w="694" w:type="pct"/>
                  <w:tcBorders>
                    <w:tl2br w:val="nil"/>
                    <w:tr2bl w:val="nil"/>
                  </w:tcBorders>
                  <w:vAlign w:val="center"/>
                </w:tcPr>
                <w:p>
                  <w:pPr>
                    <w:widowControl/>
                    <w:snapToGrid w:val="0"/>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防治对象</w:t>
                  </w:r>
                </w:p>
              </w:tc>
              <w:tc>
                <w:tcPr>
                  <w:tcW w:w="3560" w:type="pct"/>
                  <w:tcBorders>
                    <w:tl2br w:val="nil"/>
                    <w:tr2bl w:val="nil"/>
                  </w:tcBorders>
                  <w:vAlign w:val="center"/>
                </w:tcPr>
                <w:p>
                  <w:pPr>
                    <w:widowControl/>
                    <w:spacing w:line="240" w:lineRule="auto"/>
                    <w:jc w:val="center"/>
                    <w:rPr>
                      <w:rFonts w:hint="default" w:ascii="Times New Roman" w:hAnsi="Times New Roman" w:cs="Times New Roman"/>
                      <w:color w:val="auto"/>
                      <w:kern w:val="2"/>
                      <w:szCs w:val="21"/>
                    </w:rPr>
                  </w:pPr>
                  <w:r>
                    <w:rPr>
                      <w:rFonts w:hint="default" w:ascii="Times New Roman" w:hAnsi="Times New Roman" w:cs="Times New Roman"/>
                      <w:color w:val="auto"/>
                      <w:szCs w:val="21"/>
                    </w:rPr>
                    <w:t>治理措施</w:t>
                  </w:r>
                </w:p>
              </w:tc>
              <w:tc>
                <w:tcPr>
                  <w:tcW w:w="745" w:type="pct"/>
                  <w:tcBorders>
                    <w:tl2br w:val="nil"/>
                    <w:tr2bl w:val="nil"/>
                  </w:tcBorders>
                  <w:vAlign w:val="center"/>
                </w:tcPr>
                <w:p>
                  <w:pPr>
                    <w:widowControl/>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环保投资(万)</w:t>
                  </w: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514" w:hRule="atLeast"/>
                <w:jc w:val="center"/>
              </w:trPr>
              <w:tc>
                <w:tcPr>
                  <w:tcW w:w="694" w:type="pct"/>
                  <w:tcBorders>
                    <w:tl2br w:val="nil"/>
                    <w:tr2bl w:val="nil"/>
                  </w:tcBorders>
                  <w:vAlign w:val="center"/>
                </w:tcPr>
                <w:p>
                  <w:pPr>
                    <w:widowControl/>
                    <w:spacing w:line="240" w:lineRule="auto"/>
                    <w:jc w:val="center"/>
                    <w:rPr>
                      <w:rFonts w:hint="default" w:ascii="Times New Roman" w:hAnsi="Times New Roman" w:cs="Times New Roman"/>
                      <w:color w:val="auto"/>
                      <w:kern w:val="2"/>
                      <w:szCs w:val="21"/>
                    </w:rPr>
                  </w:pPr>
                  <w:r>
                    <w:rPr>
                      <w:rFonts w:hint="default" w:ascii="Times New Roman" w:hAnsi="Times New Roman" w:cs="Times New Roman"/>
                      <w:color w:val="auto"/>
                      <w:szCs w:val="21"/>
                    </w:rPr>
                    <w:t>废气</w:t>
                  </w:r>
                </w:p>
              </w:tc>
              <w:tc>
                <w:tcPr>
                  <w:tcW w:w="3560" w:type="pct"/>
                  <w:tcBorders>
                    <w:tl2br w:val="nil"/>
                    <w:tr2bl w:val="nil"/>
                  </w:tcBorders>
                  <w:vAlign w:val="center"/>
                </w:tcPr>
                <w:p>
                  <w:pPr>
                    <w:pStyle w:val="41"/>
                    <w:jc w:val="center"/>
                    <w:rPr>
                      <w:rFonts w:hint="default" w:ascii="Times New Roman" w:hAnsi="Times New Roman" w:cs="Times New Roman"/>
                      <w:color w:val="auto"/>
                      <w:highlight w:val="yellow"/>
                    </w:rPr>
                  </w:pPr>
                  <w:r>
                    <w:rPr>
                      <w:rFonts w:hint="default" w:ascii="Times New Roman" w:hAnsi="Times New Roman" w:eastAsia="宋体" w:cs="Times New Roman"/>
                      <w:color w:val="auto"/>
                      <w:sz w:val="21"/>
                      <w:szCs w:val="21"/>
                      <w:lang w:val="en-US" w:eastAsia="zh-CN" w:bidi="ar-SA"/>
                    </w:rPr>
                    <w:t>高能离子除臭装置处理后通过15m排气筒高空排放，场区绿化。</w:t>
                  </w:r>
                </w:p>
              </w:tc>
              <w:tc>
                <w:tcPr>
                  <w:tcW w:w="745" w:type="pct"/>
                  <w:tcBorders>
                    <w:tl2br w:val="nil"/>
                    <w:tr2bl w:val="nil"/>
                  </w:tcBorders>
                  <w:vAlign w:val="center"/>
                </w:tcPr>
                <w:p>
                  <w:pPr>
                    <w:pStyle w:val="41"/>
                    <w:jc w:val="center"/>
                    <w:rPr>
                      <w:rFonts w:hint="default"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lang w:val="en-US" w:eastAsia="zh-CN" w:bidi="ar-SA"/>
                    </w:rPr>
                    <w:t>95</w:t>
                  </w: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514" w:hRule="atLeast"/>
                <w:jc w:val="center"/>
              </w:trPr>
              <w:tc>
                <w:tcPr>
                  <w:tcW w:w="694" w:type="pct"/>
                  <w:tcBorders>
                    <w:tl2br w:val="nil"/>
                    <w:tr2bl w:val="nil"/>
                  </w:tcBorders>
                  <w:vAlign w:val="center"/>
                </w:tcPr>
                <w:p>
                  <w:pPr>
                    <w:widowControl/>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废水</w:t>
                  </w:r>
                </w:p>
              </w:tc>
              <w:tc>
                <w:tcPr>
                  <w:tcW w:w="3560" w:type="pct"/>
                  <w:tcBorders>
                    <w:tl2br w:val="nil"/>
                    <w:tr2bl w:val="nil"/>
                  </w:tcBorders>
                  <w:vAlign w:val="center"/>
                </w:tcPr>
                <w:p>
                  <w:pPr>
                    <w:pStyle w:val="41"/>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渗滤液→调节池→气浮设备→原水灌→两级DTRO系统→达标排放</w:t>
                  </w:r>
                </w:p>
              </w:tc>
              <w:tc>
                <w:tcPr>
                  <w:tcW w:w="745" w:type="pct"/>
                  <w:tcBorders>
                    <w:tl2br w:val="nil"/>
                    <w:tr2bl w:val="nil"/>
                  </w:tcBorders>
                  <w:vAlign w:val="center"/>
                </w:tcPr>
                <w:p>
                  <w:pPr>
                    <w:pStyle w:val="41"/>
                    <w:jc w:val="center"/>
                    <w:rPr>
                      <w:rFonts w:hint="default"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lang w:val="en-US" w:eastAsia="zh-CN" w:bidi="ar-SA"/>
                    </w:rPr>
                    <w:t>750</w:t>
                  </w: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20" w:hRule="atLeast"/>
                <w:jc w:val="center"/>
              </w:trPr>
              <w:tc>
                <w:tcPr>
                  <w:tcW w:w="694" w:type="pct"/>
                  <w:tcBorders>
                    <w:tl2br w:val="nil"/>
                    <w:tr2bl w:val="nil"/>
                  </w:tcBorders>
                  <w:vAlign w:val="center"/>
                </w:tcPr>
                <w:p>
                  <w:pPr>
                    <w:widowControl/>
                    <w:spacing w:line="240" w:lineRule="auto"/>
                    <w:jc w:val="center"/>
                    <w:rPr>
                      <w:rFonts w:hint="default" w:ascii="Times New Roman" w:hAnsi="Times New Roman" w:cs="Times New Roman"/>
                      <w:color w:val="auto"/>
                      <w:kern w:val="2"/>
                      <w:szCs w:val="21"/>
                    </w:rPr>
                  </w:pPr>
                  <w:r>
                    <w:rPr>
                      <w:rFonts w:hint="default" w:ascii="Times New Roman" w:hAnsi="Times New Roman" w:cs="Times New Roman"/>
                      <w:color w:val="auto"/>
                      <w:szCs w:val="21"/>
                    </w:rPr>
                    <w:t>地下水</w:t>
                  </w:r>
                </w:p>
              </w:tc>
              <w:tc>
                <w:tcPr>
                  <w:tcW w:w="3560" w:type="pct"/>
                  <w:tcBorders>
                    <w:tl2br w:val="nil"/>
                    <w:tr2bl w:val="nil"/>
                  </w:tcBorders>
                  <w:vAlign w:val="center"/>
                </w:tcPr>
                <w:p>
                  <w:pPr>
                    <w:autoSpaceDE w:val="0"/>
                    <w:autoSpaceDN w:val="0"/>
                    <w:spacing w:line="240" w:lineRule="auto"/>
                    <w:jc w:val="center"/>
                    <w:rPr>
                      <w:rFonts w:hint="default" w:ascii="Times New Roman" w:hAnsi="Times New Roman" w:cs="Times New Roman"/>
                      <w:color w:val="auto"/>
                      <w:kern w:val="2"/>
                      <w:szCs w:val="21"/>
                    </w:rPr>
                  </w:pPr>
                  <w:r>
                    <w:rPr>
                      <w:rFonts w:hint="eastAsia" w:cs="Times New Roman"/>
                      <w:color w:val="auto"/>
                      <w:kern w:val="2"/>
                      <w:szCs w:val="21"/>
                      <w:lang w:val="en-US" w:eastAsia="zh-CN"/>
                    </w:rPr>
                    <w:t>地面防渗，等效黏土防渗层Mb</w:t>
                  </w:r>
                  <w:r>
                    <w:rPr>
                      <w:rFonts w:hint="default" w:ascii="Times New Roman" w:hAnsi="Times New Roman" w:cs="Times New Roman"/>
                      <w:color w:val="auto"/>
                      <w:kern w:val="2"/>
                      <w:szCs w:val="21"/>
                    </w:rPr>
                    <w:t>≥</w:t>
                  </w:r>
                  <w:r>
                    <w:rPr>
                      <w:rFonts w:hint="eastAsia" w:ascii="Times New Roman" w:hAnsi="Times New Roman" w:cs="Times New Roman"/>
                      <w:color w:val="auto"/>
                      <w:kern w:val="2"/>
                      <w:szCs w:val="21"/>
                      <w:lang w:val="en-US" w:eastAsia="zh-CN"/>
                    </w:rPr>
                    <w:t>6.0</w:t>
                  </w:r>
                  <w:r>
                    <w:rPr>
                      <w:rFonts w:hint="default" w:ascii="Times New Roman" w:hAnsi="Times New Roman" w:cs="Times New Roman"/>
                      <w:color w:val="auto"/>
                      <w:kern w:val="2"/>
                      <w:szCs w:val="21"/>
                    </w:rPr>
                    <w:t>m</w:t>
                  </w:r>
                  <w:r>
                    <w:rPr>
                      <w:rFonts w:hint="eastAsia" w:ascii="Times New Roman" w:hAnsi="Times New Roman" w:cs="Times New Roman"/>
                      <w:color w:val="auto"/>
                      <w:kern w:val="2"/>
                      <w:szCs w:val="21"/>
                      <w:lang w:eastAsia="zh-CN"/>
                    </w:rPr>
                    <w:t>，</w:t>
                  </w:r>
                  <w:r>
                    <w:rPr>
                      <w:rFonts w:hint="default" w:ascii="Times New Roman" w:hAnsi="Times New Roman" w:cs="Times New Roman"/>
                      <w:color w:val="auto"/>
                      <w:kern w:val="2"/>
                      <w:szCs w:val="21"/>
                    </w:rPr>
                    <w:t>K≤1×10</w:t>
                  </w:r>
                  <w:r>
                    <w:rPr>
                      <w:rFonts w:hint="default" w:ascii="Times New Roman" w:hAnsi="Times New Roman" w:cs="Times New Roman"/>
                      <w:color w:val="auto"/>
                      <w:kern w:val="2"/>
                      <w:szCs w:val="21"/>
                      <w:vertAlign w:val="superscript"/>
                    </w:rPr>
                    <w:t>-7</w:t>
                  </w:r>
                  <w:r>
                    <w:rPr>
                      <w:rFonts w:hint="default" w:ascii="Times New Roman" w:hAnsi="Times New Roman" w:cs="Times New Roman"/>
                      <w:color w:val="auto"/>
                      <w:kern w:val="2"/>
                      <w:szCs w:val="21"/>
                    </w:rPr>
                    <w:t>cm/s</w:t>
                  </w:r>
                </w:p>
              </w:tc>
              <w:tc>
                <w:tcPr>
                  <w:tcW w:w="745" w:type="pct"/>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20" w:hRule="atLeast"/>
                <w:jc w:val="center"/>
              </w:trPr>
              <w:tc>
                <w:tcPr>
                  <w:tcW w:w="694" w:type="pct"/>
                  <w:tcBorders>
                    <w:tl2br w:val="nil"/>
                    <w:tr2bl w:val="nil"/>
                  </w:tcBorders>
                  <w:vAlign w:val="center"/>
                </w:tcPr>
                <w:p>
                  <w:pPr>
                    <w:widowControl/>
                    <w:spacing w:line="240" w:lineRule="auto"/>
                    <w:jc w:val="center"/>
                    <w:rPr>
                      <w:rFonts w:hint="default" w:ascii="Times New Roman" w:hAnsi="Times New Roman" w:cs="Times New Roman"/>
                      <w:color w:val="auto"/>
                      <w:kern w:val="2"/>
                      <w:szCs w:val="21"/>
                    </w:rPr>
                  </w:pPr>
                  <w:r>
                    <w:rPr>
                      <w:rFonts w:hint="default" w:ascii="Times New Roman" w:hAnsi="Times New Roman" w:cs="Times New Roman"/>
                      <w:color w:val="auto"/>
                      <w:szCs w:val="21"/>
                    </w:rPr>
                    <w:t>噪声</w:t>
                  </w:r>
                </w:p>
              </w:tc>
              <w:tc>
                <w:tcPr>
                  <w:tcW w:w="3560" w:type="pct"/>
                  <w:tcBorders>
                    <w:tl2br w:val="nil"/>
                    <w:tr2bl w:val="nil"/>
                  </w:tcBorders>
                  <w:vAlign w:val="center"/>
                </w:tcPr>
                <w:p>
                  <w:pPr>
                    <w:widowControl/>
                    <w:spacing w:line="240" w:lineRule="auto"/>
                    <w:jc w:val="center"/>
                    <w:rPr>
                      <w:rFonts w:hint="default" w:ascii="Times New Roman" w:hAnsi="Times New Roman" w:cs="Times New Roman"/>
                      <w:color w:val="auto"/>
                      <w:kern w:val="2"/>
                      <w:szCs w:val="21"/>
                    </w:rPr>
                  </w:pPr>
                  <w:r>
                    <w:rPr>
                      <w:rFonts w:hint="default" w:ascii="Times New Roman" w:hAnsi="Times New Roman" w:cs="Times New Roman"/>
                      <w:color w:val="auto"/>
                      <w:szCs w:val="21"/>
                    </w:rPr>
                    <w:t>基础减振、消音、厂房密闭等措施，</w:t>
                  </w:r>
                </w:p>
              </w:tc>
              <w:tc>
                <w:tcPr>
                  <w:tcW w:w="745" w:type="pct"/>
                  <w:tcBorders>
                    <w:tl2br w:val="nil"/>
                    <w:tr2bl w:val="nil"/>
                  </w:tcBorders>
                  <w:vAlign w:val="center"/>
                </w:tcPr>
                <w:p>
                  <w:pPr>
                    <w:widowControl/>
                    <w:spacing w:line="240" w:lineRule="auto"/>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20" w:hRule="atLeast"/>
                <w:jc w:val="center"/>
              </w:trPr>
              <w:tc>
                <w:tcPr>
                  <w:tcW w:w="694" w:type="pct"/>
                  <w:tcBorders>
                    <w:tl2br w:val="nil"/>
                    <w:tr2bl w:val="nil"/>
                  </w:tcBorders>
                  <w:vAlign w:val="center"/>
                </w:tcPr>
                <w:p>
                  <w:pPr>
                    <w:widowControl/>
                    <w:spacing w:line="240" w:lineRule="auto"/>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合计</w:t>
                  </w:r>
                </w:p>
              </w:tc>
              <w:tc>
                <w:tcPr>
                  <w:tcW w:w="3560" w:type="pct"/>
                  <w:tcBorders>
                    <w:tl2br w:val="nil"/>
                    <w:tr2bl w:val="nil"/>
                  </w:tcBorders>
                  <w:vAlign w:val="center"/>
                </w:tcPr>
                <w:p>
                  <w:pPr>
                    <w:widowControl/>
                    <w:spacing w:line="240" w:lineRule="auto"/>
                    <w:jc w:val="center"/>
                    <w:rPr>
                      <w:rFonts w:hint="default" w:ascii="Times New Roman" w:hAnsi="Times New Roman" w:cs="Times New Roman"/>
                      <w:color w:val="auto"/>
                      <w:szCs w:val="21"/>
                    </w:rPr>
                  </w:pPr>
                </w:p>
              </w:tc>
              <w:tc>
                <w:tcPr>
                  <w:tcW w:w="745" w:type="pct"/>
                  <w:tcBorders>
                    <w:tl2br w:val="nil"/>
                    <w:tr2bl w:val="nil"/>
                  </w:tcBorders>
                  <w:vAlign w:val="center"/>
                </w:tcPr>
                <w:p>
                  <w:pPr>
                    <w:widowControl/>
                    <w:spacing w:line="240" w:lineRule="auto"/>
                    <w:jc w:val="center"/>
                    <w:rPr>
                      <w:rFonts w:hint="default" w:cs="Times New Roman"/>
                      <w:color w:val="auto"/>
                      <w:szCs w:val="21"/>
                      <w:lang w:val="en-US" w:eastAsia="zh-CN"/>
                    </w:rPr>
                  </w:pPr>
                  <w:r>
                    <w:rPr>
                      <w:rFonts w:hint="eastAsia" w:cs="Times New Roman"/>
                      <w:color w:val="auto"/>
                      <w:szCs w:val="21"/>
                      <w:lang w:val="en-US" w:eastAsia="zh-CN"/>
                    </w:rPr>
                    <w:t>870</w:t>
                  </w:r>
                </w:p>
              </w:tc>
            </w:tr>
          </w:tbl>
          <w:p>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2.1</w:t>
            </w:r>
            <w:r>
              <w:rPr>
                <w:rFonts w:hint="eastAsia" w:cs="Times New Roman"/>
                <w:b/>
                <w:bCs/>
                <w:color w:val="auto"/>
                <w:sz w:val="24"/>
                <w:lang w:val="en-US" w:eastAsia="zh-CN"/>
              </w:rPr>
              <w:t>3</w:t>
            </w:r>
            <w:r>
              <w:rPr>
                <w:rFonts w:hint="default" w:ascii="Times New Roman" w:hAnsi="Times New Roman" w:cs="Times New Roman"/>
                <w:b/>
                <w:bCs/>
                <w:color w:val="auto"/>
                <w:sz w:val="24"/>
              </w:rPr>
              <w:t>建设项目污染物排放清单</w:t>
            </w:r>
          </w:p>
          <w:p>
            <w:pPr>
              <w:adjustRightInd/>
              <w:spacing w:line="240" w:lineRule="auto"/>
              <w:jc w:val="center"/>
              <w:textAlignment w:val="auto"/>
              <w:rPr>
                <w:rFonts w:hint="default" w:ascii="Times New Roman" w:hAnsi="Times New Roman" w:eastAsia="黑体" w:cs="Times New Roman"/>
                <w:color w:val="auto"/>
                <w:sz w:val="24"/>
                <w:szCs w:val="24"/>
              </w:rPr>
            </w:pPr>
            <w:r>
              <w:rPr>
                <w:rFonts w:hint="default" w:ascii="Times New Roman" w:hAnsi="Times New Roman" w:cs="Times New Roman"/>
                <w:b/>
                <w:color w:val="auto"/>
                <w:kern w:val="2"/>
                <w:sz w:val="24"/>
                <w:szCs w:val="24"/>
              </w:rPr>
              <w:t>表7-1</w:t>
            </w:r>
            <w:r>
              <w:rPr>
                <w:rFonts w:hint="eastAsia" w:cs="Times New Roman"/>
                <w:b/>
                <w:color w:val="auto"/>
                <w:kern w:val="2"/>
                <w:sz w:val="24"/>
                <w:szCs w:val="24"/>
                <w:lang w:val="en-US" w:eastAsia="zh-CN"/>
              </w:rPr>
              <w:t>6</w:t>
            </w:r>
            <w:r>
              <w:rPr>
                <w:rFonts w:hint="default" w:ascii="Times New Roman" w:hAnsi="Times New Roman" w:cs="Times New Roman"/>
                <w:b/>
                <w:color w:val="auto"/>
                <w:kern w:val="2"/>
                <w:sz w:val="24"/>
                <w:szCs w:val="24"/>
              </w:rPr>
              <w:t>建设项目污染物排放清单</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569"/>
              <w:gridCol w:w="807"/>
              <w:gridCol w:w="900"/>
              <w:gridCol w:w="858"/>
              <w:gridCol w:w="89"/>
              <w:gridCol w:w="904"/>
              <w:gridCol w:w="1297"/>
              <w:gridCol w:w="720"/>
              <w:gridCol w:w="591"/>
              <w:gridCol w:w="21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386" w:type="pct"/>
                  <w:tcBorders>
                    <w:top w:val="single" w:color="auto" w:sz="12"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类类别</w:t>
                  </w:r>
                </w:p>
              </w:tc>
              <w:tc>
                <w:tcPr>
                  <w:tcW w:w="294" w:type="pct"/>
                  <w:tcBorders>
                    <w:top w:val="single" w:color="auto" w:sz="12"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污染源</w:t>
                  </w:r>
                </w:p>
              </w:tc>
              <w:tc>
                <w:tcPr>
                  <w:tcW w:w="417" w:type="pct"/>
                  <w:tcBorders>
                    <w:top w:val="single" w:color="auto" w:sz="12"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污染物名称</w:t>
                  </w:r>
                </w:p>
              </w:tc>
              <w:tc>
                <w:tcPr>
                  <w:tcW w:w="465" w:type="pct"/>
                  <w:tcBorders>
                    <w:top w:val="single" w:color="auto" w:sz="12"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产生量（t/a）</w:t>
                  </w:r>
                </w:p>
              </w:tc>
              <w:tc>
                <w:tcPr>
                  <w:tcW w:w="443" w:type="pct"/>
                  <w:tcBorders>
                    <w:top w:val="single" w:color="auto" w:sz="12"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治理措施</w:t>
                  </w:r>
                </w:p>
              </w:tc>
              <w:tc>
                <w:tcPr>
                  <w:tcW w:w="512" w:type="pct"/>
                  <w:gridSpan w:val="2"/>
                  <w:tcBorders>
                    <w:top w:val="single" w:color="auto" w:sz="12"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排放量（t/a）</w:t>
                  </w:r>
                </w:p>
              </w:tc>
              <w:tc>
                <w:tcPr>
                  <w:tcW w:w="670" w:type="pct"/>
                  <w:tcBorders>
                    <w:top w:val="single" w:color="auto" w:sz="12"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总量指标（t/a）</w:t>
                  </w:r>
                </w:p>
              </w:tc>
              <w:tc>
                <w:tcPr>
                  <w:tcW w:w="372" w:type="pct"/>
                  <w:tcBorders>
                    <w:top w:val="single" w:color="auto" w:sz="12"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排放污染物分时段要求</w:t>
                  </w:r>
                </w:p>
              </w:tc>
              <w:tc>
                <w:tcPr>
                  <w:tcW w:w="305" w:type="pct"/>
                  <w:tcBorders>
                    <w:top w:val="single" w:color="auto" w:sz="12"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排污口信息</w:t>
                  </w:r>
                </w:p>
              </w:tc>
              <w:tc>
                <w:tcPr>
                  <w:tcW w:w="1132" w:type="pct"/>
                  <w:tcBorders>
                    <w:top w:val="single" w:color="auto" w:sz="12"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6" w:type="pct"/>
                  <w:vMerge w:val="restart"/>
                  <w:tcBorders>
                    <w:top w:val="nil"/>
                    <w:left w:val="nil"/>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大气污染物</w:t>
                  </w:r>
                </w:p>
              </w:tc>
              <w:tc>
                <w:tcPr>
                  <w:tcW w:w="294" w:type="pct"/>
                  <w:vMerge w:val="restar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eastAsia="宋体" w:cs="Times New Roman"/>
                      <w:color w:val="auto"/>
                      <w:kern w:val="2"/>
                      <w:szCs w:val="21"/>
                      <w:lang w:eastAsia="zh-CN"/>
                    </w:rPr>
                  </w:pPr>
                  <w:r>
                    <w:rPr>
                      <w:rFonts w:hint="default" w:ascii="Times New Roman" w:hAnsi="Times New Roman" w:cs="Times New Roman"/>
                      <w:color w:val="auto"/>
                      <w:kern w:val="2"/>
                      <w:szCs w:val="21"/>
                      <w:lang w:val="en-US" w:eastAsia="zh-CN"/>
                    </w:rPr>
                    <w:t>有组织</w:t>
                  </w:r>
                </w:p>
              </w:tc>
              <w:tc>
                <w:tcPr>
                  <w:tcW w:w="417"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pacing w:line="240" w:lineRule="auto"/>
                    <w:ind w:left="0" w:leftChars="0" w:right="0" w:rightChars="0" w:firstLine="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p>
              </w:tc>
              <w:tc>
                <w:tcPr>
                  <w:tcW w:w="465"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ind w:left="0" w:leftChars="0" w:right="0" w:rightChars="0" w:firstLine="0"/>
                    <w:jc w:val="center"/>
                    <w:textAlignment w:val="baseline"/>
                    <w:rPr>
                      <w:rFonts w:hint="default" w:ascii="Times New Roman" w:hAnsi="Times New Roman" w:eastAsia="宋体" w:cs="Times New Roman"/>
                      <w:color w:val="auto"/>
                      <w:kern w:val="2"/>
                      <w:szCs w:val="21"/>
                      <w:lang w:val="en-US" w:eastAsia="zh-CN"/>
                    </w:rPr>
                  </w:pPr>
                  <w:r>
                    <w:rPr>
                      <w:rFonts w:hint="default" w:ascii="Times New Roman" w:hAnsi="Times New Roman" w:cs="Times New Roman"/>
                      <w:color w:val="auto"/>
                      <w:lang w:val="en-US" w:eastAsia="zh-CN"/>
                    </w:rPr>
                    <w:t>0.456</w:t>
                  </w:r>
                </w:p>
              </w:tc>
              <w:tc>
                <w:tcPr>
                  <w:tcW w:w="443" w:type="pct"/>
                  <w:vMerge w:val="restar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高能离子除臭装置</w:t>
                  </w:r>
                </w:p>
              </w:tc>
              <w:tc>
                <w:tcPr>
                  <w:tcW w:w="512" w:type="pct"/>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ind w:left="0" w:leftChars="0" w:right="0" w:rightChars="0" w:firstLine="0"/>
                    <w:jc w:val="center"/>
                    <w:textAlignment w:val="baseline"/>
                    <w:rPr>
                      <w:rFonts w:hint="default" w:ascii="Times New Roman" w:hAnsi="Times New Roman" w:eastAsia="宋体" w:cs="Times New Roman"/>
                      <w:color w:val="auto"/>
                      <w:kern w:val="2"/>
                      <w:szCs w:val="21"/>
                      <w:lang w:val="en-US" w:eastAsia="zh-CN"/>
                    </w:rPr>
                  </w:pPr>
                  <w:r>
                    <w:rPr>
                      <w:rFonts w:hint="default" w:ascii="Times New Roman" w:hAnsi="Times New Roman" w:cs="Times New Roman"/>
                      <w:color w:val="auto"/>
                      <w:lang w:val="en-US" w:eastAsia="zh-CN"/>
                    </w:rPr>
                    <w:t>0.036</w:t>
                  </w:r>
                </w:p>
              </w:tc>
              <w:tc>
                <w:tcPr>
                  <w:tcW w:w="670" w:type="pct"/>
                  <w:vMerge w:val="restar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无</w:t>
                  </w:r>
                </w:p>
              </w:tc>
              <w:tc>
                <w:tcPr>
                  <w:tcW w:w="372" w:type="pct"/>
                  <w:vMerge w:val="restar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运营期全时段</w:t>
                  </w:r>
                </w:p>
              </w:tc>
              <w:tc>
                <w:tcPr>
                  <w:tcW w:w="305" w:type="pct"/>
                  <w:vMerge w:val="restar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15m排气筒</w:t>
                  </w:r>
                </w:p>
              </w:tc>
              <w:tc>
                <w:tcPr>
                  <w:tcW w:w="1132" w:type="pct"/>
                  <w:vMerge w:val="restart"/>
                  <w:tcBorders>
                    <w:top w:val="nil"/>
                    <w:left w:val="nil"/>
                    <w:right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szCs w:val="21"/>
                    </w:rPr>
                    <w:t>《恶臭污染物排放标准》（GB14554-93）中排气筒高度15m规定的标准限值。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6" w:type="pct"/>
                  <w:vMerge w:val="continue"/>
                  <w:tcBorders>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c>
                <w:tcPr>
                  <w:tcW w:w="294" w:type="pct"/>
                  <w:vMerge w:val="continue"/>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c>
                <w:tcPr>
                  <w:tcW w:w="417"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pacing w:line="240" w:lineRule="auto"/>
                    <w:ind w:left="0" w:leftChars="0" w:right="0" w:rightChars="0" w:firstLine="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p>
              </w:tc>
              <w:tc>
                <w:tcPr>
                  <w:tcW w:w="465"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ind w:left="0" w:leftChars="0" w:right="0" w:rightChars="0" w:firstLine="0"/>
                    <w:jc w:val="center"/>
                    <w:textAlignment w:val="baseline"/>
                    <w:rPr>
                      <w:rFonts w:hint="default" w:ascii="Times New Roman" w:hAnsi="Times New Roman" w:eastAsia="宋体" w:cs="Times New Roman"/>
                      <w:color w:val="auto"/>
                      <w:kern w:val="2"/>
                      <w:szCs w:val="21"/>
                      <w:lang w:val="en-US" w:eastAsia="zh-CN"/>
                    </w:rPr>
                  </w:pPr>
                  <w:r>
                    <w:rPr>
                      <w:rFonts w:hint="default" w:ascii="Times New Roman" w:hAnsi="Times New Roman" w:cs="Times New Roman"/>
                      <w:color w:val="auto"/>
                      <w:lang w:val="en-US" w:eastAsia="zh-CN"/>
                    </w:rPr>
                    <w:t>0.012</w:t>
                  </w:r>
                </w:p>
              </w:tc>
              <w:tc>
                <w:tcPr>
                  <w:tcW w:w="443" w:type="pct"/>
                  <w:vMerge w:val="continue"/>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c>
                <w:tcPr>
                  <w:tcW w:w="512" w:type="pct"/>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ind w:left="0" w:leftChars="0" w:right="0" w:rightChars="0" w:firstLine="0"/>
                    <w:jc w:val="center"/>
                    <w:textAlignment w:val="baseline"/>
                    <w:rPr>
                      <w:rFonts w:hint="default" w:ascii="Times New Roman" w:hAnsi="Times New Roman" w:eastAsia="宋体" w:cs="Times New Roman"/>
                      <w:color w:val="auto"/>
                      <w:kern w:val="2"/>
                      <w:szCs w:val="21"/>
                      <w:lang w:val="en-US" w:eastAsia="zh-CN"/>
                    </w:rPr>
                  </w:pPr>
                  <w:r>
                    <w:rPr>
                      <w:rFonts w:hint="default" w:ascii="Times New Roman" w:hAnsi="Times New Roman" w:cs="Times New Roman"/>
                      <w:color w:val="auto"/>
                      <w:lang w:val="en-US" w:eastAsia="zh-CN"/>
                    </w:rPr>
                    <w:t>0.001</w:t>
                  </w:r>
                </w:p>
              </w:tc>
              <w:tc>
                <w:tcPr>
                  <w:tcW w:w="670" w:type="pct"/>
                  <w:vMerge w:val="continue"/>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center"/>
                    <w:textAlignment w:val="baseline"/>
                    <w:rPr>
                      <w:rFonts w:hint="default" w:ascii="Times New Roman" w:hAnsi="Times New Roman" w:cs="Times New Roman"/>
                      <w:color w:val="auto"/>
                      <w:kern w:val="2"/>
                      <w:szCs w:val="21"/>
                    </w:rPr>
                  </w:pPr>
                </w:p>
              </w:tc>
              <w:tc>
                <w:tcPr>
                  <w:tcW w:w="372" w:type="pct"/>
                  <w:vMerge w:val="continue"/>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c>
                <w:tcPr>
                  <w:tcW w:w="305" w:type="pct"/>
                  <w:vMerge w:val="continue"/>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c>
                <w:tcPr>
                  <w:tcW w:w="1132" w:type="pct"/>
                  <w:vMerge w:val="continue"/>
                  <w:tcBorders>
                    <w:left w:val="nil"/>
                    <w:right w:val="nil"/>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386" w:type="pct"/>
                  <w:vMerge w:val="continue"/>
                  <w:tcBorders>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c>
                <w:tcPr>
                  <w:tcW w:w="294" w:type="pct"/>
                  <w:vMerge w:val="restart"/>
                  <w:tcBorders>
                    <w:top w:val="nil"/>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eastAsia="宋体" w:cs="Times New Roman"/>
                      <w:color w:val="auto"/>
                      <w:kern w:val="2"/>
                      <w:szCs w:val="21"/>
                      <w:lang w:eastAsia="zh-CN"/>
                    </w:rPr>
                  </w:pPr>
                  <w:r>
                    <w:rPr>
                      <w:rFonts w:hint="default" w:ascii="Times New Roman" w:hAnsi="Times New Roman" w:cs="Times New Roman"/>
                      <w:color w:val="auto"/>
                      <w:kern w:val="2"/>
                      <w:szCs w:val="21"/>
                      <w:lang w:val="en-US" w:eastAsia="zh-CN"/>
                    </w:rPr>
                    <w:t>无组织</w:t>
                  </w:r>
                </w:p>
              </w:tc>
              <w:tc>
                <w:tcPr>
                  <w:tcW w:w="417"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pacing w:line="240" w:lineRule="auto"/>
                    <w:ind w:left="0" w:leftChars="0" w:right="0" w:rightChars="0" w:firstLine="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p>
              </w:tc>
              <w:tc>
                <w:tcPr>
                  <w:tcW w:w="465"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ind w:left="0" w:leftChars="0" w:right="0" w:rightChars="0" w:firstLine="0"/>
                    <w:jc w:val="center"/>
                    <w:textAlignment w:val="baseline"/>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0.091</w:t>
                  </w:r>
                </w:p>
              </w:tc>
              <w:tc>
                <w:tcPr>
                  <w:tcW w:w="443" w:type="pct"/>
                  <w:vMerge w:val="restart"/>
                  <w:tcBorders>
                    <w:top w:val="nil"/>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eastAsia="宋体" w:cs="Times New Roman"/>
                      <w:color w:val="auto"/>
                      <w:kern w:val="2"/>
                      <w:szCs w:val="21"/>
                      <w:lang w:val="en-US" w:eastAsia="zh-CN"/>
                    </w:rPr>
                  </w:pPr>
                  <w:r>
                    <w:rPr>
                      <w:rFonts w:hint="default" w:ascii="Times New Roman" w:hAnsi="Times New Roman" w:cs="Times New Roman"/>
                      <w:color w:val="auto"/>
                      <w:szCs w:val="21"/>
                    </w:rPr>
                    <w:t>密闭建筑</w:t>
                  </w:r>
                  <w:r>
                    <w:rPr>
                      <w:rFonts w:hint="default" w:ascii="Times New Roman" w:hAnsi="Times New Roman" w:cs="Times New Roman"/>
                      <w:color w:val="auto"/>
                      <w:szCs w:val="21"/>
                      <w:lang w:eastAsia="zh-CN"/>
                    </w:rPr>
                    <w:t>，</w:t>
                  </w:r>
                </w:p>
              </w:tc>
              <w:tc>
                <w:tcPr>
                  <w:tcW w:w="512" w:type="pct"/>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ind w:left="0" w:leftChars="0" w:right="0" w:rightChars="0" w:firstLine="0"/>
                    <w:jc w:val="center"/>
                    <w:textAlignment w:val="baseline"/>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0.091</w:t>
                  </w:r>
                </w:p>
              </w:tc>
              <w:tc>
                <w:tcPr>
                  <w:tcW w:w="67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无</w:t>
                  </w:r>
                </w:p>
              </w:tc>
              <w:tc>
                <w:tcPr>
                  <w:tcW w:w="372" w:type="pct"/>
                  <w:vMerge w:val="restart"/>
                  <w:tcBorders>
                    <w:top w:val="nil"/>
                    <w:left w:val="nil"/>
                    <w:right w:val="single" w:color="auto" w:sz="4" w:space="0"/>
                  </w:tcBorders>
                </w:tcPr>
                <w:p>
                  <w:pPr>
                    <w:keepNext w:val="0"/>
                    <w:keepLines w:val="0"/>
                    <w:pageBreakBefore w:val="0"/>
                    <w:kinsoku/>
                    <w:wordWrap/>
                    <w:overflowPunct/>
                    <w:topLinePunct w:val="0"/>
                    <w:autoSpaceDE/>
                    <w:autoSpaceDN/>
                    <w:bidi w:val="0"/>
                    <w:adjustRightInd w:val="0"/>
                    <w:ind w:left="0" w:leftChars="0" w:right="0" w:rightChars="0" w:firstLine="0"/>
                    <w:textAlignment w:val="baseline"/>
                    <w:rPr>
                      <w:rFonts w:hint="default" w:ascii="Times New Roman" w:hAnsi="Times New Roman" w:cs="Times New Roman"/>
                      <w:color w:val="auto"/>
                    </w:rPr>
                  </w:pPr>
                  <w:r>
                    <w:rPr>
                      <w:rFonts w:hint="default" w:ascii="Times New Roman" w:hAnsi="Times New Roman" w:cs="Times New Roman"/>
                      <w:color w:val="auto"/>
                    </w:rPr>
                    <w:t>运营期全时段</w:t>
                  </w:r>
                </w:p>
              </w:tc>
              <w:tc>
                <w:tcPr>
                  <w:tcW w:w="305" w:type="pct"/>
                  <w:vMerge w:val="restart"/>
                  <w:tcBorders>
                    <w:top w:val="nil"/>
                    <w:left w:val="nil"/>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32" w:type="pct"/>
                  <w:vMerge w:val="restart"/>
                  <w:tcBorders>
                    <w:left w:val="nil"/>
                    <w:right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《恶臭污染物排放标准》（GB14554-93）中</w:t>
                  </w:r>
                  <w:r>
                    <w:rPr>
                      <w:rFonts w:hint="default" w:ascii="Times New Roman" w:hAnsi="Times New Roman" w:cs="Times New Roman"/>
                      <w:color w:val="auto"/>
                      <w:szCs w:val="21"/>
                      <w:lang w:val="en-US" w:eastAsia="zh-CN"/>
                    </w:rPr>
                    <w:t>无组织排放限值</w:t>
                  </w:r>
                  <w:r>
                    <w:rPr>
                      <w:rFonts w:hint="default" w:ascii="Times New Roman" w:hAnsi="Times New Roman" w:cs="Times New Roman"/>
                      <w:color w:val="auto"/>
                      <w:szCs w:val="21"/>
                    </w:rPr>
                    <w:t>。</w:t>
                  </w:r>
                </w:p>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386" w:type="pct"/>
                  <w:vMerge w:val="continue"/>
                  <w:tcBorders>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c>
                <w:tcPr>
                  <w:tcW w:w="294" w:type="pct"/>
                  <w:vMerge w:val="continue"/>
                  <w:tcBorders>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c>
                <w:tcPr>
                  <w:tcW w:w="417"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pacing w:line="240" w:lineRule="auto"/>
                    <w:ind w:left="0" w:leftChars="0" w:right="0" w:rightChars="0" w:firstLine="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p>
              </w:tc>
              <w:tc>
                <w:tcPr>
                  <w:tcW w:w="465"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ind w:left="0" w:leftChars="0" w:right="0" w:rightChars="0" w:firstLine="0"/>
                    <w:jc w:val="center"/>
                    <w:textAlignment w:val="baseline"/>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0.0025</w:t>
                  </w:r>
                </w:p>
              </w:tc>
              <w:tc>
                <w:tcPr>
                  <w:tcW w:w="443" w:type="pct"/>
                  <w:vMerge w:val="continue"/>
                  <w:tcBorders>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c>
                <w:tcPr>
                  <w:tcW w:w="512" w:type="pct"/>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ind w:left="0" w:leftChars="0" w:right="0" w:rightChars="0" w:firstLine="0"/>
                    <w:jc w:val="center"/>
                    <w:textAlignment w:val="baseline"/>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0.0025</w:t>
                  </w:r>
                </w:p>
              </w:tc>
              <w:tc>
                <w:tcPr>
                  <w:tcW w:w="67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无</w:t>
                  </w:r>
                </w:p>
              </w:tc>
              <w:tc>
                <w:tcPr>
                  <w:tcW w:w="372" w:type="pct"/>
                  <w:vMerge w:val="continue"/>
                  <w:tcBorders>
                    <w:left w:val="nil"/>
                    <w:bottom w:val="single" w:color="auto" w:sz="4" w:space="0"/>
                    <w:right w:val="single" w:color="auto" w:sz="4" w:space="0"/>
                  </w:tcBorders>
                </w:tcPr>
                <w:p>
                  <w:pPr>
                    <w:keepNext w:val="0"/>
                    <w:keepLines w:val="0"/>
                    <w:pageBreakBefore w:val="0"/>
                    <w:kinsoku/>
                    <w:wordWrap/>
                    <w:overflowPunct/>
                    <w:topLinePunct w:val="0"/>
                    <w:autoSpaceDE/>
                    <w:autoSpaceDN/>
                    <w:bidi w:val="0"/>
                    <w:adjustRightInd w:val="0"/>
                    <w:ind w:left="0" w:leftChars="0" w:right="0" w:rightChars="0" w:firstLine="0"/>
                    <w:textAlignment w:val="baseline"/>
                    <w:rPr>
                      <w:rFonts w:hint="default" w:ascii="Times New Roman" w:hAnsi="Times New Roman" w:cs="Times New Roman"/>
                      <w:color w:val="auto"/>
                    </w:rPr>
                  </w:pPr>
                </w:p>
              </w:tc>
              <w:tc>
                <w:tcPr>
                  <w:tcW w:w="305" w:type="pct"/>
                  <w:vMerge w:val="continue"/>
                  <w:tcBorders>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c>
                <w:tcPr>
                  <w:tcW w:w="1132" w:type="pct"/>
                  <w:vMerge w:val="continue"/>
                  <w:tcBorders>
                    <w:left w:val="nil"/>
                    <w:right w:val="nil"/>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4" w:hRule="atLeast"/>
              </w:trPr>
              <w:tc>
                <w:tcPr>
                  <w:tcW w:w="386"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噪声</w:t>
                  </w:r>
                </w:p>
              </w:tc>
              <w:tc>
                <w:tcPr>
                  <w:tcW w:w="294"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生产车间</w:t>
                  </w:r>
                </w:p>
              </w:tc>
              <w:tc>
                <w:tcPr>
                  <w:tcW w:w="417"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设备噪声</w:t>
                  </w:r>
                </w:p>
              </w:tc>
              <w:tc>
                <w:tcPr>
                  <w:tcW w:w="1421" w:type="pct"/>
                  <w:gridSpan w:val="4"/>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各设备采取隔声、消声、基础减振等综合治理措施。</w:t>
                  </w:r>
                </w:p>
              </w:tc>
              <w:tc>
                <w:tcPr>
                  <w:tcW w:w="670"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无</w:t>
                  </w:r>
                </w:p>
              </w:tc>
              <w:tc>
                <w:tcPr>
                  <w:tcW w:w="372"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运营期全时段</w:t>
                  </w:r>
                </w:p>
              </w:tc>
              <w:tc>
                <w:tcPr>
                  <w:tcW w:w="305"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w:t>
                  </w:r>
                </w:p>
              </w:tc>
              <w:tc>
                <w:tcPr>
                  <w:tcW w:w="1132"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GB12348-2008《工业企业厂界环境噪声排放标准》2类、标准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6" w:type="pct"/>
                  <w:vMerge w:val="restart"/>
                  <w:tcBorders>
                    <w:top w:val="nil"/>
                    <w:left w:val="nil"/>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固废</w:t>
                  </w:r>
                </w:p>
              </w:tc>
              <w:tc>
                <w:tcPr>
                  <w:tcW w:w="294" w:type="pct"/>
                  <w:vMerge w:val="restart"/>
                  <w:tcBorders>
                    <w:top w:val="nil"/>
                    <w:left w:val="nil"/>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车间</w:t>
                  </w:r>
                </w:p>
              </w:tc>
              <w:tc>
                <w:tcPr>
                  <w:tcW w:w="417"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生活垃圾</w:t>
                  </w:r>
                </w:p>
              </w:tc>
              <w:tc>
                <w:tcPr>
                  <w:tcW w:w="465"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eastAsia="宋体" w:cs="Times New Roman"/>
                      <w:color w:val="auto"/>
                      <w:kern w:val="2"/>
                      <w:szCs w:val="21"/>
                      <w:lang w:val="en-US" w:eastAsia="zh-CN"/>
                    </w:rPr>
                  </w:pPr>
                  <w:r>
                    <w:rPr>
                      <w:rFonts w:hint="default" w:ascii="Times New Roman" w:hAnsi="Times New Roman" w:cs="Times New Roman"/>
                      <w:color w:val="auto"/>
                      <w:lang w:val="en-US" w:eastAsia="zh-CN"/>
                    </w:rPr>
                    <w:t>0.365</w:t>
                  </w:r>
                </w:p>
              </w:tc>
              <w:tc>
                <w:tcPr>
                  <w:tcW w:w="489" w:type="pct"/>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eastAsia="宋体" w:cs="Times New Roman"/>
                      <w:color w:val="auto"/>
                      <w:kern w:val="2"/>
                      <w:szCs w:val="21"/>
                      <w:lang w:val="en-US" w:eastAsia="zh-CN"/>
                    </w:rPr>
                  </w:pPr>
                  <w:r>
                    <w:rPr>
                      <w:rFonts w:hint="default" w:ascii="Times New Roman" w:hAnsi="Times New Roman" w:cs="Times New Roman"/>
                      <w:color w:val="auto"/>
                      <w:kern w:val="2"/>
                      <w:szCs w:val="21"/>
                      <w:lang w:val="en-US" w:eastAsia="zh-CN"/>
                    </w:rPr>
                    <w:t>卫生填埋</w:t>
                  </w:r>
                </w:p>
              </w:tc>
              <w:tc>
                <w:tcPr>
                  <w:tcW w:w="466"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lang w:val="en-US" w:eastAsia="zh-CN"/>
                    </w:rPr>
                    <w:t>0.365</w:t>
                  </w:r>
                  <w:r>
                    <w:rPr>
                      <w:rFonts w:hint="default" w:ascii="Times New Roman" w:hAnsi="Times New Roman" w:cs="Times New Roman"/>
                      <w:color w:val="auto"/>
                    </w:rPr>
                    <w:t>t/a</w:t>
                  </w:r>
                </w:p>
              </w:tc>
              <w:tc>
                <w:tcPr>
                  <w:tcW w:w="670" w:type="pct"/>
                  <w:vMerge w:val="restar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无</w:t>
                  </w:r>
                </w:p>
              </w:tc>
              <w:tc>
                <w:tcPr>
                  <w:tcW w:w="372" w:type="pct"/>
                  <w:vMerge w:val="restar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运营期全时段</w:t>
                  </w:r>
                </w:p>
              </w:tc>
              <w:tc>
                <w:tcPr>
                  <w:tcW w:w="305" w:type="pct"/>
                  <w:vMerge w:val="restar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w:t>
                  </w:r>
                </w:p>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p>
              </w:tc>
              <w:tc>
                <w:tcPr>
                  <w:tcW w:w="1132" w:type="pct"/>
                  <w:vMerge w:val="restart"/>
                  <w:tcBorders>
                    <w:top w:val="single" w:color="auto" w:sz="4" w:space="0"/>
                    <w:left w:val="nil"/>
                    <w:right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妥善处理、合理</w:t>
                  </w:r>
                </w:p>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6" w:type="pct"/>
                  <w:vMerge w:val="continue"/>
                  <w:tcBorders>
                    <w:left w:val="nil"/>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rPr>
                  </w:pPr>
                </w:p>
              </w:tc>
              <w:tc>
                <w:tcPr>
                  <w:tcW w:w="294" w:type="pct"/>
                  <w:vMerge w:val="continue"/>
                  <w:tcBorders>
                    <w:left w:val="nil"/>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rPr>
                  </w:pPr>
                </w:p>
              </w:tc>
              <w:tc>
                <w:tcPr>
                  <w:tcW w:w="417"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污泥</w:t>
                  </w:r>
                </w:p>
              </w:tc>
              <w:tc>
                <w:tcPr>
                  <w:tcW w:w="465"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eastAsia="宋体" w:cs="Times New Roman"/>
                      <w:color w:val="auto"/>
                      <w:lang w:val="en-US" w:eastAsia="zh-CN"/>
                    </w:rPr>
                  </w:pPr>
                  <w:r>
                    <w:rPr>
                      <w:rFonts w:hint="eastAsia" w:cs="Times New Roman"/>
                      <w:bCs/>
                      <w:color w:val="auto"/>
                      <w:lang w:val="en-US" w:eastAsia="zh-CN"/>
                    </w:rPr>
                    <w:t>18.62</w:t>
                  </w:r>
                </w:p>
              </w:tc>
              <w:tc>
                <w:tcPr>
                  <w:tcW w:w="489" w:type="pct"/>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卫生填埋</w:t>
                  </w:r>
                </w:p>
              </w:tc>
              <w:tc>
                <w:tcPr>
                  <w:tcW w:w="466"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18.62</w:t>
                  </w:r>
                </w:p>
              </w:tc>
              <w:tc>
                <w:tcPr>
                  <w:tcW w:w="670" w:type="pct"/>
                  <w:vMerge w:val="continue"/>
                  <w:tcBorders>
                    <w:top w:val="nil"/>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rPr>
                  </w:pPr>
                </w:p>
              </w:tc>
              <w:tc>
                <w:tcPr>
                  <w:tcW w:w="372" w:type="pct"/>
                  <w:vMerge w:val="continue"/>
                  <w:tcBorders>
                    <w:top w:val="nil"/>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rPr>
                  </w:pPr>
                </w:p>
              </w:tc>
              <w:tc>
                <w:tcPr>
                  <w:tcW w:w="305" w:type="pct"/>
                  <w:vMerge w:val="continue"/>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rPr>
                  </w:pPr>
                </w:p>
              </w:tc>
              <w:tc>
                <w:tcPr>
                  <w:tcW w:w="1132" w:type="pct"/>
                  <w:vMerge w:val="continue"/>
                  <w:tcBorders>
                    <w:left w:val="nil"/>
                    <w:right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86" w:type="pct"/>
                  <w:vMerge w:val="continue"/>
                  <w:tcBorders>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c>
                <w:tcPr>
                  <w:tcW w:w="294" w:type="pct"/>
                  <w:vMerge w:val="continue"/>
                  <w:tcBorders>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c>
                <w:tcPr>
                  <w:tcW w:w="417"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eastAsia="宋体" w:cs="Times New Roman"/>
                      <w:color w:val="auto"/>
                      <w:kern w:val="2"/>
                      <w:szCs w:val="21"/>
                      <w:lang w:eastAsia="zh-CN"/>
                    </w:rPr>
                  </w:pPr>
                  <w:r>
                    <w:rPr>
                      <w:rFonts w:hint="default" w:ascii="Times New Roman" w:hAnsi="Times New Roman" w:cs="Times New Roman"/>
                      <w:color w:val="auto"/>
                      <w:lang w:val="en-US" w:eastAsia="zh-CN"/>
                    </w:rPr>
                    <w:t>废机油</w:t>
                  </w:r>
                </w:p>
              </w:tc>
              <w:tc>
                <w:tcPr>
                  <w:tcW w:w="465"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eastAsia="宋体" w:cs="Times New Roman"/>
                      <w:color w:val="auto"/>
                      <w:kern w:val="2"/>
                      <w:szCs w:val="21"/>
                      <w:lang w:val="en-US" w:eastAsia="zh-CN"/>
                    </w:rPr>
                  </w:pPr>
                  <w:r>
                    <w:rPr>
                      <w:rFonts w:hint="default" w:ascii="Times New Roman" w:hAnsi="Times New Roman" w:cs="Times New Roman"/>
                      <w:color w:val="auto"/>
                      <w:lang w:val="en-US" w:eastAsia="zh-CN"/>
                    </w:rPr>
                    <w:t>0.016</w:t>
                  </w:r>
                </w:p>
              </w:tc>
              <w:tc>
                <w:tcPr>
                  <w:tcW w:w="489" w:type="pct"/>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lang w:val="en-US" w:eastAsia="zh-CN"/>
                    </w:rPr>
                    <w:t>有资质单位处置</w:t>
                  </w:r>
                </w:p>
              </w:tc>
              <w:tc>
                <w:tcPr>
                  <w:tcW w:w="466"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eastAsia="宋体" w:cs="Times New Roman"/>
                      <w:color w:val="auto"/>
                      <w:kern w:val="2"/>
                      <w:szCs w:val="21"/>
                      <w:lang w:val="en-US" w:eastAsia="zh-CN"/>
                    </w:rPr>
                  </w:pPr>
                  <w:r>
                    <w:rPr>
                      <w:rFonts w:hint="default" w:ascii="Times New Roman" w:hAnsi="Times New Roman" w:cs="Times New Roman"/>
                      <w:color w:val="auto"/>
                      <w:lang w:val="en-US" w:eastAsia="zh-CN"/>
                    </w:rPr>
                    <w:t>0.016</w:t>
                  </w:r>
                </w:p>
              </w:tc>
              <w:tc>
                <w:tcPr>
                  <w:tcW w:w="670" w:type="pct"/>
                  <w:vMerge w:val="continue"/>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c>
                <w:tcPr>
                  <w:tcW w:w="372" w:type="pct"/>
                  <w:vMerge w:val="continue"/>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c>
                <w:tcPr>
                  <w:tcW w:w="305" w:type="pct"/>
                  <w:vMerge w:val="continue"/>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c>
                <w:tcPr>
                  <w:tcW w:w="1132" w:type="pct"/>
                  <w:vMerge w:val="continue"/>
                  <w:tcBorders>
                    <w:left w:val="nil"/>
                    <w:right w:val="nil"/>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86" w:type="pct"/>
                  <w:vMerge w:val="continue"/>
                  <w:tcBorders>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c>
                <w:tcPr>
                  <w:tcW w:w="294" w:type="pct"/>
                  <w:vMerge w:val="continue"/>
                  <w:tcBorders>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c>
                <w:tcPr>
                  <w:tcW w:w="417"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废膜</w:t>
                  </w:r>
                </w:p>
              </w:tc>
              <w:tc>
                <w:tcPr>
                  <w:tcW w:w="465"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0.01t/3年</w:t>
                  </w:r>
                </w:p>
              </w:tc>
              <w:tc>
                <w:tcPr>
                  <w:tcW w:w="489" w:type="pct"/>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厂家回收</w:t>
                  </w:r>
                </w:p>
              </w:tc>
              <w:tc>
                <w:tcPr>
                  <w:tcW w:w="466"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0.01t/3年</w:t>
                  </w:r>
                </w:p>
              </w:tc>
              <w:tc>
                <w:tcPr>
                  <w:tcW w:w="67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无</w:t>
                  </w:r>
                </w:p>
              </w:tc>
              <w:tc>
                <w:tcPr>
                  <w:tcW w:w="372"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w:t>
                  </w:r>
                </w:p>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c>
                <w:tcPr>
                  <w:tcW w:w="305"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w:t>
                  </w:r>
                </w:p>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c>
                <w:tcPr>
                  <w:tcW w:w="1132" w:type="pct"/>
                  <w:vMerge w:val="continue"/>
                  <w:tcBorders>
                    <w:left w:val="nil"/>
                    <w:right w:val="nil"/>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86" w:type="pct"/>
                  <w:vMerge w:val="continue"/>
                  <w:tcBorders>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c>
                <w:tcPr>
                  <w:tcW w:w="294" w:type="pct"/>
                  <w:vMerge w:val="continue"/>
                  <w:tcBorders>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c>
                <w:tcPr>
                  <w:tcW w:w="417"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废离子交换树脂</w:t>
                  </w:r>
                </w:p>
              </w:tc>
              <w:tc>
                <w:tcPr>
                  <w:tcW w:w="465"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w:t>
                  </w:r>
                </w:p>
              </w:tc>
              <w:tc>
                <w:tcPr>
                  <w:tcW w:w="489" w:type="pct"/>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有资质单位处置</w:t>
                  </w:r>
                </w:p>
              </w:tc>
              <w:tc>
                <w:tcPr>
                  <w:tcW w:w="466"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w:t>
                  </w:r>
                </w:p>
              </w:tc>
              <w:tc>
                <w:tcPr>
                  <w:tcW w:w="670"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无</w:t>
                  </w:r>
                </w:p>
              </w:tc>
              <w:tc>
                <w:tcPr>
                  <w:tcW w:w="37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运营期全时段</w:t>
                  </w:r>
                </w:p>
              </w:tc>
              <w:tc>
                <w:tcPr>
                  <w:tcW w:w="305"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w:t>
                  </w:r>
                </w:p>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c>
                <w:tcPr>
                  <w:tcW w:w="1132" w:type="pct"/>
                  <w:vMerge w:val="continue"/>
                  <w:tcBorders>
                    <w:left w:val="nil"/>
                    <w:bottom w:val="single" w:color="auto" w:sz="4" w:space="0"/>
                    <w:right w:val="nil"/>
                  </w:tcBorders>
                  <w:vAlign w:val="center"/>
                </w:tcPr>
                <w:p>
                  <w:pPr>
                    <w:keepNext w:val="0"/>
                    <w:keepLines w:val="0"/>
                    <w:pageBreakBefore w:val="0"/>
                    <w:widowControl/>
                    <w:kinsoku/>
                    <w:wordWrap/>
                    <w:overflowPunct/>
                    <w:topLinePunct w:val="0"/>
                    <w:autoSpaceDE/>
                    <w:autoSpaceDN/>
                    <w:bidi w:val="0"/>
                    <w:adjustRightInd w:val="0"/>
                    <w:ind w:left="0" w:leftChars="0" w:right="0" w:rightChars="0" w:firstLine="0"/>
                    <w:jc w:val="left"/>
                    <w:textAlignment w:val="baseline"/>
                    <w:rPr>
                      <w:rFonts w:hint="default" w:ascii="Times New Roman" w:hAnsi="Times New Roman" w:cs="Times New Roman"/>
                      <w:color w:val="auto"/>
                      <w:kern w:val="2"/>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86" w:type="pct"/>
                  <w:tcBorders>
                    <w:top w:val="single" w:color="auto" w:sz="4" w:space="0"/>
                    <w:left w:val="nil"/>
                    <w:bottom w:val="single" w:color="auto" w:sz="12"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废水</w:t>
                  </w:r>
                </w:p>
              </w:tc>
              <w:tc>
                <w:tcPr>
                  <w:tcW w:w="294" w:type="pct"/>
                  <w:tcBorders>
                    <w:top w:val="single" w:color="auto" w:sz="4" w:space="0"/>
                    <w:left w:val="nil"/>
                    <w:bottom w:val="single" w:color="auto" w:sz="12"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eastAsia="宋体" w:cs="Times New Roman"/>
                      <w:color w:val="auto"/>
                      <w:kern w:val="2"/>
                      <w:szCs w:val="21"/>
                      <w:lang w:eastAsia="zh-CN"/>
                    </w:rPr>
                  </w:pPr>
                  <w:r>
                    <w:rPr>
                      <w:rFonts w:hint="default" w:ascii="Times New Roman" w:hAnsi="Times New Roman" w:cs="Times New Roman"/>
                      <w:color w:val="auto"/>
                      <w:lang w:val="en-US" w:eastAsia="zh-CN"/>
                    </w:rPr>
                    <w:t>垃圾填埋场</w:t>
                  </w:r>
                </w:p>
              </w:tc>
              <w:tc>
                <w:tcPr>
                  <w:tcW w:w="417" w:type="pct"/>
                  <w:tcBorders>
                    <w:top w:val="single" w:color="auto" w:sz="4" w:space="0"/>
                    <w:left w:val="nil"/>
                    <w:bottom w:val="single" w:color="auto" w:sz="12"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eastAsia="宋体" w:cs="Times New Roman"/>
                      <w:color w:val="auto"/>
                      <w:kern w:val="2"/>
                      <w:szCs w:val="21"/>
                      <w:lang w:eastAsia="zh-CN"/>
                    </w:rPr>
                  </w:pPr>
                  <w:r>
                    <w:rPr>
                      <w:rFonts w:hint="default" w:ascii="Times New Roman" w:hAnsi="Times New Roman" w:cs="Times New Roman"/>
                      <w:color w:val="auto"/>
                      <w:lang w:val="en-US" w:eastAsia="zh-CN"/>
                    </w:rPr>
                    <w:t>废水</w:t>
                  </w:r>
                </w:p>
              </w:tc>
              <w:tc>
                <w:tcPr>
                  <w:tcW w:w="465" w:type="pct"/>
                  <w:tcBorders>
                    <w:top w:val="single" w:color="auto" w:sz="4" w:space="0"/>
                    <w:left w:val="nil"/>
                    <w:bottom w:val="single" w:color="auto" w:sz="12"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eastAsia="宋体" w:cs="Times New Roman"/>
                      <w:color w:val="auto"/>
                      <w:kern w:val="2"/>
                      <w:szCs w:val="21"/>
                      <w:lang w:val="en-US" w:eastAsia="zh-CN"/>
                    </w:rPr>
                  </w:pPr>
                  <w:r>
                    <w:rPr>
                      <w:rFonts w:hint="eastAsia" w:cs="Times New Roman"/>
                      <w:color w:val="auto"/>
                      <w:lang w:val="en-US" w:eastAsia="zh-CN"/>
                    </w:rPr>
                    <w:t>54750</w:t>
                  </w:r>
                </w:p>
              </w:tc>
              <w:tc>
                <w:tcPr>
                  <w:tcW w:w="489" w:type="pct"/>
                  <w:gridSpan w:val="2"/>
                  <w:tcBorders>
                    <w:top w:val="single" w:color="auto" w:sz="4" w:space="0"/>
                    <w:left w:val="nil"/>
                    <w:bottom w:val="single" w:color="auto" w:sz="12"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eastAsia="宋体" w:cs="Times New Roman"/>
                      <w:color w:val="auto"/>
                      <w:kern w:val="2"/>
                      <w:szCs w:val="21"/>
                      <w:lang w:val="en-US" w:eastAsia="zh-CN"/>
                    </w:rPr>
                  </w:pPr>
                  <w:r>
                    <w:rPr>
                      <w:rFonts w:hint="default" w:ascii="Times New Roman" w:hAnsi="Times New Roman" w:cs="Times New Roman"/>
                      <w:color w:val="auto"/>
                    </w:rPr>
                    <w:t>处理后</w:t>
                  </w:r>
                  <w:r>
                    <w:rPr>
                      <w:rFonts w:hint="default" w:ascii="Times New Roman" w:hAnsi="Times New Roman" w:cs="Times New Roman"/>
                      <w:color w:val="auto"/>
                      <w:lang w:val="en-US" w:eastAsia="zh-CN"/>
                    </w:rPr>
                    <w:t>拉运至同江市洁源污水处理厂</w:t>
                  </w:r>
                </w:p>
              </w:tc>
              <w:tc>
                <w:tcPr>
                  <w:tcW w:w="466" w:type="pct"/>
                  <w:tcBorders>
                    <w:top w:val="single" w:color="auto" w:sz="4" w:space="0"/>
                    <w:left w:val="nil"/>
                    <w:bottom w:val="single" w:color="auto" w:sz="12"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eastAsia" w:cs="Times New Roman"/>
                      <w:color w:val="auto"/>
                      <w:lang w:val="en-US" w:eastAsia="zh-CN"/>
                    </w:rPr>
                    <w:t>54750</w:t>
                  </w:r>
                </w:p>
              </w:tc>
              <w:tc>
                <w:tcPr>
                  <w:tcW w:w="670" w:type="pct"/>
                  <w:tcBorders>
                    <w:top w:val="single" w:color="auto" w:sz="4" w:space="0"/>
                    <w:left w:val="nil"/>
                    <w:bottom w:val="single" w:color="auto" w:sz="12"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COD:</w:t>
                  </w:r>
                  <w:r>
                    <w:rPr>
                      <w:rFonts w:hint="eastAsia" w:cs="Times New Roman"/>
                      <w:color w:val="auto"/>
                      <w:szCs w:val="22"/>
                      <w:lang w:val="en-US" w:eastAsia="zh-CN"/>
                    </w:rPr>
                    <w:t>2.62</w:t>
                  </w:r>
                  <w:r>
                    <w:rPr>
                      <w:rFonts w:hint="default" w:ascii="Times New Roman" w:hAnsi="Times New Roman" w:cs="Times New Roman"/>
                      <w:color w:val="auto"/>
                      <w:szCs w:val="22"/>
                      <w:lang w:val="en-US" w:eastAsia="zh-CN"/>
                    </w:rPr>
                    <w:t>t/a</w:t>
                  </w:r>
                </w:p>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szCs w:val="22"/>
                      <w:lang w:val="en-US" w:eastAsia="zh-CN"/>
                    </w:rPr>
                    <w:t>NH</w:t>
                  </w:r>
                  <w:r>
                    <w:rPr>
                      <w:rFonts w:hint="default" w:ascii="Times New Roman" w:hAnsi="Times New Roman" w:cs="Times New Roman"/>
                      <w:color w:val="auto"/>
                      <w:szCs w:val="22"/>
                      <w:vertAlign w:val="subscript"/>
                      <w:lang w:val="en-US" w:eastAsia="zh-CN"/>
                    </w:rPr>
                    <w:t>3</w:t>
                  </w:r>
                  <w:r>
                    <w:rPr>
                      <w:rFonts w:hint="default" w:ascii="Times New Roman" w:hAnsi="Times New Roman" w:cs="Times New Roman"/>
                      <w:color w:val="auto"/>
                      <w:szCs w:val="22"/>
                      <w:lang w:val="en-US" w:eastAsia="zh-CN"/>
                    </w:rPr>
                    <w:t>-N：</w:t>
                  </w:r>
                  <w:r>
                    <w:rPr>
                      <w:rFonts w:hint="eastAsia" w:cs="Times New Roman"/>
                      <w:color w:val="auto"/>
                      <w:szCs w:val="22"/>
                      <w:lang w:val="en-US" w:eastAsia="zh-CN"/>
                    </w:rPr>
                    <w:t>0.27</w:t>
                  </w:r>
                  <w:r>
                    <w:rPr>
                      <w:rFonts w:hint="default" w:ascii="Times New Roman" w:hAnsi="Times New Roman" w:cs="Times New Roman"/>
                      <w:color w:val="auto"/>
                      <w:szCs w:val="22"/>
                      <w:lang w:val="en-US" w:eastAsia="zh-CN"/>
                    </w:rPr>
                    <w:t>t/a</w:t>
                  </w:r>
                </w:p>
              </w:tc>
              <w:tc>
                <w:tcPr>
                  <w:tcW w:w="372" w:type="pct"/>
                  <w:tcBorders>
                    <w:top w:val="single" w:color="auto" w:sz="4" w:space="0"/>
                    <w:left w:val="nil"/>
                    <w:bottom w:val="single" w:color="auto" w:sz="12"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运营期全时段</w:t>
                  </w:r>
                </w:p>
              </w:tc>
              <w:tc>
                <w:tcPr>
                  <w:tcW w:w="305" w:type="pct"/>
                  <w:tcBorders>
                    <w:top w:val="single" w:color="auto" w:sz="4" w:space="0"/>
                    <w:left w:val="nil"/>
                    <w:bottom w:val="single" w:color="auto" w:sz="12"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rPr>
                    <w:t>/</w:t>
                  </w:r>
                </w:p>
              </w:tc>
              <w:tc>
                <w:tcPr>
                  <w:tcW w:w="1132" w:type="pct"/>
                  <w:tcBorders>
                    <w:top w:val="single" w:color="auto" w:sz="4" w:space="0"/>
                    <w:left w:val="nil"/>
                    <w:bottom w:val="single" w:color="auto" w:sz="12" w:space="0"/>
                    <w:right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firstLine="0"/>
                    <w:jc w:val="center"/>
                    <w:textAlignment w:val="baseline"/>
                    <w:rPr>
                      <w:rFonts w:hint="default" w:ascii="Times New Roman" w:hAnsi="Times New Roman" w:cs="Times New Roman"/>
                      <w:color w:val="auto"/>
                      <w:kern w:val="2"/>
                      <w:szCs w:val="21"/>
                    </w:rPr>
                  </w:pP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生活垃圾填埋场污染控制标准</w:t>
                  </w:r>
                  <w:r>
                    <w:rPr>
                      <w:rFonts w:hint="default" w:ascii="Times New Roman" w:hAnsi="Times New Roman" w:cs="Times New Roman"/>
                      <w:color w:val="auto"/>
                      <w:szCs w:val="22"/>
                    </w:rPr>
                    <w:t>》（GB</w:t>
                  </w:r>
                  <w:r>
                    <w:rPr>
                      <w:rFonts w:hint="default" w:ascii="Times New Roman" w:hAnsi="Times New Roman" w:cs="Times New Roman"/>
                      <w:color w:val="auto"/>
                      <w:szCs w:val="22"/>
                      <w:lang w:val="en-US" w:eastAsia="zh-CN"/>
                    </w:rPr>
                    <w:t>16889-2008</w:t>
                  </w: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中表2规定的水污染物排放浓度限值</w:t>
                  </w:r>
                </w:p>
              </w:tc>
            </w:tr>
          </w:tbl>
          <w:p>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2.1</w:t>
            </w:r>
            <w:r>
              <w:rPr>
                <w:rFonts w:hint="eastAsia" w:cs="Times New Roman"/>
                <w:b/>
                <w:bCs/>
                <w:color w:val="auto"/>
                <w:sz w:val="24"/>
                <w:lang w:val="en-US" w:eastAsia="zh-CN"/>
              </w:rPr>
              <w:t>4</w:t>
            </w:r>
            <w:r>
              <w:rPr>
                <w:rFonts w:hint="default" w:ascii="Times New Roman" w:hAnsi="Times New Roman" w:cs="Times New Roman"/>
                <w:b/>
                <w:bCs/>
                <w:color w:val="auto"/>
                <w:sz w:val="24"/>
              </w:rPr>
              <w:t>建设项目竣工验收</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环境保护“三同时” 验收一览表见表7-1</w:t>
            </w:r>
            <w:r>
              <w:rPr>
                <w:rFonts w:hint="eastAsia" w:cs="Times New Roman"/>
                <w:color w:val="auto"/>
                <w:sz w:val="24"/>
                <w:lang w:val="en-US" w:eastAsia="zh-CN"/>
              </w:rPr>
              <w:t>7</w:t>
            </w:r>
            <w:r>
              <w:rPr>
                <w:rFonts w:hint="default" w:ascii="Times New Roman" w:hAnsi="Times New Roman" w:cs="Times New Roman"/>
                <w:color w:val="auto"/>
                <w:sz w:val="24"/>
              </w:rPr>
              <w:t>。</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表7-1</w:t>
            </w:r>
            <w:r>
              <w:rPr>
                <w:rFonts w:hint="eastAsia" w:cs="Times New Roman"/>
                <w:b/>
                <w:bCs/>
                <w:color w:val="auto"/>
                <w:sz w:val="24"/>
                <w:szCs w:val="24"/>
                <w:lang w:val="en-US" w:eastAsia="zh-CN"/>
              </w:rPr>
              <w:t>7</w:t>
            </w:r>
            <w:r>
              <w:rPr>
                <w:rFonts w:hint="default" w:ascii="Times New Roman" w:hAnsi="Times New Roman" w:cs="Times New Roman"/>
                <w:b/>
                <w:bCs/>
                <w:color w:val="auto"/>
                <w:sz w:val="24"/>
                <w:szCs w:val="24"/>
              </w:rPr>
              <w:t xml:space="preserve"> 项目竣工验收一览表</w:t>
            </w:r>
          </w:p>
          <w:tbl>
            <w:tblPr>
              <w:tblStyle w:val="33"/>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94"/>
              <w:gridCol w:w="494"/>
              <w:gridCol w:w="1403"/>
              <w:gridCol w:w="3642"/>
              <w:gridCol w:w="364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235" w:type="pct"/>
                  <w:gridSpan w:val="3"/>
                  <w:tcBorders>
                    <w:top w:val="single" w:color="000000" w:sz="12" w:space="0"/>
                    <w:left w:val="nil"/>
                    <w:bottom w:val="single" w:color="000000" w:sz="4" w:space="0"/>
                    <w:right w:val="single" w:color="000000" w:sz="4" w:space="0"/>
                  </w:tcBorders>
                  <w:vAlign w:val="center"/>
                </w:tcPr>
                <w:p>
                  <w:pPr>
                    <w:widowControl/>
                    <w:snapToGrid w:val="0"/>
                    <w:spacing w:line="240" w:lineRule="auto"/>
                    <w:jc w:val="center"/>
                    <w:rPr>
                      <w:rFonts w:hint="default" w:ascii="Times New Roman" w:hAnsi="Times New Roman" w:cs="Times New Roman"/>
                      <w:color w:val="auto"/>
                      <w:kern w:val="2"/>
                      <w:szCs w:val="21"/>
                    </w:rPr>
                  </w:pPr>
                  <w:r>
                    <w:rPr>
                      <w:rFonts w:hint="default" w:ascii="Times New Roman" w:hAnsi="Times New Roman" w:cs="Times New Roman"/>
                      <w:color w:val="auto"/>
                      <w:szCs w:val="21"/>
                    </w:rPr>
                    <w:t>污染源</w:t>
                  </w:r>
                </w:p>
              </w:tc>
              <w:tc>
                <w:tcPr>
                  <w:tcW w:w="1882" w:type="pct"/>
                  <w:tcBorders>
                    <w:top w:val="single" w:color="000000" w:sz="12" w:space="0"/>
                    <w:left w:val="single" w:color="000000" w:sz="4" w:space="0"/>
                    <w:bottom w:val="single" w:color="000000" w:sz="4" w:space="0"/>
                    <w:right w:val="single" w:color="000000" w:sz="4" w:space="0"/>
                  </w:tcBorders>
                  <w:vAlign w:val="center"/>
                </w:tcPr>
                <w:p>
                  <w:pPr>
                    <w:widowControl/>
                    <w:spacing w:line="240" w:lineRule="auto"/>
                    <w:jc w:val="center"/>
                    <w:rPr>
                      <w:rFonts w:hint="default" w:ascii="Times New Roman" w:hAnsi="Times New Roman" w:cs="Times New Roman"/>
                      <w:color w:val="auto"/>
                      <w:kern w:val="2"/>
                      <w:szCs w:val="21"/>
                    </w:rPr>
                  </w:pPr>
                  <w:r>
                    <w:rPr>
                      <w:rFonts w:hint="default" w:ascii="Times New Roman" w:hAnsi="Times New Roman" w:cs="Times New Roman"/>
                      <w:color w:val="auto"/>
                      <w:szCs w:val="21"/>
                    </w:rPr>
                    <w:t>治理措施</w:t>
                  </w:r>
                </w:p>
              </w:tc>
              <w:tc>
                <w:tcPr>
                  <w:tcW w:w="1882" w:type="pct"/>
                  <w:tcBorders>
                    <w:top w:val="single" w:color="000000" w:sz="12" w:space="0"/>
                    <w:left w:val="single" w:color="000000" w:sz="4" w:space="0"/>
                    <w:bottom w:val="single" w:color="000000" w:sz="4" w:space="0"/>
                    <w:right w:val="nil"/>
                  </w:tcBorders>
                  <w:vAlign w:val="center"/>
                </w:tcPr>
                <w:p>
                  <w:pPr>
                    <w:widowControl/>
                    <w:spacing w:line="240" w:lineRule="auto"/>
                    <w:jc w:val="center"/>
                    <w:rPr>
                      <w:rFonts w:hint="default" w:ascii="Times New Roman" w:hAnsi="Times New Roman" w:cs="Times New Roman"/>
                      <w:color w:val="auto"/>
                      <w:kern w:val="2"/>
                      <w:szCs w:val="21"/>
                    </w:rPr>
                  </w:pPr>
                  <w:r>
                    <w:rPr>
                      <w:rFonts w:hint="default" w:ascii="Times New Roman" w:hAnsi="Times New Roman" w:cs="Times New Roman"/>
                      <w:color w:val="auto"/>
                      <w:szCs w:val="21"/>
                    </w:rPr>
                    <w:t>验收标准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4" w:hRule="atLeast"/>
                <w:jc w:val="center"/>
              </w:trPr>
              <w:tc>
                <w:tcPr>
                  <w:tcW w:w="255" w:type="pct"/>
                  <w:vMerge w:val="restart"/>
                  <w:tcBorders>
                    <w:top w:val="single" w:color="000000" w:sz="4" w:space="0"/>
                    <w:left w:val="nil"/>
                    <w:bottom w:val="single" w:color="000000" w:sz="4" w:space="0"/>
                    <w:right w:val="single" w:color="000000" w:sz="4" w:space="0"/>
                  </w:tcBorders>
                  <w:vAlign w:val="center"/>
                </w:tcPr>
                <w:p>
                  <w:pPr>
                    <w:widowControl/>
                    <w:spacing w:line="240" w:lineRule="auto"/>
                    <w:jc w:val="center"/>
                    <w:rPr>
                      <w:rFonts w:hint="default" w:ascii="Times New Roman" w:hAnsi="Times New Roman" w:cs="Times New Roman"/>
                      <w:color w:val="auto"/>
                      <w:kern w:val="2"/>
                      <w:szCs w:val="21"/>
                    </w:rPr>
                  </w:pPr>
                  <w:r>
                    <w:rPr>
                      <w:rFonts w:hint="default" w:ascii="Times New Roman" w:hAnsi="Times New Roman" w:cs="Times New Roman"/>
                      <w:color w:val="auto"/>
                      <w:szCs w:val="21"/>
                    </w:rPr>
                    <w:t>污染治理措施及生态保护措施</w:t>
                  </w:r>
                </w:p>
              </w:tc>
              <w:tc>
                <w:tcPr>
                  <w:tcW w:w="255"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rFonts w:hint="default" w:ascii="Times New Roman" w:hAnsi="Times New Roman" w:cs="Times New Roman"/>
                      <w:color w:val="auto"/>
                      <w:kern w:val="2"/>
                      <w:szCs w:val="21"/>
                    </w:rPr>
                  </w:pPr>
                  <w:r>
                    <w:rPr>
                      <w:rFonts w:hint="default" w:ascii="Times New Roman" w:hAnsi="Times New Roman" w:cs="Times New Roman"/>
                      <w:color w:val="auto"/>
                      <w:szCs w:val="21"/>
                    </w:rPr>
                    <w:t>废气</w:t>
                  </w:r>
                </w:p>
              </w:tc>
              <w:tc>
                <w:tcPr>
                  <w:tcW w:w="725"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eastAsia="宋体" w:cs="Times New Roman"/>
                      <w:color w:val="auto"/>
                      <w:kern w:val="2"/>
                      <w:sz w:val="24"/>
                      <w:szCs w:val="24"/>
                      <w:highlight w:val="yellow"/>
                      <w:lang w:val="en-US" w:eastAsia="zh-CN"/>
                    </w:rPr>
                  </w:pPr>
                  <w:r>
                    <w:rPr>
                      <w:rFonts w:hint="default" w:ascii="Times New Roman" w:hAnsi="Times New Roman" w:cs="Times New Roman"/>
                      <w:color w:val="auto"/>
                      <w:szCs w:val="21"/>
                      <w:lang w:val="en-US" w:eastAsia="zh-CN"/>
                    </w:rPr>
                    <w:t>垃圾渗滤液处理车间</w:t>
                  </w:r>
                </w:p>
              </w:tc>
              <w:tc>
                <w:tcPr>
                  <w:tcW w:w="1882" w:type="pct"/>
                  <w:tcBorders>
                    <w:top w:val="single" w:color="000000" w:sz="4" w:space="0"/>
                    <w:left w:val="single" w:color="000000" w:sz="4" w:space="0"/>
                    <w:bottom w:val="single" w:color="000000" w:sz="4" w:space="0"/>
                    <w:right w:val="single" w:color="000000" w:sz="4" w:space="0"/>
                  </w:tcBorders>
                  <w:vAlign w:val="center"/>
                </w:tcPr>
                <w:p>
                  <w:pPr>
                    <w:pStyle w:val="41"/>
                    <w:rPr>
                      <w:rFonts w:hint="default" w:ascii="Times New Roman" w:hAnsi="Times New Roman" w:cs="Times New Roman"/>
                      <w:color w:val="auto"/>
                      <w:highlight w:val="yellow"/>
                    </w:rPr>
                  </w:pPr>
                  <w:r>
                    <w:rPr>
                      <w:rFonts w:hint="default" w:ascii="Times New Roman" w:hAnsi="Times New Roman" w:eastAsia="宋体" w:cs="Times New Roman"/>
                      <w:color w:val="auto"/>
                      <w:sz w:val="21"/>
                      <w:szCs w:val="21"/>
                      <w:lang w:val="en-US" w:eastAsia="zh-CN" w:bidi="ar-SA"/>
                    </w:rPr>
                    <w:t>渗漏液处理车间密闭，各产生臭气点经臭气收集系统收集，车间密闭性较好，收集效率能够达到80%，收集后经高能离子除臭装置（去除效率≥90%）处理后通过15m排气筒高空排放，未被收集的气体无组织排放。场区绿化。</w:t>
                  </w:r>
                </w:p>
              </w:tc>
              <w:tc>
                <w:tcPr>
                  <w:tcW w:w="1882" w:type="pct"/>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cs="Times New Roman"/>
                      <w:color w:val="auto"/>
                      <w:kern w:val="2"/>
                      <w:szCs w:val="21"/>
                    </w:rPr>
                  </w:pPr>
                  <w:r>
                    <w:rPr>
                      <w:rFonts w:hint="default" w:ascii="Times New Roman" w:hAnsi="Times New Roman" w:eastAsia="宋体" w:cs="Times New Roman"/>
                      <w:color w:val="auto"/>
                      <w:sz w:val="21"/>
                      <w:szCs w:val="21"/>
                      <w:lang w:val="en-US" w:eastAsia="zh-CN" w:bidi="ar-SA"/>
                    </w:rPr>
                    <w:t>《恶臭污染物排放标准》（GB14554-93）中排气筒高度15m规定的标准限值及无组织排放限值。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4" w:hRule="atLeast"/>
                <w:jc w:val="center"/>
              </w:trPr>
              <w:tc>
                <w:tcPr>
                  <w:tcW w:w="255" w:type="pct"/>
                  <w:vMerge w:val="continue"/>
                  <w:tcBorders>
                    <w:left w:val="nil"/>
                    <w:right w:val="single" w:color="000000" w:sz="4" w:space="0"/>
                  </w:tcBorders>
                  <w:vAlign w:val="center"/>
                </w:tcPr>
                <w:p>
                  <w:pPr>
                    <w:widowControl/>
                    <w:spacing w:line="240" w:lineRule="auto"/>
                    <w:jc w:val="center"/>
                    <w:rPr>
                      <w:rFonts w:hint="default" w:ascii="Times New Roman" w:hAnsi="Times New Roman" w:cs="Times New Roman"/>
                      <w:color w:val="auto"/>
                      <w:szCs w:val="21"/>
                    </w:rPr>
                  </w:pPr>
                </w:p>
              </w:tc>
              <w:tc>
                <w:tcPr>
                  <w:tcW w:w="255"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废水</w:t>
                  </w:r>
                </w:p>
              </w:tc>
              <w:tc>
                <w:tcPr>
                  <w:tcW w:w="725"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垃圾渗滤液处理车间</w:t>
                  </w:r>
                </w:p>
              </w:tc>
              <w:tc>
                <w:tcPr>
                  <w:tcW w:w="1882" w:type="pct"/>
                  <w:tcBorders>
                    <w:top w:val="single" w:color="000000" w:sz="4" w:space="0"/>
                    <w:left w:val="single" w:color="000000" w:sz="4" w:space="0"/>
                    <w:bottom w:val="single" w:color="000000" w:sz="4" w:space="0"/>
                    <w:right w:val="single" w:color="000000" w:sz="4" w:space="0"/>
                  </w:tcBorders>
                  <w:vAlign w:val="center"/>
                </w:tcPr>
                <w:p>
                  <w:pPr>
                    <w:pStyle w:val="41"/>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渗滤液→调节池→气浮设备→原水灌→两级DTRO系统→达标排放</w:t>
                  </w:r>
                </w:p>
              </w:tc>
              <w:tc>
                <w:tcPr>
                  <w:tcW w:w="1882" w:type="pct"/>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生活垃圾填埋场污染控制标准</w:t>
                  </w:r>
                  <w:r>
                    <w:rPr>
                      <w:rFonts w:hint="default" w:ascii="Times New Roman" w:hAnsi="Times New Roman" w:cs="Times New Roman"/>
                      <w:color w:val="auto"/>
                      <w:szCs w:val="22"/>
                    </w:rPr>
                    <w:t>》（GB</w:t>
                  </w:r>
                  <w:r>
                    <w:rPr>
                      <w:rFonts w:hint="default" w:ascii="Times New Roman" w:hAnsi="Times New Roman" w:cs="Times New Roman"/>
                      <w:color w:val="auto"/>
                      <w:szCs w:val="22"/>
                      <w:lang w:val="en-US" w:eastAsia="zh-CN"/>
                    </w:rPr>
                    <w:t>16889-2008</w:t>
                  </w: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中表2规定的水污染物排放浓度限值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55" w:type="pct"/>
                  <w:vMerge w:val="continue"/>
                  <w:tcBorders>
                    <w:top w:val="single" w:color="000000" w:sz="4" w:space="0"/>
                    <w:left w:val="nil"/>
                    <w:bottom w:val="single" w:color="000000" w:sz="4" w:space="0"/>
                    <w:right w:val="single" w:color="000000" w:sz="4" w:space="0"/>
                  </w:tcBorders>
                  <w:vAlign w:val="center"/>
                </w:tcPr>
                <w:p>
                  <w:pPr>
                    <w:widowControl/>
                    <w:spacing w:line="240" w:lineRule="auto"/>
                    <w:jc w:val="left"/>
                    <w:rPr>
                      <w:rFonts w:hint="default" w:ascii="Times New Roman" w:hAnsi="Times New Roman" w:cs="Times New Roman"/>
                      <w:color w:val="auto"/>
                      <w:kern w:val="2"/>
                      <w:szCs w:val="21"/>
                    </w:rPr>
                  </w:pPr>
                </w:p>
              </w:tc>
              <w:tc>
                <w:tcPr>
                  <w:tcW w:w="255"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rFonts w:hint="default" w:ascii="Times New Roman" w:hAnsi="Times New Roman" w:cs="Times New Roman"/>
                      <w:color w:val="auto"/>
                      <w:kern w:val="2"/>
                      <w:szCs w:val="21"/>
                    </w:rPr>
                  </w:pPr>
                  <w:r>
                    <w:rPr>
                      <w:rFonts w:hint="default" w:ascii="Times New Roman" w:hAnsi="Times New Roman" w:cs="Times New Roman"/>
                      <w:color w:val="auto"/>
                      <w:szCs w:val="21"/>
                    </w:rPr>
                    <w:t>地下水</w:t>
                  </w:r>
                </w:p>
              </w:tc>
              <w:tc>
                <w:tcPr>
                  <w:tcW w:w="725"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rFonts w:hint="default" w:ascii="Times New Roman" w:hAnsi="Times New Roman" w:eastAsia="宋体" w:cs="Times New Roman"/>
                      <w:color w:val="auto"/>
                      <w:kern w:val="2"/>
                      <w:szCs w:val="21"/>
                      <w:lang w:val="en-US" w:eastAsia="zh-CN"/>
                    </w:rPr>
                  </w:pPr>
                  <w:r>
                    <w:rPr>
                      <w:rFonts w:hint="default" w:ascii="Times New Roman" w:hAnsi="Times New Roman" w:cs="Times New Roman"/>
                      <w:color w:val="auto"/>
                      <w:szCs w:val="21"/>
                      <w:lang w:val="en-US" w:eastAsia="zh-CN"/>
                    </w:rPr>
                    <w:t>垃圾渗滤液处理车间</w:t>
                  </w:r>
                </w:p>
              </w:tc>
              <w:tc>
                <w:tcPr>
                  <w:tcW w:w="1882" w:type="pct"/>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left"/>
                    <w:rPr>
                      <w:rFonts w:hint="default" w:ascii="Times New Roman" w:hAnsi="Times New Roman" w:cs="Times New Roman"/>
                      <w:color w:val="auto"/>
                      <w:kern w:val="2"/>
                      <w:szCs w:val="21"/>
                    </w:rPr>
                  </w:pPr>
                  <w:r>
                    <w:rPr>
                      <w:rFonts w:hint="default" w:ascii="Times New Roman" w:hAnsi="Times New Roman" w:cs="Times New Roman"/>
                      <w:color w:val="auto"/>
                      <w:szCs w:val="21"/>
                    </w:rPr>
                    <w:t>采</w:t>
                  </w:r>
                  <w:r>
                    <w:rPr>
                      <w:rFonts w:hint="default" w:ascii="Times New Roman" w:hAnsi="Times New Roman" w:cs="Times New Roman"/>
                      <w:color w:val="auto"/>
                      <w:kern w:val="2"/>
                      <w:szCs w:val="21"/>
                    </w:rPr>
                    <w:t>用抗渗等级不低于 1 级的抗渗混凝土，防渗技术要求达到等效粘土防渗层 Mb≥1.5m，K≤1×10-7cm/s</w:t>
                  </w:r>
                </w:p>
              </w:tc>
              <w:tc>
                <w:tcPr>
                  <w:tcW w:w="1882" w:type="pct"/>
                  <w:tcBorders>
                    <w:top w:val="single" w:color="000000" w:sz="4" w:space="0"/>
                    <w:left w:val="single" w:color="000000" w:sz="4" w:space="0"/>
                    <w:bottom w:val="single" w:color="000000" w:sz="4" w:space="0"/>
                    <w:right w:val="nil"/>
                  </w:tcBorders>
                  <w:vAlign w:val="center"/>
                </w:tcPr>
                <w:p>
                  <w:pPr>
                    <w:autoSpaceDE w:val="0"/>
                    <w:autoSpaceDN w:val="0"/>
                    <w:spacing w:line="240" w:lineRule="auto"/>
                    <w:jc w:val="left"/>
                    <w:rPr>
                      <w:rFonts w:hint="default" w:ascii="Times New Roman" w:hAnsi="Times New Roman" w:cs="Times New Roman"/>
                      <w:color w:val="auto"/>
                      <w:kern w:val="2"/>
                      <w:szCs w:val="21"/>
                    </w:rPr>
                  </w:pPr>
                  <w:r>
                    <w:rPr>
                      <w:rFonts w:hint="default" w:ascii="Times New Roman" w:hAnsi="Times New Roman" w:cs="Times New Roman"/>
                      <w:color w:val="auto"/>
                      <w:szCs w:val="21"/>
                    </w:rPr>
                    <w:t>满足《一般工业固体废物贮存、处置场污染控制标准》(GB 18599)及环境影响评价技术导则地下水环境（HJ 601-2016）相关要求；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2" w:hRule="atLeast"/>
                <w:jc w:val="center"/>
              </w:trPr>
              <w:tc>
                <w:tcPr>
                  <w:tcW w:w="255" w:type="pct"/>
                  <w:vMerge w:val="continue"/>
                  <w:tcBorders>
                    <w:top w:val="single" w:color="000000" w:sz="4" w:space="0"/>
                    <w:left w:val="nil"/>
                    <w:bottom w:val="single" w:color="000000" w:sz="4" w:space="0"/>
                    <w:right w:val="single" w:color="000000" w:sz="4" w:space="0"/>
                  </w:tcBorders>
                  <w:vAlign w:val="center"/>
                </w:tcPr>
                <w:p>
                  <w:pPr>
                    <w:widowControl/>
                    <w:spacing w:line="240" w:lineRule="auto"/>
                    <w:jc w:val="left"/>
                    <w:rPr>
                      <w:rFonts w:hint="default" w:ascii="Times New Roman" w:hAnsi="Times New Roman" w:cs="Times New Roman"/>
                      <w:color w:val="auto"/>
                      <w:kern w:val="2"/>
                      <w:szCs w:val="21"/>
                    </w:rPr>
                  </w:pPr>
                </w:p>
              </w:tc>
              <w:tc>
                <w:tcPr>
                  <w:tcW w:w="255" w:type="pct"/>
                  <w:vMerge w:val="restart"/>
                  <w:tcBorders>
                    <w:top w:val="single" w:color="000000" w:sz="4" w:space="0"/>
                    <w:left w:val="single" w:color="000000" w:sz="4" w:space="0"/>
                    <w:right w:val="single" w:color="000000" w:sz="4" w:space="0"/>
                  </w:tcBorders>
                  <w:vAlign w:val="center"/>
                </w:tcPr>
                <w:p>
                  <w:pPr>
                    <w:widowControl/>
                    <w:spacing w:line="240" w:lineRule="auto"/>
                    <w:jc w:val="center"/>
                    <w:rPr>
                      <w:rFonts w:hint="default" w:ascii="Times New Roman" w:hAnsi="Times New Roman" w:cs="Times New Roman"/>
                      <w:color w:val="auto"/>
                      <w:kern w:val="2"/>
                      <w:szCs w:val="21"/>
                    </w:rPr>
                  </w:pPr>
                  <w:r>
                    <w:rPr>
                      <w:rFonts w:hint="default" w:ascii="Times New Roman" w:hAnsi="Times New Roman" w:cs="Times New Roman"/>
                      <w:color w:val="auto"/>
                      <w:szCs w:val="21"/>
                    </w:rPr>
                    <w:t>固体废物</w:t>
                  </w:r>
                </w:p>
              </w:tc>
              <w:tc>
                <w:tcPr>
                  <w:tcW w:w="725"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color w:val="auto"/>
                      <w:kern w:val="2"/>
                      <w:szCs w:val="21"/>
                    </w:rPr>
                  </w:pPr>
                  <w:r>
                    <w:rPr>
                      <w:rFonts w:hint="default" w:ascii="Times New Roman" w:hAnsi="Times New Roman" w:cs="Times New Roman"/>
                      <w:color w:val="auto"/>
                      <w:szCs w:val="21"/>
                    </w:rPr>
                    <w:t>生活垃圾</w:t>
                  </w:r>
                </w:p>
              </w:tc>
              <w:tc>
                <w:tcPr>
                  <w:tcW w:w="1882" w:type="pct"/>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textAlignment w:val="center"/>
                    <w:rPr>
                      <w:rFonts w:hint="default" w:ascii="Times New Roman" w:hAnsi="Times New Roman" w:eastAsia="宋体" w:cs="Times New Roman"/>
                      <w:color w:val="auto"/>
                      <w:kern w:val="2"/>
                      <w:szCs w:val="21"/>
                      <w:lang w:val="en-US" w:eastAsia="zh-CN"/>
                    </w:rPr>
                  </w:pPr>
                  <w:r>
                    <w:rPr>
                      <w:rFonts w:hint="default" w:ascii="Times New Roman" w:hAnsi="Times New Roman" w:cs="Times New Roman"/>
                      <w:color w:val="auto"/>
                      <w:szCs w:val="21"/>
                      <w:lang w:val="en-US" w:eastAsia="zh-CN"/>
                    </w:rPr>
                    <w:t>卫生填埋</w:t>
                  </w:r>
                </w:p>
              </w:tc>
              <w:tc>
                <w:tcPr>
                  <w:tcW w:w="1882" w:type="pct"/>
                  <w:tcBorders>
                    <w:top w:val="single" w:color="000000" w:sz="4" w:space="0"/>
                    <w:left w:val="single" w:color="000000" w:sz="4" w:space="0"/>
                    <w:bottom w:val="single" w:color="000000" w:sz="4" w:space="0"/>
                    <w:right w:val="nil"/>
                  </w:tcBorders>
                  <w:vAlign w:val="center"/>
                </w:tcPr>
                <w:p>
                  <w:pPr>
                    <w:snapToGrid w:val="0"/>
                    <w:spacing w:line="240" w:lineRule="auto"/>
                    <w:jc w:val="center"/>
                    <w:textAlignment w:val="center"/>
                    <w:rPr>
                      <w:rFonts w:hint="default" w:ascii="Times New Roman" w:hAnsi="Times New Roman" w:cs="Times New Roman"/>
                      <w:color w:val="auto"/>
                      <w:kern w:val="2"/>
                      <w:szCs w:val="21"/>
                    </w:rPr>
                  </w:pPr>
                  <w:r>
                    <w:rPr>
                      <w:rFonts w:hint="default" w:ascii="Times New Roman" w:hAnsi="Times New Roman" w:cs="Times New Roman"/>
                      <w:color w:val="auto"/>
                      <w:szCs w:val="21"/>
                    </w:rPr>
                    <w:t>《一般工业固体废物贮存、处置场污染控制标准》(GB18599-2001)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55" w:type="pct"/>
                  <w:vMerge w:val="continue"/>
                  <w:tcBorders>
                    <w:top w:val="single" w:color="000000" w:sz="4" w:space="0"/>
                    <w:left w:val="nil"/>
                    <w:bottom w:val="single" w:color="000000" w:sz="4" w:space="0"/>
                    <w:right w:val="single" w:color="000000" w:sz="4" w:space="0"/>
                  </w:tcBorders>
                  <w:vAlign w:val="center"/>
                </w:tcPr>
                <w:p>
                  <w:pPr>
                    <w:widowControl/>
                    <w:spacing w:line="240" w:lineRule="auto"/>
                    <w:jc w:val="left"/>
                    <w:rPr>
                      <w:rFonts w:hint="default" w:ascii="Times New Roman" w:hAnsi="Times New Roman" w:cs="Times New Roman"/>
                      <w:color w:val="auto"/>
                      <w:kern w:val="2"/>
                      <w:szCs w:val="21"/>
                    </w:rPr>
                  </w:pPr>
                </w:p>
              </w:tc>
              <w:tc>
                <w:tcPr>
                  <w:tcW w:w="255" w:type="pct"/>
                  <w:vMerge w:val="continue"/>
                  <w:tcBorders>
                    <w:left w:val="single" w:color="000000" w:sz="4" w:space="0"/>
                    <w:right w:val="single" w:color="000000" w:sz="4" w:space="0"/>
                  </w:tcBorders>
                  <w:vAlign w:val="center"/>
                </w:tcPr>
                <w:p>
                  <w:pPr>
                    <w:widowControl/>
                    <w:spacing w:line="240" w:lineRule="auto"/>
                    <w:jc w:val="center"/>
                    <w:rPr>
                      <w:rFonts w:hint="default" w:ascii="Times New Roman" w:hAnsi="Times New Roman" w:cs="Times New Roman"/>
                      <w:color w:val="auto"/>
                      <w:szCs w:val="21"/>
                    </w:rPr>
                  </w:pPr>
                </w:p>
              </w:tc>
              <w:tc>
                <w:tcPr>
                  <w:tcW w:w="725"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污泥</w:t>
                  </w:r>
                </w:p>
              </w:tc>
              <w:tc>
                <w:tcPr>
                  <w:tcW w:w="1882" w:type="pct"/>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textAlignment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卫生填埋</w:t>
                  </w:r>
                </w:p>
              </w:tc>
              <w:tc>
                <w:tcPr>
                  <w:tcW w:w="1882" w:type="pct"/>
                  <w:tcBorders>
                    <w:top w:val="single" w:color="000000" w:sz="4" w:space="0"/>
                    <w:left w:val="single" w:color="000000" w:sz="4" w:space="0"/>
                    <w:bottom w:val="single" w:color="000000" w:sz="4" w:space="0"/>
                    <w:right w:val="nil"/>
                  </w:tcBorders>
                  <w:vAlign w:val="center"/>
                </w:tcPr>
                <w:p>
                  <w:pPr>
                    <w:snapToGrid w:val="0"/>
                    <w:spacing w:line="240" w:lineRule="auto"/>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《一般工业固体废物贮存、处置场污染控制标准》(GB18599-2001)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17" w:hRule="atLeast"/>
                <w:jc w:val="center"/>
              </w:trPr>
              <w:tc>
                <w:tcPr>
                  <w:tcW w:w="255" w:type="pct"/>
                  <w:vMerge w:val="continue"/>
                  <w:tcBorders>
                    <w:top w:val="single" w:color="000000" w:sz="4" w:space="0"/>
                    <w:left w:val="nil"/>
                    <w:bottom w:val="single" w:color="000000" w:sz="4" w:space="0"/>
                    <w:right w:val="single" w:color="000000" w:sz="4" w:space="0"/>
                  </w:tcBorders>
                  <w:vAlign w:val="center"/>
                </w:tcPr>
                <w:p>
                  <w:pPr>
                    <w:widowControl/>
                    <w:spacing w:line="240" w:lineRule="auto"/>
                    <w:jc w:val="left"/>
                    <w:rPr>
                      <w:rFonts w:hint="default" w:ascii="Times New Roman" w:hAnsi="Times New Roman" w:cs="Times New Roman"/>
                      <w:color w:val="auto"/>
                      <w:kern w:val="2"/>
                      <w:szCs w:val="21"/>
                    </w:rPr>
                  </w:pPr>
                </w:p>
              </w:tc>
              <w:tc>
                <w:tcPr>
                  <w:tcW w:w="255" w:type="pct"/>
                  <w:vMerge w:val="continue"/>
                  <w:tcBorders>
                    <w:left w:val="single" w:color="000000" w:sz="4" w:space="0"/>
                    <w:right w:val="single" w:color="000000" w:sz="4" w:space="0"/>
                  </w:tcBorders>
                  <w:vAlign w:val="center"/>
                </w:tcPr>
                <w:p>
                  <w:pPr>
                    <w:widowControl/>
                    <w:spacing w:line="240" w:lineRule="auto"/>
                    <w:jc w:val="center"/>
                    <w:rPr>
                      <w:rFonts w:hint="default" w:ascii="Times New Roman" w:hAnsi="Times New Roman" w:cs="Times New Roman"/>
                      <w:color w:val="auto"/>
                      <w:szCs w:val="21"/>
                    </w:rPr>
                  </w:pPr>
                </w:p>
              </w:tc>
              <w:tc>
                <w:tcPr>
                  <w:tcW w:w="725"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废机油</w:t>
                  </w:r>
                  <w:r>
                    <w:rPr>
                      <w:rFonts w:hint="eastAsia" w:ascii="Times New Roman" w:hAnsi="Times New Roman" w:cs="Times New Roman"/>
                      <w:color w:val="auto"/>
                      <w:szCs w:val="21"/>
                      <w:lang w:val="en-US" w:eastAsia="zh-CN"/>
                    </w:rPr>
                    <w:t>、废离子交换树脂</w:t>
                  </w:r>
                </w:p>
              </w:tc>
              <w:tc>
                <w:tcPr>
                  <w:tcW w:w="1882" w:type="pct"/>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textAlignment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交有资质单位处置</w:t>
                  </w:r>
                </w:p>
              </w:tc>
              <w:tc>
                <w:tcPr>
                  <w:tcW w:w="1882" w:type="pct"/>
                  <w:tcBorders>
                    <w:top w:val="single" w:color="000000" w:sz="4" w:space="0"/>
                    <w:left w:val="single" w:color="000000" w:sz="4" w:space="0"/>
                    <w:bottom w:val="single" w:color="000000" w:sz="4" w:space="0"/>
                    <w:right w:val="nil"/>
                  </w:tcBorders>
                  <w:vAlign w:val="center"/>
                </w:tcPr>
                <w:p>
                  <w:pPr>
                    <w:snapToGrid w:val="0"/>
                    <w:spacing w:line="240" w:lineRule="auto"/>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《危险废物贮存污染控制标准》（GB18597-2001）及2013年修改单。</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255" w:type="pct"/>
                  <w:vMerge w:val="continue"/>
                  <w:tcBorders>
                    <w:top w:val="single" w:color="000000" w:sz="4" w:space="0"/>
                    <w:left w:val="nil"/>
                    <w:bottom w:val="single" w:color="000000" w:sz="4" w:space="0"/>
                    <w:right w:val="single" w:color="000000" w:sz="4" w:space="0"/>
                  </w:tcBorders>
                  <w:vAlign w:val="center"/>
                </w:tcPr>
                <w:p>
                  <w:pPr>
                    <w:widowControl/>
                    <w:spacing w:line="240" w:lineRule="auto"/>
                    <w:jc w:val="left"/>
                    <w:rPr>
                      <w:rFonts w:hint="default" w:ascii="Times New Roman" w:hAnsi="Times New Roman" w:cs="Times New Roman"/>
                      <w:color w:val="auto"/>
                      <w:kern w:val="2"/>
                      <w:szCs w:val="21"/>
                    </w:rPr>
                  </w:pPr>
                </w:p>
              </w:tc>
              <w:tc>
                <w:tcPr>
                  <w:tcW w:w="255" w:type="pct"/>
                  <w:vMerge w:val="continue"/>
                  <w:tcBorders>
                    <w:left w:val="single" w:color="000000" w:sz="4" w:space="0"/>
                    <w:bottom w:val="single" w:color="000000" w:sz="4" w:space="0"/>
                    <w:right w:val="single" w:color="000000" w:sz="4" w:space="0"/>
                  </w:tcBorders>
                  <w:vAlign w:val="center"/>
                </w:tcPr>
                <w:p>
                  <w:pPr>
                    <w:widowControl/>
                    <w:spacing w:line="240" w:lineRule="auto"/>
                    <w:jc w:val="center"/>
                    <w:rPr>
                      <w:rFonts w:hint="default" w:ascii="Times New Roman" w:hAnsi="Times New Roman" w:cs="Times New Roman"/>
                      <w:color w:val="auto"/>
                      <w:szCs w:val="21"/>
                    </w:rPr>
                  </w:pPr>
                </w:p>
              </w:tc>
              <w:tc>
                <w:tcPr>
                  <w:tcW w:w="725"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废膜</w:t>
                  </w:r>
                </w:p>
              </w:tc>
              <w:tc>
                <w:tcPr>
                  <w:tcW w:w="1882" w:type="pct"/>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textAlignment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不在厂区贮存，交由厂家回收处置。</w:t>
                  </w:r>
                </w:p>
              </w:tc>
              <w:tc>
                <w:tcPr>
                  <w:tcW w:w="1882" w:type="pct"/>
                  <w:tcBorders>
                    <w:top w:val="single" w:color="000000" w:sz="4" w:space="0"/>
                    <w:left w:val="single" w:color="000000" w:sz="4" w:space="0"/>
                    <w:bottom w:val="single" w:color="000000" w:sz="4" w:space="0"/>
                    <w:right w:val="nil"/>
                  </w:tcBorders>
                  <w:vAlign w:val="center"/>
                </w:tcPr>
                <w:p>
                  <w:pPr>
                    <w:snapToGrid w:val="0"/>
                    <w:spacing w:line="240" w:lineRule="auto"/>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55" w:type="pct"/>
                  <w:vMerge w:val="continue"/>
                  <w:tcBorders>
                    <w:top w:val="single" w:color="000000" w:sz="4" w:space="0"/>
                    <w:left w:val="nil"/>
                    <w:bottom w:val="single" w:color="000000" w:sz="4" w:space="0"/>
                    <w:right w:val="single" w:color="000000" w:sz="4" w:space="0"/>
                  </w:tcBorders>
                  <w:vAlign w:val="center"/>
                </w:tcPr>
                <w:p>
                  <w:pPr>
                    <w:widowControl/>
                    <w:spacing w:line="240" w:lineRule="auto"/>
                    <w:jc w:val="left"/>
                    <w:rPr>
                      <w:rFonts w:hint="default" w:ascii="Times New Roman" w:hAnsi="Times New Roman" w:cs="Times New Roman"/>
                      <w:color w:val="auto"/>
                      <w:kern w:val="2"/>
                      <w:szCs w:val="21"/>
                    </w:rPr>
                  </w:pPr>
                </w:p>
              </w:tc>
              <w:tc>
                <w:tcPr>
                  <w:tcW w:w="255"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rFonts w:hint="default" w:ascii="Times New Roman" w:hAnsi="Times New Roman" w:cs="Times New Roman"/>
                      <w:color w:val="auto"/>
                      <w:kern w:val="2"/>
                      <w:szCs w:val="21"/>
                    </w:rPr>
                  </w:pPr>
                  <w:r>
                    <w:rPr>
                      <w:rFonts w:hint="default" w:ascii="Times New Roman" w:hAnsi="Times New Roman" w:cs="Times New Roman"/>
                      <w:color w:val="auto"/>
                      <w:szCs w:val="21"/>
                    </w:rPr>
                    <w:t>噪声</w:t>
                  </w:r>
                </w:p>
              </w:tc>
              <w:tc>
                <w:tcPr>
                  <w:tcW w:w="725"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rFonts w:hint="default" w:ascii="Times New Roman" w:hAnsi="Times New Roman" w:cs="Times New Roman"/>
                      <w:color w:val="auto"/>
                      <w:kern w:val="2"/>
                      <w:szCs w:val="21"/>
                    </w:rPr>
                  </w:pPr>
                  <w:r>
                    <w:rPr>
                      <w:rFonts w:hint="default" w:ascii="Times New Roman" w:hAnsi="Times New Roman" w:cs="Times New Roman"/>
                      <w:color w:val="auto"/>
                      <w:szCs w:val="21"/>
                    </w:rPr>
                    <w:t>设备噪声</w:t>
                  </w:r>
                </w:p>
              </w:tc>
              <w:tc>
                <w:tcPr>
                  <w:tcW w:w="188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rFonts w:hint="default" w:ascii="Times New Roman" w:hAnsi="Times New Roman" w:cs="Times New Roman"/>
                      <w:color w:val="auto"/>
                      <w:kern w:val="2"/>
                      <w:szCs w:val="21"/>
                    </w:rPr>
                  </w:pPr>
                  <w:r>
                    <w:rPr>
                      <w:rFonts w:hint="default" w:ascii="Times New Roman" w:hAnsi="Times New Roman" w:cs="Times New Roman"/>
                      <w:color w:val="auto"/>
                      <w:szCs w:val="21"/>
                    </w:rPr>
                    <w:t>基础减振、消音、厂房密闭</w:t>
                  </w:r>
                </w:p>
                <w:p>
                  <w:pPr>
                    <w:widowControl/>
                    <w:spacing w:line="240" w:lineRule="auto"/>
                    <w:jc w:val="center"/>
                    <w:rPr>
                      <w:rFonts w:hint="default" w:ascii="Times New Roman" w:hAnsi="Times New Roman" w:cs="Times New Roman"/>
                      <w:color w:val="auto"/>
                      <w:kern w:val="2"/>
                      <w:szCs w:val="21"/>
                    </w:rPr>
                  </w:pPr>
                  <w:r>
                    <w:rPr>
                      <w:rFonts w:hint="default" w:ascii="Times New Roman" w:hAnsi="Times New Roman" w:cs="Times New Roman"/>
                      <w:color w:val="auto"/>
                      <w:szCs w:val="21"/>
                    </w:rPr>
                    <w:t>等措施，厂界噪声达标排放</w:t>
                  </w:r>
                </w:p>
              </w:tc>
              <w:tc>
                <w:tcPr>
                  <w:tcW w:w="1882" w:type="pct"/>
                  <w:tcBorders>
                    <w:top w:val="single" w:color="000000" w:sz="4" w:space="0"/>
                    <w:left w:val="single" w:color="000000" w:sz="4" w:space="0"/>
                    <w:bottom w:val="single" w:color="000000" w:sz="4" w:space="0"/>
                    <w:right w:val="nil"/>
                  </w:tcBorders>
                  <w:vAlign w:val="center"/>
                </w:tcPr>
                <w:p>
                  <w:pPr>
                    <w:widowControl/>
                    <w:spacing w:line="240" w:lineRule="auto"/>
                    <w:jc w:val="center"/>
                    <w:rPr>
                      <w:rFonts w:hint="default" w:ascii="Times New Roman" w:hAnsi="Times New Roman" w:cs="Times New Roman"/>
                      <w:color w:val="auto"/>
                      <w:kern w:val="2"/>
                      <w:szCs w:val="21"/>
                    </w:rPr>
                  </w:pPr>
                  <w:r>
                    <w:rPr>
                      <w:rFonts w:hint="default" w:ascii="Times New Roman" w:hAnsi="Times New Roman" w:cs="Times New Roman"/>
                      <w:color w:val="auto"/>
                      <w:szCs w:val="21"/>
                    </w:rPr>
                    <w:t>《工业企业厂界环境噪声排放标准》(GB12348-2008)中2类限值；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55" w:type="pct"/>
                  <w:tcBorders>
                    <w:top w:val="single" w:color="000000" w:sz="4" w:space="0"/>
                    <w:left w:val="nil"/>
                    <w:bottom w:val="single" w:color="000000" w:sz="12" w:space="0"/>
                    <w:right w:val="single" w:color="000000" w:sz="4" w:space="0"/>
                  </w:tcBorders>
                  <w:vAlign w:val="center"/>
                </w:tcPr>
                <w:p>
                  <w:pPr>
                    <w:widowControl/>
                    <w:spacing w:line="240" w:lineRule="auto"/>
                    <w:jc w:val="center"/>
                    <w:rPr>
                      <w:rFonts w:hint="default" w:ascii="Times New Roman" w:hAnsi="Times New Roman" w:cs="Times New Roman"/>
                      <w:color w:val="auto"/>
                      <w:kern w:val="2"/>
                      <w:szCs w:val="21"/>
                    </w:rPr>
                  </w:pPr>
                </w:p>
              </w:tc>
              <w:tc>
                <w:tcPr>
                  <w:tcW w:w="980" w:type="pct"/>
                  <w:gridSpan w:val="2"/>
                  <w:tcBorders>
                    <w:top w:val="single" w:color="000000" w:sz="4" w:space="0"/>
                    <w:left w:val="single" w:color="000000" w:sz="4" w:space="0"/>
                    <w:bottom w:val="single" w:color="000000" w:sz="12" w:space="0"/>
                    <w:right w:val="single" w:color="000000" w:sz="4" w:space="0"/>
                  </w:tcBorders>
                  <w:vAlign w:val="center"/>
                </w:tcPr>
                <w:p>
                  <w:pPr>
                    <w:widowControl/>
                    <w:spacing w:line="240" w:lineRule="auto"/>
                    <w:jc w:val="center"/>
                    <w:rPr>
                      <w:rFonts w:hint="default" w:ascii="Times New Roman" w:hAnsi="Times New Roman" w:cs="Times New Roman"/>
                      <w:color w:val="auto"/>
                      <w:kern w:val="2"/>
                      <w:szCs w:val="21"/>
                    </w:rPr>
                  </w:pPr>
                  <w:r>
                    <w:rPr>
                      <w:rFonts w:hint="default" w:ascii="Times New Roman" w:hAnsi="Times New Roman" w:cs="Times New Roman"/>
                      <w:color w:val="auto"/>
                      <w:szCs w:val="21"/>
                    </w:rPr>
                    <w:t>风险</w:t>
                  </w:r>
                </w:p>
              </w:tc>
              <w:tc>
                <w:tcPr>
                  <w:tcW w:w="1882" w:type="pct"/>
                  <w:tcBorders>
                    <w:top w:val="single" w:color="000000" w:sz="4" w:space="0"/>
                    <w:left w:val="single" w:color="000000" w:sz="4" w:space="0"/>
                    <w:bottom w:val="single" w:color="000000" w:sz="12" w:space="0"/>
                    <w:right w:val="single" w:color="000000" w:sz="4" w:space="0"/>
                  </w:tcBorders>
                  <w:vAlign w:val="center"/>
                </w:tcPr>
                <w:p>
                  <w:pPr>
                    <w:spacing w:line="240" w:lineRule="auto"/>
                    <w:jc w:val="left"/>
                    <w:rPr>
                      <w:rFonts w:hint="default" w:ascii="Times New Roman" w:hAnsi="Times New Roman" w:cs="Times New Roman"/>
                      <w:color w:val="auto"/>
                      <w:kern w:val="2"/>
                      <w:szCs w:val="21"/>
                    </w:rPr>
                  </w:pPr>
                  <w:r>
                    <w:rPr>
                      <w:rFonts w:hint="default" w:ascii="Times New Roman" w:hAnsi="Times New Roman" w:cs="Times New Roman"/>
                      <w:color w:val="auto"/>
                      <w:szCs w:val="21"/>
                    </w:rPr>
                    <w:t>①对进水水质进行常规监测，及时调整运行参数，确保稳定达标排放</w:t>
                  </w:r>
                </w:p>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②对泵、阀门等定期检修维护，防止泄漏</w:t>
                  </w:r>
                </w:p>
                <w:p>
                  <w:pPr>
                    <w:widowControl/>
                    <w:spacing w:line="240" w:lineRule="auto"/>
                    <w:jc w:val="left"/>
                    <w:rPr>
                      <w:rFonts w:hint="default" w:ascii="Times New Roman" w:hAnsi="Times New Roman" w:cs="Times New Roman"/>
                      <w:color w:val="auto"/>
                      <w:kern w:val="2"/>
                      <w:szCs w:val="21"/>
                    </w:rPr>
                  </w:pPr>
                  <w:r>
                    <w:rPr>
                      <w:rFonts w:hint="default" w:ascii="Times New Roman" w:hAnsi="Times New Roman" w:cs="Times New Roman"/>
                      <w:color w:val="auto"/>
                      <w:szCs w:val="21"/>
                    </w:rPr>
                    <w:t>③制定应急预案，运行中加强入网污水的监测管理，制定相应的污水入网管理办法</w:t>
                  </w:r>
                </w:p>
              </w:tc>
              <w:tc>
                <w:tcPr>
                  <w:tcW w:w="1882" w:type="pct"/>
                  <w:tcBorders>
                    <w:top w:val="single" w:color="000000" w:sz="4" w:space="0"/>
                    <w:left w:val="single" w:color="000000" w:sz="4" w:space="0"/>
                    <w:bottom w:val="single" w:color="000000" w:sz="12" w:space="0"/>
                    <w:right w:val="nil"/>
                  </w:tcBorders>
                  <w:vAlign w:val="center"/>
                </w:tcPr>
                <w:p>
                  <w:pPr>
                    <w:pStyle w:val="41"/>
                    <w:rPr>
                      <w:rFonts w:hint="default" w:ascii="Times New Roman" w:hAnsi="Times New Roman" w:cs="Times New Roman"/>
                      <w:color w:val="auto"/>
                    </w:rPr>
                  </w:pPr>
                  <w:r>
                    <w:rPr>
                      <w:rFonts w:hint="default" w:ascii="Times New Roman" w:hAnsi="Times New Roman" w:cs="Times New Roman"/>
                      <w:color w:val="auto"/>
                      <w:kern w:val="2"/>
                      <w:sz w:val="21"/>
                      <w:szCs w:val="21"/>
                    </w:rPr>
                    <w:t>事故应急措施设备齐全，预案完备，并进行演练；</w:t>
                  </w:r>
                </w:p>
              </w:tc>
            </w:tr>
          </w:tbl>
          <w:p>
            <w:pPr>
              <w:pStyle w:val="41"/>
              <w:rPr>
                <w:rFonts w:hint="default" w:ascii="Times New Roman" w:hAnsi="Times New Roman" w:cs="Times New Roman"/>
                <w:color w:val="auto"/>
              </w:rPr>
            </w:pPr>
          </w:p>
        </w:tc>
      </w:tr>
    </w:tbl>
    <w:p>
      <w:pPr>
        <w:pStyle w:val="3"/>
        <w:keepNext w:val="0"/>
        <w:keepLines w:val="0"/>
        <w:spacing w:after="0" w:line="240" w:lineRule="auto"/>
        <w:jc w:val="left"/>
        <w:rPr>
          <w:rFonts w:hint="default" w:ascii="Times New Roman" w:hAnsi="Times New Roman" w:cs="Times New Roman"/>
          <w:color w:val="auto"/>
        </w:rPr>
        <w:sectPr>
          <w:pgSz w:w="11907" w:h="16839"/>
          <w:pgMar w:top="1800" w:right="1417" w:bottom="1800" w:left="1797" w:header="851" w:footer="992" w:gutter="0"/>
          <w:pgBorders>
            <w:top w:val="none" w:sz="0" w:space="0"/>
            <w:left w:val="none" w:sz="0" w:space="0"/>
            <w:bottom w:val="none" w:sz="0" w:space="0"/>
            <w:right w:val="none" w:sz="0" w:space="0"/>
          </w:pgBorders>
          <w:cols w:space="720" w:num="1"/>
          <w:docGrid w:type="linesAndChars" w:linePitch="312" w:charSpace="0"/>
        </w:sectPr>
      </w:pPr>
    </w:p>
    <w:p>
      <w:pPr>
        <w:pStyle w:val="3"/>
        <w:keepNext w:val="0"/>
        <w:keepLines w:val="0"/>
        <w:spacing w:after="0" w:line="240" w:lineRule="auto"/>
        <w:jc w:val="left"/>
        <w:rPr>
          <w:rFonts w:hint="default" w:ascii="Times New Roman" w:hAnsi="Times New Roman" w:cs="Times New Roman"/>
          <w:color w:val="auto"/>
        </w:rPr>
      </w:pPr>
      <w:bookmarkStart w:id="37" w:name="_Toc25154387"/>
      <w:r>
        <w:rPr>
          <w:rFonts w:hint="default" w:ascii="Times New Roman" w:hAnsi="Times New Roman" w:cs="Times New Roman"/>
          <w:color w:val="auto"/>
          <w:szCs w:val="22"/>
        </w:rPr>
        <w:t>建设</w:t>
      </w:r>
      <w:r>
        <w:rPr>
          <w:rFonts w:hint="default" w:ascii="Times New Roman" w:hAnsi="Times New Roman" w:cs="Times New Roman"/>
          <w:color w:val="auto"/>
        </w:rPr>
        <w:t>项目拟采取的防治措施及预期治理效果</w:t>
      </w:r>
      <w:bookmarkEnd w:id="37"/>
    </w:p>
    <w:tbl>
      <w:tblPr>
        <w:tblStyle w:val="33"/>
        <w:tblW w:w="894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30"/>
        <w:gridCol w:w="765"/>
        <w:gridCol w:w="1230"/>
        <w:gridCol w:w="946"/>
        <w:gridCol w:w="3509"/>
        <w:gridCol w:w="136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30" w:type="dxa"/>
            <w:vAlign w:val="center"/>
          </w:tcPr>
          <w:p>
            <w:pPr>
              <w:spacing w:before="240"/>
              <w:jc w:val="right"/>
              <w:rPr>
                <w:rFonts w:hint="default" w:ascii="Times New Roman" w:hAnsi="Times New Roman" w:cs="Times New Roman"/>
                <w:color w:val="auto"/>
                <w:szCs w:val="21"/>
              </w:rPr>
            </w:pPr>
            <w:r>
              <w:rPr>
                <w:rFonts w:hint="default" w:ascii="Times New Roman" w:hAnsi="Times New Roman" w:cs="Times New Roman"/>
                <w:color w:val="auto"/>
                <w:szCs w:val="21"/>
              </w:rPr>
              <mc:AlternateContent>
                <mc:Choice Requires="wps">
                  <w:drawing>
                    <wp:anchor distT="0" distB="0" distL="114300" distR="114300" simplePos="0" relativeHeight="251649024" behindDoc="0" locked="0" layoutInCell="1" allowOverlap="1">
                      <wp:simplePos x="0" y="0"/>
                      <wp:positionH relativeFrom="column">
                        <wp:posOffset>-45085</wp:posOffset>
                      </wp:positionH>
                      <wp:positionV relativeFrom="paragraph">
                        <wp:posOffset>-15875</wp:posOffset>
                      </wp:positionV>
                      <wp:extent cx="647065" cy="678815"/>
                      <wp:effectExtent l="3175" t="3175" r="16510" b="3810"/>
                      <wp:wrapNone/>
                      <wp:docPr id="897" name="自选图形 698"/>
                      <wp:cNvGraphicFramePr/>
                      <a:graphic xmlns:a="http://schemas.openxmlformats.org/drawingml/2006/main">
                        <a:graphicData uri="http://schemas.microsoft.com/office/word/2010/wordprocessingShape">
                          <wps:wsp>
                            <wps:cNvCnPr>
                              <a:cxnSpLocks noChangeShapeType="1"/>
                            </wps:cNvCnPr>
                            <wps:spPr bwMode="auto">
                              <a:xfrm>
                                <a:off x="0" y="0"/>
                                <a:ext cx="647065" cy="678815"/>
                              </a:xfrm>
                              <a:prstGeom prst="straightConnector1">
                                <a:avLst/>
                              </a:prstGeom>
                              <a:noFill/>
                              <a:ln w="9525">
                                <a:solidFill>
                                  <a:srgbClr val="000000"/>
                                </a:solidFill>
                                <a:round/>
                              </a:ln>
                              <a:effectLst/>
                            </wps:spPr>
                            <wps:bodyPr/>
                          </wps:wsp>
                        </a:graphicData>
                      </a:graphic>
                    </wp:anchor>
                  </w:drawing>
                </mc:Choice>
                <mc:Fallback>
                  <w:pict>
                    <v:shape id="自选图形 698" o:spid="_x0000_s1026" o:spt="32" type="#_x0000_t32" style="position:absolute;left:0pt;margin-left:-3.55pt;margin-top:-1.25pt;height:53.45pt;width:50.95pt;z-index:251649024;mso-width-relative:page;mso-height-relative:page;" filled="f" stroked="t" coordsize="21600,21600" o:gfxdata="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I8rCNcAAAAIAQAADwAAAAAAAAABACAAAAAiAAAAZHJzL2Rvd25yZXYueG1s&#10;UEsBAhQAFAAAAAgAh07iQA0hVTf5AQAAywMAAA4AAAAAAAAAAQAgAAAAJgEAAGRycy9lMm9Eb2Mu&#10;eG1sUEsFBgAAAAAGAAYAWQEAAJEFAAAAAA==&#10;">
                      <v:fill on="f" focussize="0,0"/>
                      <v:stroke color="#000000" joinstyle="round"/>
                      <v:imagedata o:title=""/>
                      <o:lock v:ext="edit" aspectratio="f"/>
                    </v:shape>
                  </w:pict>
                </mc:Fallback>
              </mc:AlternateContent>
            </w:r>
            <w:r>
              <w:rPr>
                <w:rFonts w:hint="default" w:ascii="Times New Roman" w:hAnsi="Times New Roman" w:cs="Times New Roman"/>
                <w:color w:val="auto"/>
                <w:szCs w:val="21"/>
              </w:rPr>
              <w:t xml:space="preserve">   内容</w:t>
            </w:r>
          </w:p>
          <w:p>
            <w:pPr>
              <w:spacing w:before="240"/>
              <w:rPr>
                <w:rFonts w:hint="default" w:ascii="Times New Roman" w:hAnsi="Times New Roman" w:cs="Times New Roman"/>
                <w:color w:val="auto"/>
                <w:szCs w:val="21"/>
              </w:rPr>
            </w:pPr>
            <w:r>
              <w:rPr>
                <w:rFonts w:hint="default" w:ascii="Times New Roman" w:hAnsi="Times New Roman" w:cs="Times New Roman"/>
                <w:color w:val="auto"/>
                <w:szCs w:val="21"/>
              </w:rPr>
              <w:t>类型</w:t>
            </w:r>
          </w:p>
        </w:tc>
        <w:tc>
          <w:tcPr>
            <w:tcW w:w="1995" w:type="dxa"/>
            <w:gridSpan w:val="2"/>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排放源</w:t>
            </w:r>
          </w:p>
          <w:p>
            <w:pPr>
              <w:spacing w:line="240" w:lineRule="auto"/>
              <w:jc w:val="center"/>
              <w:rPr>
                <w:rFonts w:hint="default" w:ascii="Times New Roman" w:hAnsi="Times New Roman" w:cs="Times New Roman"/>
                <w:color w:val="auto"/>
                <w:szCs w:val="21"/>
              </w:rPr>
            </w:pPr>
          </w:p>
        </w:tc>
        <w:tc>
          <w:tcPr>
            <w:tcW w:w="946" w:type="dxa"/>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3509" w:type="dxa"/>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防治措施</w:t>
            </w:r>
          </w:p>
        </w:tc>
        <w:tc>
          <w:tcPr>
            <w:tcW w:w="1367" w:type="dxa"/>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预防治理效果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30" w:type="dxa"/>
            <w:vMerge w:val="restart"/>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大气</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污染</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物</w:t>
            </w:r>
          </w:p>
        </w:tc>
        <w:tc>
          <w:tcPr>
            <w:tcW w:w="765" w:type="dxa"/>
            <w:vMerge w:val="restart"/>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w:t>
            </w:r>
          </w:p>
        </w:tc>
        <w:tc>
          <w:tcPr>
            <w:tcW w:w="1230" w:type="dxa"/>
            <w:vMerge w:val="restart"/>
            <w:vAlign w:val="center"/>
          </w:tcPr>
          <w:p>
            <w:pPr>
              <w:spacing w:line="240" w:lineRule="auto"/>
              <w:jc w:val="both"/>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 xml:space="preserve">垃圾渗滤液处理车间 </w:t>
            </w:r>
          </w:p>
        </w:tc>
        <w:tc>
          <w:tcPr>
            <w:tcW w:w="946" w:type="dxa"/>
            <w:vAlign w:val="center"/>
          </w:tcPr>
          <w:p>
            <w:pPr>
              <w:spacing w:line="240"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p>
        </w:tc>
        <w:tc>
          <w:tcPr>
            <w:tcW w:w="3509" w:type="dxa"/>
            <w:vMerge w:val="restart"/>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eastAsia="宋体" w:cs="Times New Roman"/>
                <w:color w:val="auto"/>
                <w:sz w:val="21"/>
                <w:szCs w:val="21"/>
                <w:lang w:val="en-US" w:eastAsia="zh-CN" w:bidi="ar-SA"/>
              </w:rPr>
              <w:t>各产生臭气点经臭气收集系统收集，车间密闭性较好，收集效率能够达到80%，收集后经高能离子除臭装置（去除效率≥90%）处理后通过15m排气筒高空排放，</w:t>
            </w:r>
          </w:p>
        </w:tc>
        <w:tc>
          <w:tcPr>
            <w:tcW w:w="1367" w:type="dxa"/>
            <w:vMerge w:val="restart"/>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达标排放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30" w:type="dxa"/>
            <w:vMerge w:val="continue"/>
            <w:vAlign w:val="center"/>
          </w:tcPr>
          <w:p>
            <w:pPr>
              <w:spacing w:line="240" w:lineRule="auto"/>
              <w:jc w:val="center"/>
              <w:rPr>
                <w:rFonts w:hint="default" w:ascii="Times New Roman" w:hAnsi="Times New Roman" w:cs="Times New Roman"/>
                <w:color w:val="auto"/>
                <w:szCs w:val="21"/>
              </w:rPr>
            </w:pPr>
          </w:p>
        </w:tc>
        <w:tc>
          <w:tcPr>
            <w:tcW w:w="765" w:type="dxa"/>
            <w:vMerge w:val="continue"/>
            <w:vAlign w:val="center"/>
          </w:tcPr>
          <w:p>
            <w:pPr>
              <w:spacing w:line="240" w:lineRule="auto"/>
              <w:jc w:val="center"/>
              <w:rPr>
                <w:rFonts w:hint="default" w:ascii="Times New Roman" w:hAnsi="Times New Roman" w:cs="Times New Roman"/>
                <w:color w:val="auto"/>
                <w:szCs w:val="21"/>
              </w:rPr>
            </w:pPr>
          </w:p>
        </w:tc>
        <w:tc>
          <w:tcPr>
            <w:tcW w:w="1230" w:type="dxa"/>
            <w:vMerge w:val="continue"/>
            <w:vAlign w:val="center"/>
          </w:tcPr>
          <w:p>
            <w:pPr>
              <w:spacing w:line="240" w:lineRule="auto"/>
              <w:jc w:val="center"/>
              <w:rPr>
                <w:rFonts w:hint="default" w:ascii="Times New Roman" w:hAnsi="Times New Roman" w:cs="Times New Roman"/>
                <w:color w:val="auto"/>
                <w:szCs w:val="21"/>
              </w:rPr>
            </w:pPr>
          </w:p>
        </w:tc>
        <w:tc>
          <w:tcPr>
            <w:tcW w:w="946" w:type="dxa"/>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p>
        </w:tc>
        <w:tc>
          <w:tcPr>
            <w:tcW w:w="3509" w:type="dxa"/>
            <w:vMerge w:val="continue"/>
            <w:vAlign w:val="center"/>
          </w:tcPr>
          <w:p>
            <w:pPr>
              <w:spacing w:line="240" w:lineRule="auto"/>
              <w:jc w:val="center"/>
              <w:rPr>
                <w:rFonts w:hint="default" w:ascii="Times New Roman" w:hAnsi="Times New Roman" w:cs="Times New Roman"/>
                <w:color w:val="auto"/>
                <w:szCs w:val="21"/>
              </w:rPr>
            </w:pPr>
          </w:p>
        </w:tc>
        <w:tc>
          <w:tcPr>
            <w:tcW w:w="1367" w:type="dxa"/>
            <w:vMerge w:val="continue"/>
            <w:vAlign w:val="center"/>
          </w:tcPr>
          <w:p>
            <w:pPr>
              <w:spacing w:line="240" w:lineRule="auto"/>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30" w:type="dxa"/>
            <w:vMerge w:val="continue"/>
            <w:vAlign w:val="center"/>
          </w:tcPr>
          <w:p>
            <w:pPr>
              <w:spacing w:line="240" w:lineRule="auto"/>
              <w:jc w:val="center"/>
              <w:rPr>
                <w:rFonts w:hint="default" w:ascii="Times New Roman" w:hAnsi="Times New Roman" w:cs="Times New Roman"/>
                <w:color w:val="auto"/>
                <w:szCs w:val="21"/>
              </w:rPr>
            </w:pPr>
          </w:p>
        </w:tc>
        <w:tc>
          <w:tcPr>
            <w:tcW w:w="765" w:type="dxa"/>
            <w:vMerge w:val="restart"/>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w:t>
            </w:r>
          </w:p>
        </w:tc>
        <w:tc>
          <w:tcPr>
            <w:tcW w:w="1230" w:type="dxa"/>
            <w:vMerge w:val="restart"/>
            <w:vAlign w:val="center"/>
          </w:tcPr>
          <w:p>
            <w:pPr>
              <w:spacing w:line="240" w:lineRule="auto"/>
              <w:jc w:val="both"/>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垃圾渗滤液处理车间</w:t>
            </w:r>
          </w:p>
        </w:tc>
        <w:tc>
          <w:tcPr>
            <w:tcW w:w="946" w:type="dxa"/>
            <w:vAlign w:val="center"/>
          </w:tcPr>
          <w:p>
            <w:pPr>
              <w:spacing w:line="240"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p>
        </w:tc>
        <w:tc>
          <w:tcPr>
            <w:tcW w:w="3509" w:type="dxa"/>
            <w:vMerge w:val="restart"/>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eastAsia="宋体" w:cs="Times New Roman"/>
                <w:color w:val="auto"/>
                <w:sz w:val="21"/>
                <w:szCs w:val="21"/>
                <w:lang w:val="en-US" w:eastAsia="zh-CN" w:bidi="ar-SA"/>
              </w:rPr>
              <w:t>未被收集的气体无组织排放。场区绿化。</w:t>
            </w:r>
          </w:p>
        </w:tc>
        <w:tc>
          <w:tcPr>
            <w:tcW w:w="1367" w:type="dxa"/>
            <w:vMerge w:val="restart"/>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达标排放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30" w:type="dxa"/>
            <w:vMerge w:val="continue"/>
            <w:vAlign w:val="center"/>
          </w:tcPr>
          <w:p>
            <w:pPr>
              <w:spacing w:line="240" w:lineRule="auto"/>
              <w:jc w:val="center"/>
              <w:rPr>
                <w:rFonts w:hint="default" w:ascii="Times New Roman" w:hAnsi="Times New Roman" w:cs="Times New Roman"/>
                <w:color w:val="auto"/>
                <w:szCs w:val="21"/>
              </w:rPr>
            </w:pPr>
          </w:p>
        </w:tc>
        <w:tc>
          <w:tcPr>
            <w:tcW w:w="765" w:type="dxa"/>
            <w:vMerge w:val="continue"/>
            <w:vAlign w:val="center"/>
          </w:tcPr>
          <w:p>
            <w:pPr>
              <w:spacing w:line="240" w:lineRule="auto"/>
              <w:jc w:val="center"/>
              <w:rPr>
                <w:rFonts w:hint="default" w:ascii="Times New Roman" w:hAnsi="Times New Roman" w:cs="Times New Roman"/>
                <w:color w:val="auto"/>
                <w:szCs w:val="21"/>
              </w:rPr>
            </w:pPr>
          </w:p>
        </w:tc>
        <w:tc>
          <w:tcPr>
            <w:tcW w:w="1230" w:type="dxa"/>
            <w:vMerge w:val="continue"/>
            <w:vAlign w:val="center"/>
          </w:tcPr>
          <w:p>
            <w:pPr>
              <w:spacing w:line="240" w:lineRule="auto"/>
              <w:jc w:val="center"/>
              <w:rPr>
                <w:rFonts w:hint="default" w:ascii="Times New Roman" w:hAnsi="Times New Roman" w:cs="Times New Roman"/>
                <w:color w:val="auto"/>
                <w:szCs w:val="21"/>
              </w:rPr>
            </w:pPr>
          </w:p>
        </w:tc>
        <w:tc>
          <w:tcPr>
            <w:tcW w:w="946" w:type="dxa"/>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p>
        </w:tc>
        <w:tc>
          <w:tcPr>
            <w:tcW w:w="3509" w:type="dxa"/>
            <w:vMerge w:val="continue"/>
            <w:vAlign w:val="center"/>
          </w:tcPr>
          <w:p>
            <w:pPr>
              <w:spacing w:line="240" w:lineRule="auto"/>
              <w:jc w:val="center"/>
              <w:rPr>
                <w:rFonts w:hint="default" w:ascii="Times New Roman" w:hAnsi="Times New Roman" w:cs="Times New Roman"/>
                <w:color w:val="auto"/>
                <w:szCs w:val="21"/>
              </w:rPr>
            </w:pPr>
          </w:p>
        </w:tc>
        <w:tc>
          <w:tcPr>
            <w:tcW w:w="1367" w:type="dxa"/>
            <w:vMerge w:val="continue"/>
            <w:vAlign w:val="center"/>
          </w:tcPr>
          <w:p>
            <w:pPr>
              <w:spacing w:line="240" w:lineRule="auto"/>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30" w:type="dxa"/>
            <w:vMerge w:val="restart"/>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水</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污</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染</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物</w:t>
            </w:r>
          </w:p>
        </w:tc>
        <w:tc>
          <w:tcPr>
            <w:tcW w:w="1995" w:type="dxa"/>
            <w:gridSpan w:val="2"/>
            <w:vMerge w:val="restart"/>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垃圾渗滤液处理车间</w:t>
            </w:r>
          </w:p>
        </w:tc>
        <w:tc>
          <w:tcPr>
            <w:tcW w:w="946" w:type="dxa"/>
            <w:tcBorders>
              <w:top w:val="single" w:color="auto" w:sz="6" w:space="0"/>
              <w:bottom w:val="single" w:color="auto" w:sz="6"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3509" w:type="dxa"/>
            <w:vMerge w:val="restart"/>
            <w:vAlign w:val="center"/>
          </w:tcPr>
          <w:p>
            <w:pPr>
              <w:snapToGrid w:val="0"/>
              <w:spacing w:line="240" w:lineRule="auto"/>
              <w:rPr>
                <w:rFonts w:hint="default" w:ascii="Times New Roman" w:hAnsi="Times New Roman" w:cs="Times New Roman"/>
                <w:iCs/>
                <w:color w:val="auto"/>
                <w:szCs w:val="21"/>
              </w:rPr>
            </w:pPr>
            <w:r>
              <w:rPr>
                <w:rFonts w:hint="default" w:ascii="Times New Roman" w:hAnsi="Times New Roman" w:cs="Times New Roman"/>
                <w:color w:val="auto"/>
                <w:szCs w:val="21"/>
              </w:rPr>
              <w:t>渗滤液→调节池→气浮设备→原水灌→两级DTRO系统→达标排放</w:t>
            </w:r>
          </w:p>
        </w:tc>
        <w:tc>
          <w:tcPr>
            <w:tcW w:w="1367" w:type="dxa"/>
            <w:vMerge w:val="restart"/>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达标排放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30" w:type="dxa"/>
            <w:vMerge w:val="continue"/>
            <w:vAlign w:val="center"/>
          </w:tcPr>
          <w:p>
            <w:pPr>
              <w:spacing w:line="240" w:lineRule="auto"/>
              <w:jc w:val="center"/>
              <w:rPr>
                <w:rFonts w:hint="default" w:ascii="Times New Roman" w:hAnsi="Times New Roman" w:cs="Times New Roman"/>
                <w:color w:val="auto"/>
                <w:szCs w:val="21"/>
              </w:rPr>
            </w:pPr>
          </w:p>
        </w:tc>
        <w:tc>
          <w:tcPr>
            <w:tcW w:w="1995" w:type="dxa"/>
            <w:gridSpan w:val="2"/>
            <w:vMerge w:val="continue"/>
            <w:vAlign w:val="center"/>
          </w:tcPr>
          <w:p>
            <w:pPr>
              <w:spacing w:line="240" w:lineRule="auto"/>
              <w:jc w:val="center"/>
              <w:rPr>
                <w:rFonts w:hint="default" w:ascii="Times New Roman" w:hAnsi="Times New Roman" w:cs="Times New Roman"/>
                <w:color w:val="auto"/>
                <w:szCs w:val="21"/>
              </w:rPr>
            </w:pPr>
          </w:p>
        </w:tc>
        <w:tc>
          <w:tcPr>
            <w:tcW w:w="946" w:type="dxa"/>
            <w:tcBorders>
              <w:top w:val="single" w:color="auto" w:sz="6" w:space="0"/>
              <w:bottom w:val="single" w:color="auto" w:sz="6" w:space="0"/>
            </w:tcBorders>
            <w:vAlign w:val="center"/>
          </w:tcPr>
          <w:p>
            <w:pPr>
              <w:pStyle w:val="41"/>
              <w:jc w:val="center"/>
              <w:rPr>
                <w:rFonts w:hint="default" w:ascii="Times New Roman" w:hAnsi="Times New Roman" w:cs="Times New Roman"/>
                <w:color w:val="auto"/>
              </w:rPr>
            </w:pPr>
            <w:r>
              <w:rPr>
                <w:rFonts w:hint="default" w:ascii="Times New Roman" w:hAnsi="Times New Roman" w:cs="Times New Roman"/>
                <w:color w:val="auto"/>
              </w:rPr>
              <w:t>BOD</w:t>
            </w:r>
            <w:r>
              <w:rPr>
                <w:rFonts w:hint="default" w:ascii="Times New Roman" w:hAnsi="Times New Roman" w:cs="Times New Roman"/>
                <w:color w:val="auto"/>
                <w:vertAlign w:val="subscript"/>
              </w:rPr>
              <w:t>5</w:t>
            </w:r>
          </w:p>
        </w:tc>
        <w:tc>
          <w:tcPr>
            <w:tcW w:w="3509" w:type="dxa"/>
            <w:vMerge w:val="continue"/>
            <w:vAlign w:val="center"/>
          </w:tcPr>
          <w:p>
            <w:pPr>
              <w:spacing w:line="240" w:lineRule="auto"/>
              <w:jc w:val="center"/>
              <w:rPr>
                <w:rFonts w:hint="default" w:ascii="Times New Roman" w:hAnsi="Times New Roman" w:cs="Times New Roman"/>
                <w:color w:val="auto"/>
                <w:sz w:val="24"/>
                <w:szCs w:val="24"/>
              </w:rPr>
            </w:pPr>
          </w:p>
        </w:tc>
        <w:tc>
          <w:tcPr>
            <w:tcW w:w="1367" w:type="dxa"/>
            <w:vMerge w:val="continue"/>
            <w:vAlign w:val="center"/>
          </w:tcPr>
          <w:p>
            <w:pPr>
              <w:spacing w:line="240" w:lineRule="auto"/>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30" w:type="dxa"/>
            <w:vMerge w:val="continue"/>
            <w:vAlign w:val="center"/>
          </w:tcPr>
          <w:p>
            <w:pPr>
              <w:spacing w:line="240" w:lineRule="auto"/>
              <w:jc w:val="center"/>
              <w:rPr>
                <w:rFonts w:hint="default" w:ascii="Times New Roman" w:hAnsi="Times New Roman" w:cs="Times New Roman"/>
                <w:color w:val="auto"/>
                <w:szCs w:val="21"/>
              </w:rPr>
            </w:pPr>
          </w:p>
        </w:tc>
        <w:tc>
          <w:tcPr>
            <w:tcW w:w="1995" w:type="dxa"/>
            <w:gridSpan w:val="2"/>
            <w:vMerge w:val="continue"/>
            <w:vAlign w:val="center"/>
          </w:tcPr>
          <w:p>
            <w:pPr>
              <w:spacing w:line="240" w:lineRule="auto"/>
              <w:jc w:val="center"/>
              <w:rPr>
                <w:rFonts w:hint="default" w:ascii="Times New Roman" w:hAnsi="Times New Roman" w:cs="Times New Roman"/>
                <w:color w:val="auto"/>
                <w:szCs w:val="21"/>
              </w:rPr>
            </w:pPr>
          </w:p>
        </w:tc>
        <w:tc>
          <w:tcPr>
            <w:tcW w:w="946" w:type="dxa"/>
            <w:tcBorders>
              <w:top w:val="single" w:color="auto" w:sz="6" w:space="0"/>
              <w:bottom w:val="single" w:color="auto" w:sz="6"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3509" w:type="dxa"/>
            <w:vMerge w:val="continue"/>
            <w:vAlign w:val="center"/>
          </w:tcPr>
          <w:p>
            <w:pPr>
              <w:spacing w:line="240" w:lineRule="auto"/>
              <w:jc w:val="center"/>
              <w:rPr>
                <w:rFonts w:hint="default" w:ascii="Times New Roman" w:hAnsi="Times New Roman" w:cs="Times New Roman"/>
                <w:color w:val="auto"/>
                <w:szCs w:val="21"/>
              </w:rPr>
            </w:pPr>
          </w:p>
        </w:tc>
        <w:tc>
          <w:tcPr>
            <w:tcW w:w="1367" w:type="dxa"/>
            <w:vMerge w:val="continue"/>
            <w:vAlign w:val="center"/>
          </w:tcPr>
          <w:p>
            <w:pPr>
              <w:spacing w:line="240" w:lineRule="auto"/>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30" w:type="dxa"/>
            <w:vMerge w:val="continue"/>
            <w:vAlign w:val="center"/>
          </w:tcPr>
          <w:p>
            <w:pPr>
              <w:spacing w:line="240" w:lineRule="auto"/>
              <w:jc w:val="center"/>
              <w:rPr>
                <w:rFonts w:hint="default" w:ascii="Times New Roman" w:hAnsi="Times New Roman" w:cs="Times New Roman"/>
                <w:color w:val="auto"/>
                <w:szCs w:val="21"/>
              </w:rPr>
            </w:pPr>
          </w:p>
        </w:tc>
        <w:tc>
          <w:tcPr>
            <w:tcW w:w="1995" w:type="dxa"/>
            <w:gridSpan w:val="2"/>
            <w:vMerge w:val="continue"/>
            <w:vAlign w:val="center"/>
          </w:tcPr>
          <w:p>
            <w:pPr>
              <w:spacing w:line="240" w:lineRule="auto"/>
              <w:jc w:val="center"/>
              <w:rPr>
                <w:rFonts w:hint="default" w:ascii="Times New Roman" w:hAnsi="Times New Roman" w:cs="Times New Roman"/>
                <w:color w:val="auto"/>
                <w:szCs w:val="21"/>
              </w:rPr>
            </w:pPr>
          </w:p>
        </w:tc>
        <w:tc>
          <w:tcPr>
            <w:tcW w:w="946" w:type="dxa"/>
            <w:tcBorders>
              <w:top w:val="single" w:color="auto" w:sz="6" w:space="0"/>
              <w:bottom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3509" w:type="dxa"/>
            <w:vMerge w:val="continue"/>
            <w:vAlign w:val="center"/>
          </w:tcPr>
          <w:p>
            <w:pPr>
              <w:spacing w:line="240" w:lineRule="auto"/>
              <w:jc w:val="center"/>
              <w:rPr>
                <w:rFonts w:hint="default" w:ascii="Times New Roman" w:hAnsi="Times New Roman" w:cs="Times New Roman"/>
                <w:color w:val="auto"/>
                <w:szCs w:val="21"/>
              </w:rPr>
            </w:pPr>
          </w:p>
        </w:tc>
        <w:tc>
          <w:tcPr>
            <w:tcW w:w="1367" w:type="dxa"/>
            <w:vMerge w:val="continue"/>
            <w:vAlign w:val="center"/>
          </w:tcPr>
          <w:p>
            <w:pPr>
              <w:spacing w:line="240" w:lineRule="auto"/>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30" w:type="dxa"/>
            <w:vMerge w:val="continue"/>
            <w:vAlign w:val="center"/>
          </w:tcPr>
          <w:p>
            <w:pPr>
              <w:spacing w:line="240" w:lineRule="auto"/>
              <w:jc w:val="center"/>
              <w:rPr>
                <w:rFonts w:hint="default" w:ascii="Times New Roman" w:hAnsi="Times New Roman" w:cs="Times New Roman"/>
                <w:color w:val="auto"/>
                <w:szCs w:val="21"/>
              </w:rPr>
            </w:pPr>
          </w:p>
        </w:tc>
        <w:tc>
          <w:tcPr>
            <w:tcW w:w="1995" w:type="dxa"/>
            <w:gridSpan w:val="2"/>
            <w:vMerge w:val="continue"/>
            <w:vAlign w:val="center"/>
          </w:tcPr>
          <w:p>
            <w:pPr>
              <w:spacing w:line="240" w:lineRule="auto"/>
              <w:jc w:val="center"/>
              <w:rPr>
                <w:rFonts w:hint="default" w:ascii="Times New Roman" w:hAnsi="Times New Roman" w:cs="Times New Roman"/>
                <w:color w:val="auto"/>
                <w:szCs w:val="21"/>
              </w:rPr>
            </w:pPr>
          </w:p>
        </w:tc>
        <w:tc>
          <w:tcPr>
            <w:tcW w:w="946" w:type="dxa"/>
            <w:tcBorders>
              <w:top w:val="single" w:color="auto" w:sz="4" w:space="0"/>
              <w:bottom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TN</w:t>
            </w:r>
          </w:p>
        </w:tc>
        <w:tc>
          <w:tcPr>
            <w:tcW w:w="3509" w:type="dxa"/>
            <w:vMerge w:val="continue"/>
            <w:vAlign w:val="center"/>
          </w:tcPr>
          <w:p>
            <w:pPr>
              <w:spacing w:line="240" w:lineRule="auto"/>
              <w:jc w:val="center"/>
              <w:rPr>
                <w:rFonts w:hint="default" w:ascii="Times New Roman" w:hAnsi="Times New Roman" w:cs="Times New Roman"/>
                <w:color w:val="auto"/>
                <w:szCs w:val="21"/>
              </w:rPr>
            </w:pPr>
          </w:p>
        </w:tc>
        <w:tc>
          <w:tcPr>
            <w:tcW w:w="1367" w:type="dxa"/>
            <w:vMerge w:val="continue"/>
            <w:vAlign w:val="center"/>
          </w:tcPr>
          <w:p>
            <w:pPr>
              <w:spacing w:line="240" w:lineRule="auto"/>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30" w:type="dxa"/>
            <w:vMerge w:val="continue"/>
            <w:vAlign w:val="center"/>
          </w:tcPr>
          <w:p>
            <w:pPr>
              <w:spacing w:line="240" w:lineRule="auto"/>
              <w:jc w:val="center"/>
              <w:rPr>
                <w:rFonts w:hint="default" w:ascii="Times New Roman" w:hAnsi="Times New Roman" w:cs="Times New Roman"/>
                <w:color w:val="auto"/>
                <w:szCs w:val="21"/>
              </w:rPr>
            </w:pPr>
          </w:p>
        </w:tc>
        <w:tc>
          <w:tcPr>
            <w:tcW w:w="1995" w:type="dxa"/>
            <w:gridSpan w:val="2"/>
            <w:vMerge w:val="continue"/>
            <w:vAlign w:val="center"/>
          </w:tcPr>
          <w:p>
            <w:pPr>
              <w:spacing w:line="240" w:lineRule="auto"/>
              <w:jc w:val="center"/>
              <w:rPr>
                <w:rFonts w:hint="default" w:ascii="Times New Roman" w:hAnsi="Times New Roman" w:cs="Times New Roman"/>
                <w:color w:val="auto"/>
                <w:szCs w:val="21"/>
              </w:rPr>
            </w:pPr>
          </w:p>
        </w:tc>
        <w:tc>
          <w:tcPr>
            <w:tcW w:w="946" w:type="dxa"/>
            <w:tcBorders>
              <w:top w:val="single" w:color="auto" w:sz="4" w:space="0"/>
              <w:bottom w:val="single" w:color="auto" w:sz="4" w:space="0"/>
            </w:tcBorders>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TP</w:t>
            </w:r>
          </w:p>
        </w:tc>
        <w:tc>
          <w:tcPr>
            <w:tcW w:w="3509" w:type="dxa"/>
            <w:vMerge w:val="continue"/>
            <w:vAlign w:val="center"/>
          </w:tcPr>
          <w:p>
            <w:pPr>
              <w:spacing w:line="240" w:lineRule="auto"/>
              <w:jc w:val="center"/>
              <w:rPr>
                <w:rFonts w:hint="default" w:ascii="Times New Roman" w:hAnsi="Times New Roman" w:cs="Times New Roman"/>
                <w:color w:val="auto"/>
                <w:szCs w:val="21"/>
              </w:rPr>
            </w:pPr>
          </w:p>
        </w:tc>
        <w:tc>
          <w:tcPr>
            <w:tcW w:w="1367" w:type="dxa"/>
            <w:vMerge w:val="continue"/>
            <w:vAlign w:val="center"/>
          </w:tcPr>
          <w:p>
            <w:pPr>
              <w:spacing w:line="240" w:lineRule="auto"/>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30" w:type="dxa"/>
            <w:vMerge w:val="restart"/>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固</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体</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废</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物</w:t>
            </w:r>
          </w:p>
        </w:tc>
        <w:tc>
          <w:tcPr>
            <w:tcW w:w="1995" w:type="dxa"/>
            <w:gridSpan w:val="2"/>
            <w:tcBorders>
              <w:top w:val="single" w:color="auto" w:sz="4" w:space="0"/>
            </w:tcBorders>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职工生活</w:t>
            </w:r>
          </w:p>
        </w:tc>
        <w:tc>
          <w:tcPr>
            <w:tcW w:w="946" w:type="dxa"/>
            <w:tcBorders>
              <w:top w:val="single" w:color="auto" w:sz="4" w:space="0"/>
            </w:tcBorders>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3509" w:type="dxa"/>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卫生填埋</w:t>
            </w:r>
          </w:p>
        </w:tc>
        <w:tc>
          <w:tcPr>
            <w:tcW w:w="1367" w:type="dxa"/>
            <w:vMerge w:val="restart"/>
            <w:vAlign w:val="center"/>
          </w:tcPr>
          <w:p>
            <w:pPr>
              <w:pStyle w:val="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合理处置，不会对环境产生二次影响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30" w:type="dxa"/>
            <w:vMerge w:val="continue"/>
            <w:vAlign w:val="center"/>
          </w:tcPr>
          <w:p>
            <w:pPr>
              <w:spacing w:line="240" w:lineRule="auto"/>
              <w:jc w:val="center"/>
              <w:rPr>
                <w:rFonts w:hint="default" w:ascii="Times New Roman" w:hAnsi="Times New Roman" w:cs="Times New Roman"/>
                <w:color w:val="auto"/>
                <w:szCs w:val="21"/>
              </w:rPr>
            </w:pPr>
          </w:p>
        </w:tc>
        <w:tc>
          <w:tcPr>
            <w:tcW w:w="1995" w:type="dxa"/>
            <w:gridSpan w:val="2"/>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污泥处理</w:t>
            </w:r>
          </w:p>
        </w:tc>
        <w:tc>
          <w:tcPr>
            <w:tcW w:w="946" w:type="dxa"/>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污泥</w:t>
            </w:r>
          </w:p>
        </w:tc>
        <w:tc>
          <w:tcPr>
            <w:tcW w:w="3509" w:type="dxa"/>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卫生填埋</w:t>
            </w:r>
          </w:p>
        </w:tc>
        <w:tc>
          <w:tcPr>
            <w:tcW w:w="1367" w:type="dxa"/>
            <w:vMerge w:val="continue"/>
            <w:vAlign w:val="center"/>
          </w:tcPr>
          <w:p>
            <w:pPr>
              <w:pStyle w:val="41"/>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30" w:type="dxa"/>
            <w:vMerge w:val="continue"/>
            <w:vAlign w:val="center"/>
          </w:tcPr>
          <w:p>
            <w:pPr>
              <w:spacing w:line="240" w:lineRule="auto"/>
              <w:jc w:val="center"/>
              <w:rPr>
                <w:rFonts w:hint="default" w:ascii="Times New Roman" w:hAnsi="Times New Roman" w:cs="Times New Roman"/>
                <w:color w:val="auto"/>
                <w:szCs w:val="21"/>
              </w:rPr>
            </w:pPr>
          </w:p>
        </w:tc>
        <w:tc>
          <w:tcPr>
            <w:tcW w:w="1995" w:type="dxa"/>
            <w:gridSpan w:val="2"/>
            <w:vAlign w:val="center"/>
          </w:tcPr>
          <w:p>
            <w:pPr>
              <w:snapToGrid w:val="0"/>
              <w:spacing w:line="240" w:lineRule="auto"/>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eastAsia="zh-CN"/>
              </w:rPr>
              <w:t>废机油</w:t>
            </w:r>
            <w:r>
              <w:rPr>
                <w:rFonts w:hint="eastAsia" w:ascii="Times New Roman" w:hAnsi="Times New Roman" w:cs="Times New Roman"/>
                <w:color w:val="auto"/>
                <w:szCs w:val="21"/>
                <w:lang w:val="en-US" w:eastAsia="zh-CN"/>
              </w:rPr>
              <w:t>、废离子交换树脂</w:t>
            </w:r>
          </w:p>
        </w:tc>
        <w:tc>
          <w:tcPr>
            <w:tcW w:w="946" w:type="dxa"/>
            <w:vAlign w:val="center"/>
          </w:tcPr>
          <w:p>
            <w:pPr>
              <w:snapToGrid w:val="0"/>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废机油</w:t>
            </w:r>
          </w:p>
        </w:tc>
        <w:tc>
          <w:tcPr>
            <w:tcW w:w="3509" w:type="dxa"/>
            <w:vAlign w:val="center"/>
          </w:tcPr>
          <w:p>
            <w:pPr>
              <w:snapToGrid w:val="0"/>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交有资质单位处置</w:t>
            </w:r>
          </w:p>
        </w:tc>
        <w:tc>
          <w:tcPr>
            <w:tcW w:w="1367" w:type="dxa"/>
            <w:vMerge w:val="continue"/>
            <w:vAlign w:val="center"/>
          </w:tcPr>
          <w:p>
            <w:pPr>
              <w:pStyle w:val="41"/>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30" w:type="dxa"/>
            <w:vMerge w:val="continue"/>
            <w:vAlign w:val="center"/>
          </w:tcPr>
          <w:p>
            <w:pPr>
              <w:spacing w:line="240" w:lineRule="auto"/>
              <w:jc w:val="center"/>
              <w:rPr>
                <w:rFonts w:hint="default" w:ascii="Times New Roman" w:hAnsi="Times New Roman" w:cs="Times New Roman"/>
                <w:color w:val="auto"/>
                <w:szCs w:val="21"/>
              </w:rPr>
            </w:pPr>
          </w:p>
        </w:tc>
        <w:tc>
          <w:tcPr>
            <w:tcW w:w="1995" w:type="dxa"/>
            <w:gridSpan w:val="2"/>
            <w:vAlign w:val="center"/>
          </w:tcPr>
          <w:p>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废膜</w:t>
            </w:r>
          </w:p>
        </w:tc>
        <w:tc>
          <w:tcPr>
            <w:tcW w:w="946" w:type="dxa"/>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废膜</w:t>
            </w:r>
          </w:p>
        </w:tc>
        <w:tc>
          <w:tcPr>
            <w:tcW w:w="3509" w:type="dxa"/>
            <w:vAlign w:val="center"/>
          </w:tcPr>
          <w:p>
            <w:pPr>
              <w:snapToGrid w:val="0"/>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Cs w:val="21"/>
                <w:lang w:val="en-US" w:eastAsia="zh-CN"/>
              </w:rPr>
              <w:t>不在厂区贮存，交由厂家回收处置。</w:t>
            </w:r>
          </w:p>
        </w:tc>
        <w:tc>
          <w:tcPr>
            <w:tcW w:w="1367" w:type="dxa"/>
            <w:vMerge w:val="continue"/>
            <w:vAlign w:val="center"/>
          </w:tcPr>
          <w:p>
            <w:pPr>
              <w:pStyle w:val="41"/>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130" w:type="dxa"/>
            <w:vAlign w:val="center"/>
          </w:tcPr>
          <w:p>
            <w:pPr>
              <w:ind w:right="100" w:rightChars="48" w:firstLine="180"/>
              <w:jc w:val="center"/>
              <w:rPr>
                <w:rFonts w:hint="default" w:ascii="Times New Roman" w:hAnsi="Times New Roman" w:cs="Times New Roman"/>
                <w:color w:val="auto"/>
                <w:szCs w:val="21"/>
              </w:rPr>
            </w:pPr>
            <w:r>
              <w:rPr>
                <w:rFonts w:hint="default" w:ascii="Times New Roman" w:hAnsi="Times New Roman" w:cs="Times New Roman"/>
                <w:color w:val="auto"/>
                <w:szCs w:val="21"/>
              </w:rPr>
              <w:t>其</w:t>
            </w:r>
          </w:p>
          <w:p>
            <w:pPr>
              <w:ind w:right="100" w:rightChars="48" w:firstLine="180"/>
              <w:jc w:val="center"/>
              <w:rPr>
                <w:rFonts w:hint="default" w:ascii="Times New Roman" w:hAnsi="Times New Roman" w:cs="Times New Roman"/>
                <w:color w:val="auto"/>
                <w:szCs w:val="21"/>
              </w:rPr>
            </w:pPr>
            <w:r>
              <w:rPr>
                <w:rFonts w:hint="default" w:ascii="Times New Roman" w:hAnsi="Times New Roman" w:cs="Times New Roman"/>
                <w:color w:val="auto"/>
                <w:szCs w:val="21"/>
              </w:rPr>
              <w:t>他</w:t>
            </w:r>
          </w:p>
        </w:tc>
        <w:tc>
          <w:tcPr>
            <w:tcW w:w="7817" w:type="dxa"/>
            <w:gridSpan w:val="5"/>
            <w:vAlign w:val="center"/>
          </w:tcPr>
          <w:p>
            <w:pPr>
              <w:spacing w:line="312" w:lineRule="auto"/>
              <w:rPr>
                <w:rFonts w:hint="default" w:ascii="Times New Roman" w:hAnsi="Times New Roman" w:cs="Times New Roman"/>
                <w:color w:val="auto"/>
                <w:szCs w:val="21"/>
              </w:rPr>
            </w:pPr>
            <w:r>
              <w:rPr>
                <w:rFonts w:hint="default" w:ascii="Times New Roman" w:hAnsi="Times New Roman" w:cs="Times New Roman"/>
                <w:color w:val="auto"/>
                <w:szCs w:val="21"/>
              </w:rPr>
              <w:t>选用低噪声设备，通过采取消声、减振、隔声等措施，厂界噪声可以达标排放。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63" w:hRule="atLeast"/>
          <w:jc w:val="center"/>
        </w:trPr>
        <w:tc>
          <w:tcPr>
            <w:tcW w:w="8947" w:type="dxa"/>
            <w:gridSpan w:val="6"/>
            <w:vAlign w:val="center"/>
          </w:tcPr>
          <w:p>
            <w:pPr>
              <w:spacing w:before="120" w:line="312" w:lineRule="auto"/>
              <w:rPr>
                <w:rFonts w:hint="default" w:ascii="Times New Roman" w:hAnsi="Times New Roman" w:cs="Times New Roman"/>
                <w:b/>
                <w:color w:val="auto"/>
                <w:szCs w:val="21"/>
              </w:rPr>
            </w:pPr>
            <w:r>
              <w:rPr>
                <w:rFonts w:hint="default" w:ascii="Times New Roman" w:hAnsi="Times New Roman" w:cs="Times New Roman"/>
                <w:b/>
                <w:color w:val="auto"/>
                <w:szCs w:val="21"/>
              </w:rPr>
              <w:t>生态保护措施及预期效果</w:t>
            </w:r>
          </w:p>
          <w:p>
            <w:pPr>
              <w:pStyle w:val="75"/>
              <w:adjustRightInd w:val="0"/>
              <w:snapToGrid w:val="0"/>
              <w:spacing w:after="0" w:line="360" w:lineRule="auto"/>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本项目对于生态的影响主要是施工期水土流失方面为减少水土流失，在主体工程设计中设计了以下具有水土保持功能的措施：</w:t>
            </w:r>
          </w:p>
          <w:p>
            <w:pPr>
              <w:pStyle w:val="75"/>
              <w:adjustRightInd w:val="0"/>
              <w:snapToGrid w:val="0"/>
              <w:spacing w:after="0" w:line="360" w:lineRule="auto"/>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（1）科学组织，减少项目施工期扰动地表、占压土地和损坏林草植被的面积；</w:t>
            </w:r>
          </w:p>
          <w:p>
            <w:pPr>
              <w:pStyle w:val="75"/>
              <w:adjustRightInd w:val="0"/>
              <w:snapToGrid w:val="0"/>
              <w:spacing w:after="0" w:line="360" w:lineRule="auto"/>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（2）选择适进行土石方平衡计算，减少弃土弃渣量。对施工产生的弃土弃渣要有必要的拦挡措施。合理安置弃土弃渣。</w:t>
            </w:r>
          </w:p>
          <w:p>
            <w:pPr>
              <w:pStyle w:val="75"/>
              <w:adjustRightInd w:val="0"/>
              <w:snapToGrid w:val="0"/>
              <w:spacing w:after="0" w:line="360" w:lineRule="auto"/>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（3）对裸露土地进行硬化和绿化；</w:t>
            </w:r>
          </w:p>
          <w:p>
            <w:pPr>
              <w:pStyle w:val="75"/>
              <w:adjustRightInd w:val="0"/>
              <w:snapToGrid w:val="0"/>
              <w:spacing w:after="0" w:line="360" w:lineRule="auto"/>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（4）厂内外有完善的排水设施，并防止冲刷；</w:t>
            </w:r>
          </w:p>
          <w:p>
            <w:pPr>
              <w:pStyle w:val="75"/>
              <w:adjustRightInd w:val="0"/>
              <w:snapToGrid w:val="0"/>
              <w:spacing w:after="0" w:line="360" w:lineRule="auto"/>
              <w:ind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（5）施工过程中要有临时防护措施；</w:t>
            </w:r>
          </w:p>
          <w:p>
            <w:pPr>
              <w:pStyle w:val="75"/>
              <w:shd w:val="clear" w:color="auto" w:fill="auto"/>
              <w:adjustRightInd w:val="0"/>
              <w:snapToGrid w:val="0"/>
              <w:spacing w:after="0" w:line="360" w:lineRule="auto"/>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通过上述措施可有效的防止水土流失，符合开发建设项目水土保持技术规范的要求。</w:t>
            </w:r>
          </w:p>
          <w:p>
            <w:pPr>
              <w:pStyle w:val="75"/>
              <w:shd w:val="clear" w:color="auto" w:fill="auto"/>
              <w:adjustRightInd w:val="0"/>
              <w:snapToGrid w:val="0"/>
              <w:spacing w:after="0" w:line="360" w:lineRule="auto"/>
              <w:ind w:firstLine="420" w:firstLineChars="200"/>
              <w:jc w:val="left"/>
              <w:rPr>
                <w:rFonts w:hint="default" w:ascii="Times New Roman" w:hAnsi="Times New Roman" w:eastAsia="宋体" w:cs="Times New Roman"/>
                <w:color w:val="auto"/>
                <w:sz w:val="21"/>
                <w:szCs w:val="21"/>
              </w:rPr>
            </w:pPr>
          </w:p>
          <w:p>
            <w:pPr>
              <w:pStyle w:val="75"/>
              <w:shd w:val="clear" w:color="auto" w:fill="auto"/>
              <w:adjustRightInd w:val="0"/>
              <w:snapToGrid w:val="0"/>
              <w:spacing w:after="0" w:line="360" w:lineRule="auto"/>
              <w:ind w:firstLine="480" w:firstLineChars="200"/>
              <w:jc w:val="left"/>
              <w:rPr>
                <w:rFonts w:hint="default" w:ascii="Times New Roman" w:hAnsi="Times New Roman" w:eastAsia="宋体" w:cs="Times New Roman"/>
                <w:color w:val="auto"/>
                <w:sz w:val="24"/>
                <w:szCs w:val="24"/>
              </w:rPr>
            </w:pPr>
          </w:p>
        </w:tc>
      </w:tr>
    </w:tbl>
    <w:p>
      <w:pPr>
        <w:outlineLvl w:val="0"/>
        <w:rPr>
          <w:rFonts w:hint="default" w:ascii="Times New Roman" w:hAnsi="Times New Roman" w:eastAsia="黑体" w:cs="Times New Roman"/>
          <w:b/>
          <w:bCs/>
          <w:color w:val="auto"/>
          <w:sz w:val="32"/>
          <w:szCs w:val="32"/>
        </w:rPr>
      </w:pPr>
      <w:bookmarkStart w:id="38" w:name="_Toc25154388"/>
      <w:r>
        <w:rPr>
          <w:rFonts w:hint="default" w:ascii="Times New Roman" w:hAnsi="Times New Roman" w:eastAsia="黑体" w:cs="Times New Roman"/>
          <w:b/>
          <w:bCs/>
          <w:color w:val="auto"/>
          <w:sz w:val="32"/>
          <w:szCs w:val="32"/>
        </w:rPr>
        <w:t>结论与建议</w:t>
      </w:r>
      <w:bookmarkEnd w:id="38"/>
    </w:p>
    <w:tbl>
      <w:tblPr>
        <w:tblStyle w:val="33"/>
        <w:tblW w:w="894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94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947" w:type="dxa"/>
          </w:tcPr>
          <w:p>
            <w:pPr>
              <w:spacing w:before="156" w:beforeLines="50" w:after="156" w:afterLines="50" w:line="288"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w:t>
            </w:r>
            <w:r>
              <w:rPr>
                <w:rFonts w:hint="eastAsia" w:cs="Times New Roman"/>
                <w:b/>
                <w:bCs/>
                <w:color w:val="auto"/>
                <w:sz w:val="24"/>
                <w:szCs w:val="24"/>
                <w:lang w:eastAsia="zh-CN"/>
              </w:rPr>
              <w:t>、</w:t>
            </w:r>
            <w:r>
              <w:rPr>
                <w:rFonts w:hint="default" w:ascii="Times New Roman" w:hAnsi="Times New Roman" w:cs="Times New Roman"/>
                <w:b/>
                <w:bCs/>
                <w:color w:val="auto"/>
                <w:sz w:val="24"/>
                <w:szCs w:val="24"/>
              </w:rPr>
              <w:t xml:space="preserve"> 项目概况</w:t>
            </w:r>
          </w:p>
          <w:p>
            <w:pPr>
              <w:spacing w:line="360" w:lineRule="auto"/>
              <w:ind w:firstLine="560"/>
              <w:rPr>
                <w:rFonts w:hint="default" w:ascii="Times New Roman" w:hAnsi="Times New Roman" w:cs="Times New Roman"/>
                <w:color w:val="auto"/>
                <w:sz w:val="24"/>
                <w:szCs w:val="22"/>
              </w:rPr>
            </w:pPr>
            <w:r>
              <w:rPr>
                <w:rFonts w:hint="default" w:ascii="Times New Roman" w:hAnsi="Times New Roman" w:cs="Times New Roman"/>
                <w:color w:val="auto"/>
                <w:kern w:val="2"/>
                <w:sz w:val="24"/>
                <w:szCs w:val="24"/>
              </w:rPr>
              <w:t>项目建设地点位于同秀路7km处路南，同江垃圾处理场内原有渗滤液处理间东侧空地。</w:t>
            </w:r>
            <w:r>
              <w:rPr>
                <w:rFonts w:hint="default" w:ascii="Times New Roman" w:hAnsi="Times New Roman" w:cs="Times New Roman"/>
                <w:color w:val="auto"/>
                <w:sz w:val="24"/>
                <w:szCs w:val="22"/>
              </w:rPr>
              <w:t>经纬度：东经：132°37′54.22″，北纬：47°38′55.64″。占地面积</w:t>
            </w:r>
            <w:r>
              <w:rPr>
                <w:rFonts w:hint="default" w:ascii="Times New Roman" w:hAnsi="Times New Roman" w:cs="Times New Roman"/>
                <w:color w:val="auto"/>
                <w:sz w:val="24"/>
                <w:szCs w:val="22"/>
                <w:lang w:val="en-US" w:eastAsia="zh-CN"/>
              </w:rPr>
              <w:t>326.4m</w:t>
            </w:r>
            <w:r>
              <w:rPr>
                <w:rFonts w:hint="default" w:ascii="Times New Roman" w:hAnsi="Times New Roman" w:cs="Times New Roman"/>
                <w:color w:val="auto"/>
                <w:sz w:val="24"/>
                <w:szCs w:val="22"/>
                <w:vertAlign w:val="superscript"/>
                <w:lang w:val="en-US" w:eastAsia="zh-CN"/>
              </w:rPr>
              <w:t>2</w:t>
            </w:r>
            <w:r>
              <w:rPr>
                <w:rFonts w:hint="default" w:ascii="Times New Roman" w:hAnsi="Times New Roman" w:cs="Times New Roman"/>
                <w:color w:val="auto"/>
                <w:sz w:val="24"/>
                <w:szCs w:val="22"/>
                <w:lang w:val="en-US" w:eastAsia="zh-CN"/>
              </w:rPr>
              <w:t>。</w:t>
            </w:r>
            <w:r>
              <w:rPr>
                <w:rFonts w:hint="default" w:ascii="Times New Roman" w:hAnsi="Times New Roman" w:cs="Times New Roman"/>
                <w:color w:val="auto"/>
                <w:sz w:val="24"/>
                <w:szCs w:val="24"/>
              </w:rPr>
              <w:t>项目总投资</w:t>
            </w:r>
            <w:r>
              <w:rPr>
                <w:rFonts w:hint="default" w:ascii="Times New Roman" w:hAnsi="Times New Roman" w:cs="Times New Roman"/>
                <w:color w:val="auto"/>
                <w:sz w:val="24"/>
                <w:szCs w:val="22"/>
                <w:lang w:val="en-US" w:eastAsia="zh-CN"/>
              </w:rPr>
              <w:t>1483.46</w:t>
            </w:r>
            <w:r>
              <w:rPr>
                <w:rFonts w:hint="default" w:ascii="Times New Roman" w:hAnsi="Times New Roman" w:cs="Times New Roman"/>
                <w:color w:val="auto"/>
                <w:sz w:val="24"/>
                <w:szCs w:val="22"/>
              </w:rPr>
              <w:t>万元</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2"/>
                <w:lang w:val="en-US" w:eastAsia="zh-CN"/>
              </w:rPr>
              <w:t>渗滤液</w:t>
            </w:r>
            <w:r>
              <w:rPr>
                <w:rFonts w:hint="default" w:ascii="Times New Roman" w:hAnsi="Times New Roman" w:cs="Times New Roman"/>
                <w:color w:val="auto"/>
                <w:sz w:val="24"/>
                <w:szCs w:val="22"/>
              </w:rPr>
              <w:t>处理</w:t>
            </w:r>
            <w:r>
              <w:rPr>
                <w:rFonts w:hint="default" w:ascii="Times New Roman" w:hAnsi="Times New Roman" w:cs="Times New Roman"/>
                <w:color w:val="auto"/>
                <w:sz w:val="24"/>
                <w:szCs w:val="22"/>
                <w:lang w:val="en-US" w:eastAsia="zh-CN"/>
              </w:rPr>
              <w:t>规模为</w:t>
            </w:r>
            <w:r>
              <w:rPr>
                <w:rFonts w:hint="default" w:ascii="Times New Roman" w:hAnsi="Times New Roman" w:cs="Times New Roman"/>
                <w:color w:val="auto"/>
                <w:sz w:val="24"/>
                <w:szCs w:val="22"/>
              </w:rPr>
              <w:t>200m</w:t>
            </w:r>
            <w:r>
              <w:rPr>
                <w:rFonts w:hint="default" w:ascii="Times New Roman" w:hAnsi="Times New Roman" w:cs="Times New Roman"/>
                <w:color w:val="auto"/>
                <w:sz w:val="24"/>
                <w:szCs w:val="22"/>
                <w:vertAlign w:val="superscript"/>
              </w:rPr>
              <w:t>3</w:t>
            </w:r>
            <w:r>
              <w:rPr>
                <w:rFonts w:hint="default" w:ascii="Times New Roman" w:hAnsi="Times New Roman" w:cs="Times New Roman"/>
                <w:color w:val="auto"/>
                <w:sz w:val="24"/>
                <w:szCs w:val="22"/>
              </w:rPr>
              <w:t>/d。同江市城市生活垃圾处理场渗沥液站改造工程主要包括新建渗滤液处理间1座，增加气浮机、两级DTRO处理设备处理工艺设备。</w:t>
            </w:r>
            <w:r>
              <w:rPr>
                <w:rFonts w:hint="default" w:ascii="Times New Roman" w:hAnsi="Times New Roman" w:cs="Times New Roman"/>
                <w:color w:val="auto"/>
                <w:sz w:val="24"/>
                <w:szCs w:val="22"/>
                <w:lang w:val="en-US" w:eastAsia="zh-CN"/>
              </w:rPr>
              <w:t>原渗滤液处理车间不变，作为事故或设备检修时备用处理车间。</w:t>
            </w:r>
          </w:p>
          <w:p>
            <w:pPr>
              <w:spacing w:line="360" w:lineRule="auto"/>
              <w:rPr>
                <w:rFonts w:hint="default" w:ascii="Times New Roman" w:hAnsi="Times New Roman" w:cs="Times New Roman"/>
                <w:color w:val="auto"/>
              </w:rPr>
            </w:pPr>
            <w:r>
              <w:rPr>
                <w:rFonts w:hint="default" w:ascii="Times New Roman" w:hAnsi="Times New Roman" w:cs="Times New Roman"/>
                <w:color w:val="auto"/>
                <w:sz w:val="24"/>
                <w:szCs w:val="22"/>
              </w:rPr>
              <w:t>处理工艺：渗滤液→调节池→气浮设备→原水灌→两级DTRO系统→达标排放。</w:t>
            </w:r>
          </w:p>
          <w:p>
            <w:pPr>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出水水质满足《城镇污水处理厂污染物排放标准》（GB 18918-2002）中的一级A标准，</w:t>
            </w:r>
            <w:r>
              <w:rPr>
                <w:rFonts w:hint="default" w:ascii="Times New Roman" w:hAnsi="Times New Roman" w:cs="Times New Roman"/>
                <w:color w:val="auto"/>
                <w:sz w:val="24"/>
                <w:szCs w:val="24"/>
                <w:lang w:val="en-US" w:eastAsia="zh-CN"/>
              </w:rPr>
              <w:t>渗滤液</w:t>
            </w:r>
            <w:r>
              <w:rPr>
                <w:rFonts w:hint="default" w:ascii="Times New Roman" w:hAnsi="Times New Roman" w:cs="Times New Roman"/>
                <w:color w:val="auto"/>
                <w:sz w:val="24"/>
                <w:szCs w:val="24"/>
              </w:rPr>
              <w:t>处理后</w:t>
            </w:r>
            <w:r>
              <w:rPr>
                <w:rFonts w:hint="default" w:ascii="Times New Roman" w:hAnsi="Times New Roman" w:cs="Times New Roman"/>
                <w:color w:val="auto"/>
                <w:sz w:val="24"/>
                <w:szCs w:val="24"/>
                <w:lang w:val="en-US" w:eastAsia="zh-CN"/>
              </w:rPr>
              <w:t>拉运至同江市洁源污水处理厂处置，出水满足</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生活垃圾填埋场污染控制标准</w:t>
            </w:r>
            <w:r>
              <w:rPr>
                <w:rFonts w:hint="default" w:ascii="Times New Roman" w:hAnsi="Times New Roman" w:cs="Times New Roman"/>
                <w:color w:val="auto"/>
                <w:sz w:val="24"/>
                <w:szCs w:val="24"/>
              </w:rPr>
              <w:t>》（GB</w:t>
            </w:r>
            <w:r>
              <w:rPr>
                <w:rFonts w:hint="default" w:ascii="Times New Roman" w:hAnsi="Times New Roman" w:cs="Times New Roman"/>
                <w:color w:val="auto"/>
                <w:sz w:val="24"/>
                <w:szCs w:val="24"/>
                <w:lang w:val="en-US" w:eastAsia="zh-CN"/>
              </w:rPr>
              <w:t>16889-2008</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中表2规定的水污染物排放浓度限值</w:t>
            </w:r>
            <w:r>
              <w:rPr>
                <w:rFonts w:hint="default" w:ascii="Times New Roman" w:hAnsi="Times New Roman" w:cs="Times New Roman"/>
                <w:color w:val="auto"/>
                <w:sz w:val="24"/>
                <w:szCs w:val="24"/>
              </w:rPr>
              <w:t>。</w:t>
            </w:r>
          </w:p>
          <w:p>
            <w:pPr>
              <w:snapToGrid w:val="0"/>
              <w:spacing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2 </w:t>
            </w:r>
            <w:r>
              <w:rPr>
                <w:rFonts w:hint="eastAsia" w:cs="Times New Roman"/>
                <w:b/>
                <w:bCs/>
                <w:color w:val="auto"/>
                <w:sz w:val="24"/>
                <w:szCs w:val="24"/>
                <w:lang w:eastAsia="zh-CN"/>
              </w:rPr>
              <w:t>、</w:t>
            </w:r>
            <w:r>
              <w:rPr>
                <w:rFonts w:hint="default" w:ascii="Times New Roman" w:hAnsi="Times New Roman" w:cs="Times New Roman"/>
                <w:b/>
                <w:bCs/>
                <w:color w:val="auto"/>
                <w:sz w:val="24"/>
                <w:szCs w:val="24"/>
              </w:rPr>
              <w:t>产业政策符合性</w:t>
            </w:r>
          </w:p>
          <w:p>
            <w:pPr>
              <w:pStyle w:val="89"/>
              <w:snapToGrid w:val="0"/>
              <w:spacing w:line="360" w:lineRule="auto"/>
              <w:rPr>
                <w:rFonts w:hint="default" w:ascii="Times New Roman" w:hAnsi="Times New Roman" w:cs="Times New Roman"/>
                <w:color w:val="auto"/>
                <w:szCs w:val="24"/>
              </w:rPr>
            </w:pPr>
            <w:r>
              <w:rPr>
                <w:rFonts w:hint="default" w:ascii="Times New Roman" w:hAnsi="Times New Roman" w:cs="Times New Roman"/>
                <w:color w:val="auto"/>
                <w:sz w:val="24"/>
                <w:szCs w:val="24"/>
              </w:rPr>
              <w:t>本项目属于</w:t>
            </w:r>
            <w:r>
              <w:rPr>
                <w:rFonts w:hint="default" w:ascii="Times New Roman" w:hAnsi="Times New Roman" w:cs="Times New Roman"/>
                <w:color w:val="auto"/>
                <w:sz w:val="24"/>
                <w:szCs w:val="24"/>
                <w:lang w:val="en-US" w:eastAsia="zh-CN"/>
              </w:rPr>
              <w:t>渗滤液处理</w:t>
            </w:r>
            <w:r>
              <w:rPr>
                <w:rFonts w:hint="default" w:ascii="Times New Roman" w:hAnsi="Times New Roman" w:cs="Times New Roman"/>
                <w:color w:val="auto"/>
                <w:sz w:val="24"/>
                <w:szCs w:val="24"/>
              </w:rPr>
              <w:t>项目</w:t>
            </w:r>
            <w:r>
              <w:rPr>
                <w:rFonts w:hint="default" w:ascii="Times New Roman" w:hAnsi="Times New Roman" w:cs="Times New Roman"/>
                <w:color w:val="auto"/>
                <w:szCs w:val="24"/>
              </w:rPr>
              <w:t>，根据国家发展和改革委员会《产业结构调整指导目录（2011年本）》（</w:t>
            </w:r>
            <w:r>
              <w:rPr>
                <w:rFonts w:hint="default" w:ascii="Times New Roman" w:hAnsi="Times New Roman" w:cs="Times New Roman"/>
                <w:color w:val="auto"/>
                <w:szCs w:val="24"/>
                <w:lang w:val="en-US" w:eastAsia="zh-CN"/>
              </w:rPr>
              <w:t>2019</w:t>
            </w:r>
            <w:r>
              <w:rPr>
                <w:rFonts w:hint="default" w:ascii="Times New Roman" w:hAnsi="Times New Roman" w:cs="Times New Roman"/>
                <w:color w:val="auto"/>
                <w:szCs w:val="24"/>
              </w:rPr>
              <w:t xml:space="preserve">修正），本项目属于鼓励类“三十八、环境保护与资源节约综合利用中15 ‘三废综合利用及治理工程’”，属国家鼓励类项目。 </w:t>
            </w:r>
          </w:p>
          <w:p>
            <w:pPr>
              <w:snapToGrid w:val="0"/>
              <w:spacing w:line="360" w:lineRule="auto"/>
              <w:ind w:firstLine="480" w:firstLineChars="200"/>
              <w:rPr>
                <w:rFonts w:hint="default" w:ascii="Times New Roman" w:hAnsi="Times New Roman" w:eastAsia="宋体" w:cs="Times New Roman"/>
                <w:color w:val="auto"/>
                <w:kern w:val="2"/>
                <w:sz w:val="24"/>
                <w:szCs w:val="24"/>
                <w:lang w:eastAsia="zh-CN"/>
              </w:rPr>
            </w:pPr>
            <w:r>
              <w:rPr>
                <w:rFonts w:hint="default" w:ascii="Times New Roman" w:hAnsi="Times New Roman" w:cs="Times New Roman"/>
                <w:color w:val="auto"/>
                <w:kern w:val="2"/>
                <w:sz w:val="24"/>
                <w:szCs w:val="24"/>
              </w:rPr>
              <w:t>项目符合三线一单中相关要求</w:t>
            </w:r>
            <w:r>
              <w:rPr>
                <w:rFonts w:hint="default" w:ascii="Times New Roman" w:hAnsi="Times New Roman" w:cs="Times New Roman"/>
                <w:color w:val="auto"/>
                <w:kern w:val="2"/>
                <w:sz w:val="24"/>
                <w:szCs w:val="24"/>
                <w:lang w:eastAsia="zh-CN"/>
              </w:rPr>
              <w:t>。</w:t>
            </w:r>
          </w:p>
          <w:p>
            <w:pPr>
              <w:pStyle w:val="41"/>
              <w:snapToGrid w:val="0"/>
              <w:spacing w:line="360" w:lineRule="auto"/>
              <w:rPr>
                <w:rFonts w:hint="default" w:ascii="Times New Roman" w:hAnsi="Times New Roman" w:cs="Times New Roman"/>
                <w:b/>
                <w:bCs/>
                <w:color w:val="auto"/>
              </w:rPr>
            </w:pPr>
            <w:r>
              <w:rPr>
                <w:rFonts w:hint="default" w:ascii="Times New Roman" w:hAnsi="Times New Roman" w:cs="Times New Roman"/>
                <w:b/>
                <w:bCs/>
                <w:color w:val="auto"/>
              </w:rPr>
              <w:t>3</w:t>
            </w:r>
            <w:r>
              <w:rPr>
                <w:rFonts w:hint="eastAsia" w:ascii="Times New Roman" w:cs="Times New Roman"/>
                <w:b/>
                <w:bCs/>
                <w:color w:val="auto"/>
                <w:lang w:eastAsia="zh-CN"/>
              </w:rPr>
              <w:t>、</w:t>
            </w:r>
            <w:r>
              <w:rPr>
                <w:rFonts w:hint="default" w:ascii="Times New Roman" w:hAnsi="Times New Roman" w:cs="Times New Roman"/>
                <w:b/>
                <w:bCs/>
                <w:color w:val="auto"/>
              </w:rPr>
              <w:t xml:space="preserve"> 选址合理性</w:t>
            </w:r>
          </w:p>
          <w:p>
            <w:pPr>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kern w:val="2"/>
                <w:sz w:val="24"/>
                <w:szCs w:val="24"/>
              </w:rPr>
              <w:t>项目建设地点位于同秀路7km处路南，同江垃圾处理场内原有渗滤液处理间东侧空地。</w:t>
            </w:r>
            <w:r>
              <w:rPr>
                <w:rFonts w:hint="default" w:ascii="Times New Roman" w:hAnsi="Times New Roman" w:cs="Times New Roman"/>
                <w:color w:val="auto"/>
                <w:sz w:val="24"/>
                <w:szCs w:val="22"/>
              </w:rPr>
              <w:t>经纬度：东经：132°37′54.22″，北纬：47°38′55.64″。垃圾填埋场北侧为同秀公路，其余三侧均为农田。新建</w:t>
            </w:r>
            <w:r>
              <w:rPr>
                <w:rFonts w:hint="default" w:ascii="Times New Roman" w:hAnsi="Times New Roman" w:cs="Times New Roman"/>
                <w:color w:val="auto"/>
                <w:sz w:val="24"/>
                <w:szCs w:val="24"/>
              </w:rPr>
              <w:t>渗滤液处理车间位于垃圾填埋场厂内，位于原有渗滤液处理车间东侧，贴原处理车间建设。新建渗滤液处理车间北侧为同秀公路，西侧为原垃圾渗滤液处理车间，南侧为填埋区，东侧为调节池。利用垃圾填埋场原有土地，不新增占地。</w:t>
            </w:r>
          </w:p>
          <w:p>
            <w:pPr>
              <w:pStyle w:val="89"/>
              <w:spacing w:line="360" w:lineRule="auto"/>
              <w:rPr>
                <w:rFonts w:hint="default" w:ascii="Times New Roman" w:hAnsi="Times New Roman" w:cs="Times New Roman"/>
                <w:color w:val="auto"/>
              </w:rPr>
            </w:pPr>
            <w:r>
              <w:rPr>
                <w:rFonts w:hint="default" w:ascii="Times New Roman" w:hAnsi="Times New Roman" w:cs="Times New Roman"/>
                <w:color w:val="auto"/>
              </w:rPr>
              <w:t>本项目项目所在地安无拆迁问题，不涉及移民安置，占地周围无居民区，施工期间不受影响。项目用地区域周边没有自然保护区、风景游览区、名胜古迹、生态脆弱敏感区。</w:t>
            </w:r>
          </w:p>
          <w:p>
            <w:pPr>
              <w:pStyle w:val="41"/>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综上所述，项目选址合理可行。。</w:t>
            </w:r>
          </w:p>
          <w:p>
            <w:pPr>
              <w:spacing w:before="156" w:beforeLines="50" w:after="156" w:afterLines="50"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4 </w:t>
            </w:r>
            <w:r>
              <w:rPr>
                <w:rFonts w:hint="eastAsia" w:cs="Times New Roman"/>
                <w:b/>
                <w:bCs/>
                <w:color w:val="auto"/>
                <w:sz w:val="24"/>
                <w:szCs w:val="24"/>
                <w:lang w:eastAsia="zh-CN"/>
              </w:rPr>
              <w:t>、</w:t>
            </w:r>
            <w:r>
              <w:rPr>
                <w:rFonts w:hint="default" w:ascii="Times New Roman" w:hAnsi="Times New Roman" w:cs="Times New Roman"/>
                <w:b/>
                <w:bCs/>
                <w:color w:val="auto"/>
                <w:sz w:val="24"/>
                <w:szCs w:val="24"/>
              </w:rPr>
              <w:t>所在区域环境质量现状</w:t>
            </w:r>
          </w:p>
          <w:p>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（1）空气环境质量现状</w:t>
            </w:r>
          </w:p>
          <w:p>
            <w:pPr>
              <w:snapToGrid w:val="0"/>
              <w:spacing w:line="360" w:lineRule="auto"/>
              <w:ind w:firstLine="420" w:firstLineChars="200"/>
              <w:rPr>
                <w:rFonts w:hint="default" w:ascii="Times New Roman" w:hAnsi="Times New Roman" w:cs="Times New Roman"/>
                <w:color w:val="auto"/>
                <w:sz w:val="24"/>
                <w:szCs w:val="24"/>
              </w:rPr>
            </w:pPr>
            <w:r>
              <w:rPr>
                <w:rFonts w:hint="default" w:ascii="Times New Roman" w:hAnsi="Times New Roman" w:cs="Times New Roman"/>
                <w:b w:val="0"/>
                <w:bCs/>
                <w:color w:val="auto"/>
                <w:kern w:val="2"/>
                <w:szCs w:val="24"/>
              </w:rPr>
              <w:t>本项目所在地为环境空气质量二类功能区，评价标准执行《环境空气质量标准》（GB3095-2012）二级标准及修改单。</w:t>
            </w:r>
            <w:r>
              <w:rPr>
                <w:rStyle w:val="61"/>
                <w:rFonts w:hint="default" w:ascii="Times New Roman" w:hAnsi="Times New Roman" w:cs="Times New Roman"/>
                <w:b w:val="0"/>
                <w:bCs/>
                <w:color w:val="auto"/>
              </w:rPr>
              <w:t>根据中国环境影响评价网环境空气质量模型技术支持服务系统平台提供的达标区判定数据可知，佳木斯市2019年SO</w:t>
            </w:r>
            <w:r>
              <w:rPr>
                <w:rStyle w:val="61"/>
                <w:rFonts w:hint="default" w:ascii="Times New Roman" w:hAnsi="Times New Roman" w:cs="Times New Roman"/>
                <w:b w:val="0"/>
                <w:bCs/>
                <w:color w:val="auto"/>
                <w:vertAlign w:val="subscript"/>
              </w:rPr>
              <w:t>2</w:t>
            </w:r>
            <w:r>
              <w:rPr>
                <w:rStyle w:val="61"/>
                <w:rFonts w:hint="default" w:ascii="Times New Roman" w:hAnsi="Times New Roman" w:cs="Times New Roman"/>
                <w:b w:val="0"/>
                <w:bCs/>
                <w:color w:val="auto"/>
              </w:rPr>
              <w:t>、NO</w:t>
            </w:r>
            <w:r>
              <w:rPr>
                <w:rStyle w:val="61"/>
                <w:rFonts w:hint="default" w:ascii="Times New Roman" w:hAnsi="Times New Roman" w:cs="Times New Roman"/>
                <w:b w:val="0"/>
                <w:bCs/>
                <w:color w:val="auto"/>
                <w:vertAlign w:val="subscript"/>
              </w:rPr>
              <w:t>2</w:t>
            </w:r>
            <w:r>
              <w:rPr>
                <w:rStyle w:val="61"/>
                <w:rFonts w:hint="default" w:ascii="Times New Roman" w:hAnsi="Times New Roman" w:cs="Times New Roman"/>
                <w:b w:val="0"/>
                <w:bCs/>
                <w:color w:val="auto"/>
              </w:rPr>
              <w:t>、PM</w:t>
            </w:r>
            <w:r>
              <w:rPr>
                <w:rStyle w:val="61"/>
                <w:rFonts w:hint="default" w:ascii="Times New Roman" w:hAnsi="Times New Roman" w:cs="Times New Roman"/>
                <w:b w:val="0"/>
                <w:bCs/>
                <w:color w:val="auto"/>
                <w:vertAlign w:val="subscript"/>
              </w:rPr>
              <w:t>10</w:t>
            </w:r>
            <w:r>
              <w:rPr>
                <w:rStyle w:val="61"/>
                <w:rFonts w:hint="default" w:ascii="Times New Roman" w:hAnsi="Times New Roman" w:cs="Times New Roman"/>
                <w:b w:val="0"/>
                <w:bCs/>
                <w:color w:val="auto"/>
              </w:rPr>
              <w:t>、PM</w:t>
            </w:r>
            <w:r>
              <w:rPr>
                <w:rStyle w:val="61"/>
                <w:rFonts w:hint="default" w:ascii="Times New Roman" w:hAnsi="Times New Roman" w:cs="Times New Roman"/>
                <w:b w:val="0"/>
                <w:bCs/>
                <w:color w:val="auto"/>
                <w:vertAlign w:val="subscript"/>
              </w:rPr>
              <w:t>2.5</w:t>
            </w:r>
            <w:r>
              <w:rPr>
                <w:rStyle w:val="61"/>
                <w:rFonts w:hint="default" w:ascii="Times New Roman" w:hAnsi="Times New Roman" w:cs="Times New Roman"/>
                <w:b w:val="0"/>
                <w:bCs/>
                <w:color w:val="auto"/>
              </w:rPr>
              <w:t>年均浓度分别为8 ug/m</w:t>
            </w:r>
            <w:r>
              <w:rPr>
                <w:rStyle w:val="61"/>
                <w:rFonts w:hint="default" w:ascii="Times New Roman" w:hAnsi="Times New Roman" w:cs="Times New Roman"/>
                <w:b w:val="0"/>
                <w:bCs/>
                <w:color w:val="auto"/>
                <w:vertAlign w:val="superscript"/>
              </w:rPr>
              <w:t>3</w:t>
            </w:r>
            <w:r>
              <w:rPr>
                <w:rStyle w:val="61"/>
                <w:rFonts w:hint="default" w:ascii="Times New Roman" w:hAnsi="Times New Roman" w:cs="Times New Roman"/>
                <w:b w:val="0"/>
                <w:bCs/>
                <w:color w:val="auto"/>
              </w:rPr>
              <w:t>、18 ug/m</w:t>
            </w:r>
            <w:r>
              <w:rPr>
                <w:rStyle w:val="61"/>
                <w:rFonts w:hint="default" w:ascii="Times New Roman" w:hAnsi="Times New Roman" w:cs="Times New Roman"/>
                <w:b w:val="0"/>
                <w:bCs/>
                <w:color w:val="auto"/>
                <w:vertAlign w:val="superscript"/>
              </w:rPr>
              <w:t>3</w:t>
            </w:r>
            <w:r>
              <w:rPr>
                <w:rStyle w:val="61"/>
                <w:rFonts w:hint="default" w:ascii="Times New Roman" w:hAnsi="Times New Roman" w:cs="Times New Roman"/>
                <w:b w:val="0"/>
                <w:bCs/>
                <w:color w:val="auto"/>
              </w:rPr>
              <w:t>、44 ug/m</w:t>
            </w:r>
            <w:r>
              <w:rPr>
                <w:rStyle w:val="61"/>
                <w:rFonts w:hint="default" w:ascii="Times New Roman" w:hAnsi="Times New Roman" w:cs="Times New Roman"/>
                <w:b w:val="0"/>
                <w:bCs/>
                <w:color w:val="auto"/>
                <w:vertAlign w:val="superscript"/>
              </w:rPr>
              <w:t>3</w:t>
            </w:r>
            <w:r>
              <w:rPr>
                <w:rStyle w:val="61"/>
                <w:rFonts w:hint="default" w:ascii="Times New Roman" w:hAnsi="Times New Roman" w:cs="Times New Roman"/>
                <w:b w:val="0"/>
                <w:bCs/>
                <w:color w:val="auto"/>
              </w:rPr>
              <w:t>、28 ug/m</w:t>
            </w:r>
            <w:r>
              <w:rPr>
                <w:rStyle w:val="61"/>
                <w:rFonts w:hint="default" w:ascii="Times New Roman" w:hAnsi="Times New Roman" w:cs="Times New Roman"/>
                <w:b w:val="0"/>
                <w:bCs/>
                <w:color w:val="auto"/>
                <w:vertAlign w:val="superscript"/>
              </w:rPr>
              <w:t>3</w:t>
            </w:r>
            <w:r>
              <w:rPr>
                <w:rStyle w:val="61"/>
                <w:rFonts w:hint="default" w:ascii="Times New Roman" w:hAnsi="Times New Roman" w:cs="Times New Roman"/>
                <w:b w:val="0"/>
                <w:bCs/>
                <w:color w:val="auto"/>
              </w:rPr>
              <w:t>；CO 24小时平均第95百分位数为1mg/m</w:t>
            </w:r>
            <w:r>
              <w:rPr>
                <w:rStyle w:val="61"/>
                <w:rFonts w:hint="default" w:ascii="Times New Roman" w:hAnsi="Times New Roman" w:cs="Times New Roman"/>
                <w:b w:val="0"/>
                <w:bCs/>
                <w:color w:val="auto"/>
                <w:vertAlign w:val="superscript"/>
              </w:rPr>
              <w:t>3</w:t>
            </w:r>
            <w:r>
              <w:rPr>
                <w:rStyle w:val="61"/>
                <w:rFonts w:hint="default" w:ascii="Times New Roman" w:hAnsi="Times New Roman" w:cs="Times New Roman"/>
                <w:b w:val="0"/>
                <w:bCs/>
                <w:color w:val="auto"/>
              </w:rPr>
              <w:t>，O</w:t>
            </w:r>
            <w:r>
              <w:rPr>
                <w:rStyle w:val="61"/>
                <w:rFonts w:hint="default" w:ascii="Times New Roman" w:hAnsi="Times New Roman" w:cs="Times New Roman"/>
                <w:b w:val="0"/>
                <w:bCs/>
                <w:color w:val="auto"/>
                <w:vertAlign w:val="subscript"/>
              </w:rPr>
              <w:t>3</w:t>
            </w:r>
            <w:r>
              <w:rPr>
                <w:rStyle w:val="61"/>
                <w:rFonts w:hint="default" w:ascii="Times New Roman" w:hAnsi="Times New Roman" w:cs="Times New Roman"/>
                <w:b w:val="0"/>
                <w:bCs/>
                <w:color w:val="auto"/>
              </w:rPr>
              <w:t>日最大8小时平均第90百分位数为103 ug/m</w:t>
            </w:r>
            <w:r>
              <w:rPr>
                <w:rStyle w:val="61"/>
                <w:rFonts w:hint="default" w:ascii="Times New Roman" w:hAnsi="Times New Roman" w:cs="Times New Roman"/>
                <w:b w:val="0"/>
                <w:bCs/>
                <w:color w:val="auto"/>
                <w:vertAlign w:val="superscript"/>
              </w:rPr>
              <w:t>3</w:t>
            </w:r>
            <w:r>
              <w:rPr>
                <w:rStyle w:val="61"/>
                <w:rFonts w:hint="default" w:ascii="Times New Roman" w:hAnsi="Times New Roman" w:cs="Times New Roman"/>
                <w:b w:val="0"/>
                <w:bCs/>
                <w:color w:val="auto"/>
              </w:rPr>
              <w:t>；各污染物平均浓度均优于《环境空气质量标准》（GB3095-2012）中二级标准限值根据《环境影响评价技术导则 大气环境》（HJ2.2-2018）规定，本项目所在区域属于达标区</w:t>
            </w:r>
            <w:r>
              <w:rPr>
                <w:rFonts w:hint="default" w:ascii="Times New Roman" w:hAnsi="Times New Roman" w:cs="Times New Roman"/>
                <w:color w:val="auto"/>
                <w:sz w:val="24"/>
                <w:szCs w:val="24"/>
              </w:rPr>
              <w:t>。</w:t>
            </w:r>
          </w:p>
          <w:p>
            <w:pPr>
              <w:spacing w:before="156" w:beforeLines="50"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监测点的NH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S均符合《环境影响评价技术导则 大气环境》(HJ2.2-2018)附录D中表D.1其他污染物空气质量浓度参考限值要求。</w:t>
            </w:r>
            <w:r>
              <w:rPr>
                <w:rFonts w:hint="default" w:ascii="Times New Roman" w:hAnsi="Times New Roman" w:cs="Times New Roman"/>
                <w:color w:val="auto"/>
                <w:sz w:val="24"/>
                <w:szCs w:val="24"/>
                <w:lang w:val="en-US" w:eastAsia="zh-CN"/>
              </w:rPr>
              <w:t>监测点的</w:t>
            </w:r>
            <w:r>
              <w:rPr>
                <w:rFonts w:hint="default" w:ascii="Times New Roman" w:hAnsi="Times New Roman" w:cs="Times New Roman"/>
                <w:color w:val="auto"/>
                <w:sz w:val="24"/>
                <w:szCs w:val="24"/>
              </w:rPr>
              <w:t>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S</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臭气浓度能够满足</w:t>
            </w:r>
            <w:r>
              <w:rPr>
                <w:rFonts w:hint="default" w:ascii="Times New Roman" w:hAnsi="Times New Roman" w:cs="Times New Roman"/>
                <w:color w:val="auto"/>
                <w:sz w:val="24"/>
              </w:rPr>
              <w:t>《恶臭污染物排放标准》（GB14554-93）</w:t>
            </w:r>
            <w:r>
              <w:rPr>
                <w:rFonts w:hint="default" w:ascii="Times New Roman" w:hAnsi="Times New Roman" w:cs="Times New Roman"/>
                <w:color w:val="auto"/>
                <w:sz w:val="24"/>
                <w:lang w:val="en-US" w:eastAsia="zh-CN"/>
              </w:rPr>
              <w:t>无组织排放限值要求。</w:t>
            </w:r>
          </w:p>
          <w:p>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（2）地表水环境质量现状</w:t>
            </w:r>
          </w:p>
          <w:p>
            <w:pPr>
              <w:autoSpaceDE w:val="0"/>
              <w:autoSpaceDN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2018年佳木斯市环境质量简报》，依据《地表水环境质量标准》（GB3838－2002）及《地表水环境质量评价办法（试行）》环办[2011]22号文件，对松花江佳木斯段及各断面水质进行评价，结果显示：2018年松花江佳木斯段干流水质达到Ⅲ类，水质状况良好；支流汤旺河口内、梧桐河口断面水质类别均为Ⅲ类，满足其水体使用功能。根据《2019年黑龙江省生态环境状况公报》，松花江干流同江断面高锰酸盐指数、化学需氧量均能达到Ⅲ类，水质状况良好。</w:t>
            </w:r>
          </w:p>
          <w:p>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（3）地下水质量现状</w:t>
            </w:r>
          </w:p>
          <w:p>
            <w:pPr>
              <w:pStyle w:val="117"/>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区域地下水</w:t>
            </w:r>
            <w:r>
              <w:rPr>
                <w:rFonts w:hint="default" w:ascii="Times New Roman" w:hAnsi="Times New Roman" w:eastAsia="宋体" w:cs="Times New Roman"/>
                <w:color w:val="auto"/>
                <w:sz w:val="24"/>
                <w:szCs w:val="24"/>
                <w:lang w:val="en-US" w:eastAsia="zh-CN"/>
              </w:rPr>
              <w:t>铁锰超标，氨氮超标，</w:t>
            </w:r>
            <w:r>
              <w:rPr>
                <w:rFonts w:hint="default" w:ascii="Times New Roman" w:hAnsi="Times New Roman" w:eastAsia="宋体" w:cs="Times New Roman"/>
                <w:color w:val="auto"/>
                <w:sz w:val="24"/>
                <w:szCs w:val="24"/>
              </w:rPr>
              <w:t>铁锰超标属于地质问题</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氨氮超标分析原因为农业面源污染</w:t>
            </w:r>
            <w:r>
              <w:rPr>
                <w:rFonts w:hint="default" w:ascii="Times New Roman" w:hAnsi="Times New Roman" w:eastAsia="宋体" w:cs="Times New Roman"/>
                <w:color w:val="auto"/>
                <w:sz w:val="24"/>
                <w:szCs w:val="24"/>
              </w:rPr>
              <w:t>，其余所有指标均满足《地下水质量标准（GB/T14848－2017）》中Ⅲ类标准。</w:t>
            </w:r>
            <w:r>
              <w:rPr>
                <w:rFonts w:hint="default" w:ascii="Times New Roman" w:hAnsi="Times New Roman" w:eastAsia="宋体" w:cs="Times New Roman"/>
                <w:color w:val="auto"/>
                <w:sz w:val="24"/>
                <w:szCs w:val="24"/>
                <w:lang w:val="en-US" w:eastAsia="zh-CN"/>
              </w:rPr>
              <w:t>通过对包气带监测，监测结果对照背景值，包气带未受到污染。</w:t>
            </w:r>
            <w:r>
              <w:rPr>
                <w:rFonts w:hint="default" w:ascii="Times New Roman" w:hAnsi="Times New Roman" w:eastAsia="宋体" w:cs="Times New Roman"/>
                <w:color w:val="auto"/>
                <w:sz w:val="24"/>
                <w:szCs w:val="24"/>
              </w:rPr>
              <w:t>区域地下水化学类型主要HCO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vertAlign w:val="superscript"/>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vertAlign w:val="superscript"/>
              </w:rPr>
              <w:t xml:space="preserve"> +</w:t>
            </w:r>
            <w:r>
              <w:rPr>
                <w:rFonts w:hint="default" w:ascii="Times New Roman" w:hAnsi="Times New Roman" w:eastAsia="宋体" w:cs="Times New Roman"/>
                <w:color w:val="auto"/>
                <w:sz w:val="24"/>
                <w:szCs w:val="24"/>
              </w:rPr>
              <w:t>Ca</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型水。</w:t>
            </w:r>
          </w:p>
          <w:p>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（4）声环境质量现状</w:t>
            </w:r>
          </w:p>
          <w:p>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声环境监测结果表明，项目厂界昼间、夜间环境噪声均满足《声环境质量标准》（GB3096-2008）2类标准要求。</w:t>
            </w:r>
          </w:p>
          <w:p>
            <w:pPr>
              <w:spacing w:before="156" w:beforeLines="50" w:after="156" w:afterLines="50" w:line="288"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5 </w:t>
            </w:r>
            <w:r>
              <w:rPr>
                <w:rFonts w:hint="eastAsia" w:cs="Times New Roman"/>
                <w:b/>
                <w:bCs/>
                <w:color w:val="auto"/>
                <w:sz w:val="24"/>
                <w:szCs w:val="24"/>
                <w:lang w:eastAsia="zh-CN"/>
              </w:rPr>
              <w:t>、</w:t>
            </w:r>
            <w:r>
              <w:rPr>
                <w:rFonts w:hint="default" w:ascii="Times New Roman" w:hAnsi="Times New Roman" w:cs="Times New Roman"/>
                <w:b/>
                <w:bCs/>
                <w:color w:val="auto"/>
                <w:sz w:val="24"/>
                <w:szCs w:val="24"/>
              </w:rPr>
              <w:t>环境影响分析及污染防治措施</w:t>
            </w:r>
          </w:p>
          <w:p>
            <w:pPr>
              <w:pStyle w:val="41"/>
              <w:snapToGrid w:val="0"/>
              <w:spacing w:line="360" w:lineRule="auto"/>
              <w:ind w:firstLine="482"/>
              <w:rPr>
                <w:rFonts w:hint="default" w:ascii="Times New Roman" w:hAnsi="Times New Roman" w:cs="Times New Roman"/>
                <w:color w:val="auto"/>
                <w:lang w:val="zh-TW"/>
              </w:rPr>
            </w:pPr>
            <w:r>
              <w:rPr>
                <w:rFonts w:hint="default" w:ascii="Times New Roman" w:hAnsi="Times New Roman" w:cs="Times New Roman"/>
                <w:color w:val="auto"/>
                <w:lang w:val="zh-TW"/>
              </w:rPr>
              <w:t>（1）大气环境影响</w:t>
            </w:r>
          </w:p>
          <w:p>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baseline"/>
              <w:rPr>
                <w:rFonts w:hint="default" w:ascii="Times New Roman" w:hAnsi="Times New Roman" w:cs="Times New Roman"/>
                <w:color w:val="auto"/>
                <w:sz w:val="24"/>
                <w:szCs w:val="24"/>
                <w:lang w:val="zh-TW"/>
              </w:rPr>
            </w:pPr>
            <w:r>
              <w:rPr>
                <w:rFonts w:hint="default" w:ascii="Times New Roman" w:hAnsi="Times New Roman" w:cs="Times New Roman"/>
                <w:color w:val="auto"/>
                <w:sz w:val="24"/>
                <w:szCs w:val="24"/>
                <w:lang w:val="en-US" w:eastAsia="zh-CN"/>
              </w:rPr>
              <w:t>渗漏液处理</w:t>
            </w:r>
            <w:r>
              <w:rPr>
                <w:rFonts w:hint="default" w:ascii="Times New Roman" w:hAnsi="Times New Roman" w:cs="Times New Roman"/>
                <w:color w:val="auto"/>
                <w:sz w:val="24"/>
                <w:szCs w:val="24"/>
              </w:rPr>
              <w:t>车间</w:t>
            </w:r>
            <w:r>
              <w:rPr>
                <w:rFonts w:hint="default" w:ascii="Times New Roman" w:hAnsi="Times New Roman" w:cs="Times New Roman"/>
                <w:color w:val="auto"/>
                <w:sz w:val="24"/>
                <w:szCs w:val="24"/>
                <w:lang w:val="en-US" w:eastAsia="zh-CN"/>
              </w:rPr>
              <w:t>密闭，各产生臭气点经臭气收集系统收集，车间密闭性较好，收集效率能够达到80%，</w:t>
            </w:r>
            <w:r>
              <w:rPr>
                <w:rFonts w:hint="default" w:ascii="Times New Roman" w:hAnsi="Times New Roman" w:cs="Times New Roman"/>
                <w:color w:val="auto"/>
                <w:sz w:val="24"/>
                <w:szCs w:val="24"/>
              </w:rPr>
              <w:t>收集后经高能离子除臭装置（去除效率≥</w:t>
            </w:r>
            <w:r>
              <w:rPr>
                <w:rFonts w:hint="default" w:ascii="Times New Roman" w:hAnsi="Times New Roman" w:cs="Times New Roman"/>
                <w:color w:val="auto"/>
                <w:sz w:val="24"/>
                <w:szCs w:val="24"/>
                <w:lang w:val="en-US" w:eastAsia="zh-CN"/>
              </w:rPr>
              <w:t>90</w:t>
            </w:r>
            <w:r>
              <w:rPr>
                <w:rFonts w:hint="default" w:ascii="Times New Roman" w:hAnsi="Times New Roman" w:cs="Times New Roman"/>
                <w:color w:val="auto"/>
                <w:sz w:val="24"/>
                <w:szCs w:val="24"/>
              </w:rPr>
              <w:t>%）处理后通过15m排气筒高空排放</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未被收集的气体无组织排放。</w:t>
            </w:r>
            <w:r>
              <w:rPr>
                <w:rFonts w:hint="default" w:ascii="Times New Roman" w:hAnsi="Times New Roman" w:cs="Times New Roman"/>
                <w:color w:val="auto"/>
                <w:sz w:val="24"/>
                <w:szCs w:val="24"/>
                <w:lang w:val="zh-TW"/>
              </w:rPr>
              <w:t>恶臭气体经处理后，H</w:t>
            </w:r>
            <w:r>
              <w:rPr>
                <w:rFonts w:hint="default" w:ascii="Times New Roman" w:hAnsi="Times New Roman" w:cs="Times New Roman"/>
                <w:color w:val="auto"/>
                <w:sz w:val="24"/>
                <w:szCs w:val="24"/>
                <w:vertAlign w:val="subscript"/>
                <w:lang w:val="zh-TW"/>
              </w:rPr>
              <w:t>2</w:t>
            </w:r>
            <w:r>
              <w:rPr>
                <w:rFonts w:hint="default" w:ascii="Times New Roman" w:hAnsi="Times New Roman" w:cs="Times New Roman"/>
                <w:color w:val="auto"/>
                <w:sz w:val="24"/>
                <w:szCs w:val="24"/>
                <w:lang w:val="zh-TW"/>
              </w:rPr>
              <w:t>S和NH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lang w:val="zh-TW" w:eastAsia="zh-TW"/>
              </w:rPr>
              <w:t>排放浓度及速率能够</w:t>
            </w:r>
            <w:r>
              <w:rPr>
                <w:rFonts w:hint="default" w:ascii="Times New Roman" w:hAnsi="Times New Roman" w:cs="Times New Roman"/>
                <w:color w:val="auto"/>
                <w:sz w:val="24"/>
                <w:szCs w:val="24"/>
                <w:lang w:val="zh-TW"/>
              </w:rPr>
              <w:t>达到</w:t>
            </w:r>
            <w:r>
              <w:rPr>
                <w:rFonts w:hint="default" w:ascii="Times New Roman" w:hAnsi="Times New Roman" w:cs="Times New Roman"/>
                <w:color w:val="auto"/>
                <w:sz w:val="24"/>
                <w:szCs w:val="24"/>
              </w:rPr>
              <w:t>《恶臭污染物排放标准》（GB14554-93）中排气筒高度15m规定的标准限值。</w:t>
            </w:r>
            <w:r>
              <w:rPr>
                <w:rFonts w:hint="default" w:ascii="Times New Roman" w:hAnsi="Times New Roman" w:cs="Times New Roman"/>
                <w:color w:val="auto"/>
                <w:sz w:val="24"/>
                <w:szCs w:val="24"/>
                <w:lang w:val="en-US" w:eastAsia="zh-CN"/>
              </w:rPr>
              <w:t>无组织排放能够满足</w:t>
            </w:r>
            <w:r>
              <w:rPr>
                <w:rFonts w:hint="default" w:ascii="Times New Roman" w:hAnsi="Times New Roman" w:cs="Times New Roman"/>
                <w:color w:val="auto"/>
                <w:sz w:val="24"/>
                <w:szCs w:val="24"/>
              </w:rPr>
              <w:t>《恶臭污染物排放标准》（GB14554-93）中</w:t>
            </w:r>
            <w:r>
              <w:rPr>
                <w:rFonts w:hint="default" w:ascii="Times New Roman" w:hAnsi="Times New Roman" w:cs="Times New Roman"/>
                <w:color w:val="auto"/>
                <w:sz w:val="24"/>
                <w:szCs w:val="24"/>
                <w:lang w:val="en-US" w:eastAsia="zh-CN"/>
              </w:rPr>
              <w:t>无组织排放限值，</w:t>
            </w:r>
            <w:r>
              <w:rPr>
                <w:rFonts w:hint="default" w:ascii="Times New Roman" w:hAnsi="Times New Roman" w:cs="Times New Roman"/>
                <w:color w:val="auto"/>
                <w:sz w:val="24"/>
                <w:szCs w:val="24"/>
              </w:rPr>
              <w:t>可以达标排放。</w:t>
            </w:r>
            <w:r>
              <w:rPr>
                <w:rFonts w:hint="default" w:ascii="Times New Roman" w:hAnsi="Times New Roman" w:cs="Times New Roman"/>
                <w:color w:val="auto"/>
                <w:sz w:val="24"/>
                <w:szCs w:val="24"/>
                <w:lang w:val="zh-TW"/>
              </w:rPr>
              <w:t xml:space="preserve"> </w:t>
            </w:r>
          </w:p>
          <w:p>
            <w:pPr>
              <w:pStyle w:val="41"/>
              <w:snapToGrid w:val="0"/>
              <w:spacing w:line="360" w:lineRule="auto"/>
              <w:ind w:firstLine="482"/>
              <w:rPr>
                <w:rFonts w:hint="default" w:ascii="Times New Roman" w:hAnsi="Times New Roman" w:cs="Times New Roman"/>
                <w:color w:val="auto"/>
                <w:lang w:val="zh-TW"/>
              </w:rPr>
            </w:pPr>
            <w:r>
              <w:rPr>
                <w:rFonts w:hint="default" w:ascii="Times New Roman" w:hAnsi="Times New Roman" w:cs="Times New Roman"/>
                <w:color w:val="auto"/>
                <w:lang w:val="zh-TW"/>
              </w:rPr>
              <w:t>（2）地表水环境影响分析</w:t>
            </w:r>
          </w:p>
          <w:p>
            <w:pPr>
              <w:pStyle w:val="41"/>
              <w:snapToGri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lang w:val="zh-TW"/>
              </w:rPr>
              <w:t>本项目</w:t>
            </w:r>
            <w:r>
              <w:rPr>
                <w:rFonts w:hint="default" w:ascii="Times New Roman" w:hAnsi="Times New Roman" w:cs="Times New Roman"/>
                <w:color w:val="auto"/>
                <w:lang w:val="en-US" w:eastAsia="zh-CN"/>
              </w:rPr>
              <w:t>渗滤液</w:t>
            </w:r>
            <w:r>
              <w:rPr>
                <w:rFonts w:hint="default" w:ascii="Times New Roman" w:hAnsi="Times New Roman" w:cs="Times New Roman"/>
                <w:color w:val="auto"/>
                <w:lang w:val="zh-TW"/>
              </w:rPr>
              <w:t>处理规模</w:t>
            </w:r>
            <w:r>
              <w:rPr>
                <w:rFonts w:hint="default" w:ascii="Times New Roman" w:hAnsi="Times New Roman" w:cs="Times New Roman"/>
                <w:color w:val="auto"/>
                <w:lang w:val="en-US" w:eastAsia="zh-CN"/>
              </w:rPr>
              <w:t>200</w:t>
            </w:r>
            <w:r>
              <w:rPr>
                <w:rFonts w:hint="default" w:ascii="Times New Roman" w:hAnsi="Times New Roman" w:cs="Times New Roman"/>
                <w:color w:val="auto"/>
                <w:lang w:val="zh-TW" w:eastAsia="zh-TW"/>
              </w:rPr>
              <w:t>m</w:t>
            </w:r>
            <w:r>
              <w:rPr>
                <w:rFonts w:hint="default" w:ascii="Times New Roman" w:hAnsi="Times New Roman" w:cs="Times New Roman"/>
                <w:color w:val="auto"/>
                <w:vertAlign w:val="superscript"/>
                <w:lang w:val="zh-TW" w:eastAsia="zh-TW"/>
              </w:rPr>
              <w:t>3</w:t>
            </w:r>
            <w:r>
              <w:rPr>
                <w:rFonts w:hint="default" w:ascii="Times New Roman" w:hAnsi="Times New Roman" w:cs="Times New Roman"/>
                <w:color w:val="auto"/>
                <w:lang w:val="zh-TW" w:eastAsia="zh-TW"/>
              </w:rPr>
              <w:t>/d</w:t>
            </w:r>
            <w:r>
              <w:rPr>
                <w:rFonts w:hint="default" w:ascii="Times New Roman" w:hAnsi="Times New Roman" w:cs="Times New Roman"/>
                <w:color w:val="auto"/>
                <w:lang w:val="zh-TW"/>
              </w:rPr>
              <w:t>，</w:t>
            </w:r>
            <w:r>
              <w:rPr>
                <w:rFonts w:hint="default" w:ascii="Times New Roman" w:hAnsi="Times New Roman" w:cs="Times New Roman"/>
                <w:color w:val="auto"/>
              </w:rPr>
              <w:t>主要污染物为COD、BOD</w:t>
            </w:r>
            <w:r>
              <w:rPr>
                <w:rFonts w:hint="default" w:ascii="Times New Roman" w:hAnsi="Times New Roman" w:cs="Times New Roman"/>
                <w:color w:val="auto"/>
                <w:vertAlign w:val="subscript"/>
              </w:rPr>
              <w:t>5</w:t>
            </w:r>
            <w:r>
              <w:rPr>
                <w:rFonts w:hint="default" w:ascii="Times New Roman" w:hAnsi="Times New Roman" w:cs="Times New Roman"/>
                <w:color w:val="auto"/>
              </w:rPr>
              <w:t>、SS、NH</w:t>
            </w:r>
            <w:r>
              <w:rPr>
                <w:rFonts w:hint="default" w:ascii="Times New Roman" w:hAnsi="Times New Roman" w:cs="Times New Roman"/>
                <w:color w:val="auto"/>
                <w:vertAlign w:val="subscript"/>
              </w:rPr>
              <w:t>3</w:t>
            </w:r>
            <w:r>
              <w:rPr>
                <w:rFonts w:hint="default" w:ascii="Times New Roman" w:hAnsi="Times New Roman" w:cs="Times New Roman"/>
                <w:color w:val="auto"/>
              </w:rPr>
              <w:t>-N、TN、TP等，</w:t>
            </w:r>
            <w:r>
              <w:rPr>
                <w:rStyle w:val="45"/>
                <w:rFonts w:hint="default" w:ascii="Times New Roman" w:hAnsi="Times New Roman" w:eastAsia="宋体" w:cs="Times New Roman"/>
                <w:color w:val="auto"/>
                <w:sz w:val="24"/>
                <w:szCs w:val="24"/>
              </w:rPr>
              <w:t>污水处理站采用“</w:t>
            </w:r>
            <w:r>
              <w:rPr>
                <w:rFonts w:hint="default" w:ascii="Times New Roman" w:hAnsi="Times New Roman" w:cs="Times New Roman"/>
                <w:color w:val="auto"/>
                <w:sz w:val="24"/>
                <w:szCs w:val="22"/>
              </w:rPr>
              <w:t>渗滤液→调节池→气浮设备→原水灌→两级DTRO系统→达标排放</w:t>
            </w:r>
            <w:r>
              <w:rPr>
                <w:rStyle w:val="45"/>
                <w:rFonts w:hint="default" w:ascii="Times New Roman" w:hAnsi="Times New Roman" w:eastAsia="宋体" w:cs="Times New Roman"/>
                <w:color w:val="auto"/>
                <w:sz w:val="24"/>
                <w:szCs w:val="24"/>
              </w:rPr>
              <w:t>”处理工艺，</w:t>
            </w:r>
            <w:r>
              <w:rPr>
                <w:rStyle w:val="45"/>
                <w:rFonts w:hint="default" w:ascii="Times New Roman" w:hAnsi="Times New Roman" w:cs="Times New Roman"/>
                <w:color w:val="auto"/>
                <w:sz w:val="24"/>
                <w:szCs w:val="24"/>
                <w:lang w:val="en-US" w:eastAsia="zh-CN"/>
              </w:rPr>
              <w:t>出水用罐车拉运至同江市洁源污水处理厂处置。</w:t>
            </w:r>
            <w:r>
              <w:rPr>
                <w:rFonts w:hint="default" w:ascii="Times New Roman" w:hAnsi="Times New Roman" w:cs="Times New Roman"/>
                <w:color w:val="auto"/>
              </w:rPr>
              <w:t>出水水质执行</w:t>
            </w:r>
            <w:r>
              <w:rPr>
                <w:rFonts w:hint="default" w:ascii="Times New Roman" w:hAnsi="Times New Roman" w:cs="Times New Roman"/>
                <w:color w:val="auto"/>
                <w:sz w:val="24"/>
                <w:szCs w:val="22"/>
              </w:rPr>
              <w:t>《</w:t>
            </w:r>
            <w:r>
              <w:rPr>
                <w:rFonts w:hint="default" w:ascii="Times New Roman" w:hAnsi="Times New Roman" w:cs="Times New Roman"/>
                <w:color w:val="auto"/>
                <w:sz w:val="24"/>
                <w:szCs w:val="22"/>
                <w:lang w:val="en-US" w:eastAsia="zh-CN"/>
              </w:rPr>
              <w:t>生活垃圾填埋场污染控制标准</w:t>
            </w:r>
            <w:r>
              <w:rPr>
                <w:rFonts w:hint="default" w:ascii="Times New Roman" w:hAnsi="Times New Roman" w:cs="Times New Roman"/>
                <w:color w:val="auto"/>
                <w:sz w:val="24"/>
                <w:szCs w:val="22"/>
              </w:rPr>
              <w:t>》（GB</w:t>
            </w:r>
            <w:r>
              <w:rPr>
                <w:rFonts w:hint="default" w:ascii="Times New Roman" w:hAnsi="Times New Roman" w:cs="Times New Roman"/>
                <w:color w:val="auto"/>
                <w:sz w:val="24"/>
                <w:szCs w:val="22"/>
                <w:lang w:val="en-US" w:eastAsia="zh-CN"/>
              </w:rPr>
              <w:t>16889-2008</w:t>
            </w:r>
            <w:r>
              <w:rPr>
                <w:rFonts w:hint="default" w:ascii="Times New Roman" w:hAnsi="Times New Roman" w:cs="Times New Roman"/>
                <w:color w:val="auto"/>
                <w:sz w:val="24"/>
                <w:szCs w:val="22"/>
              </w:rPr>
              <w:t>）</w:t>
            </w:r>
            <w:r>
              <w:rPr>
                <w:rFonts w:hint="default" w:ascii="Times New Roman" w:hAnsi="Times New Roman" w:cs="Times New Roman"/>
                <w:color w:val="auto"/>
                <w:sz w:val="24"/>
                <w:szCs w:val="22"/>
                <w:lang w:val="en-US" w:eastAsia="zh-CN"/>
              </w:rPr>
              <w:t>中表2规定的水污染物排放浓度限值</w:t>
            </w:r>
            <w:r>
              <w:rPr>
                <w:rFonts w:hint="default" w:ascii="Times New Roman" w:hAnsi="Times New Roman" w:cs="Times New Roman"/>
                <w:color w:val="auto"/>
              </w:rPr>
              <w:t>，对地表水环境影响</w:t>
            </w:r>
            <w:r>
              <w:rPr>
                <w:rFonts w:hint="default" w:ascii="Times New Roman" w:hAnsi="Times New Roman" w:cs="Times New Roman"/>
                <w:color w:val="auto"/>
                <w:lang w:val="en-US" w:eastAsia="zh-CN"/>
              </w:rPr>
              <w:t>较小</w:t>
            </w:r>
            <w:r>
              <w:rPr>
                <w:rFonts w:hint="default" w:ascii="Times New Roman" w:hAnsi="Times New Roman" w:cs="Times New Roman"/>
                <w:color w:val="auto"/>
              </w:rPr>
              <w:t>。</w:t>
            </w:r>
            <w:r>
              <w:rPr>
                <w:rStyle w:val="45"/>
                <w:rFonts w:hint="default" w:ascii="Times New Roman" w:hAnsi="Times New Roman" w:cs="Times New Roman"/>
                <w:color w:val="auto"/>
                <w:sz w:val="24"/>
                <w:szCs w:val="24"/>
                <w:lang w:val="en-US" w:eastAsia="zh-CN"/>
              </w:rPr>
              <w:t>同江市洁源污水处理厂坐落于黑龙江佳木斯市，厂区具体位于同江市区东南友谊路与新城街交汇处东南，设计处理能力为日处理污水2.00万立方米，实际日平均处理污水量为1.15 万立方米。污水处理厂从处理余量以及工艺均能满足本项目污水的需求。因此本项目处理后的污水拉运至同江市洁源污水处理厂可行。</w:t>
            </w:r>
          </w:p>
          <w:p>
            <w:pPr>
              <w:pStyle w:val="89"/>
              <w:numPr>
                <w:ilvl w:val="0"/>
                <w:numId w:val="2"/>
              </w:numPr>
              <w:spacing w:line="360" w:lineRule="auto"/>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rPr>
              <w:t>地下水环境影响</w:t>
            </w:r>
          </w:p>
          <w:p>
            <w:pPr>
              <w:keepNext w:val="0"/>
              <w:keepLines w:val="0"/>
              <w:pageBreakBefore w:val="0"/>
              <w:widowControl w:val="0"/>
              <w:kinsoku/>
              <w:wordWrap/>
              <w:overflowPunct/>
              <w:topLinePunct w:val="0"/>
              <w:autoSpaceDE/>
              <w:autoSpaceDN/>
              <w:bidi w:val="0"/>
              <w:adjustRightInd w:val="0"/>
              <w:snapToGrid/>
              <w:spacing w:line="360" w:lineRule="auto"/>
              <w:ind w:firstLine="516"/>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本项目发生泄漏情况下，</w:t>
            </w:r>
            <w:r>
              <w:rPr>
                <w:rFonts w:hint="default" w:ascii="Times New Roman" w:hAnsi="Times New Roman" w:eastAsia="宋体" w:cs="Times New Roman"/>
                <w:color w:val="auto"/>
                <w:sz w:val="24"/>
                <w:szCs w:val="24"/>
                <w:lang w:val="en-US" w:eastAsia="zh-CN"/>
              </w:rPr>
              <w:t>COD</w:t>
            </w:r>
            <w:r>
              <w:rPr>
                <w:rFonts w:hint="default" w:ascii="Times New Roman" w:hAnsi="Times New Roman" w:eastAsia="宋体" w:cs="Times New Roman"/>
                <w:color w:val="auto"/>
                <w:sz w:val="24"/>
                <w:szCs w:val="24"/>
              </w:rPr>
              <w:t>100d影响范围在泄漏点至下游</w:t>
            </w:r>
            <w:r>
              <w:rPr>
                <w:rFonts w:hint="default" w:ascii="Times New Roman" w:hAnsi="Times New Roman" w:eastAsia="宋体" w:cs="Times New Roman"/>
                <w:color w:val="auto"/>
                <w:sz w:val="24"/>
                <w:szCs w:val="24"/>
                <w:lang w:val="en-US" w:eastAsia="zh-CN"/>
              </w:rPr>
              <w:t>54</w:t>
            </w:r>
            <w:r>
              <w:rPr>
                <w:rFonts w:hint="default" w:ascii="Times New Roman" w:hAnsi="Times New Roman" w:eastAsia="宋体" w:cs="Times New Roman"/>
                <w:color w:val="auto"/>
                <w:sz w:val="24"/>
                <w:szCs w:val="24"/>
              </w:rPr>
              <w:t>m范围内，</w:t>
            </w:r>
            <w:r>
              <w:rPr>
                <w:rFonts w:hint="default" w:ascii="Times New Roman" w:hAnsi="Times New Roman" w:eastAsia="宋体" w:cs="Times New Roman"/>
                <w:color w:val="auto"/>
                <w:sz w:val="24"/>
                <w:szCs w:val="24"/>
                <w:lang w:val="en-US" w:eastAsia="zh-CN"/>
              </w:rPr>
              <w:t>26</w:t>
            </w:r>
            <w:r>
              <w:rPr>
                <w:rFonts w:hint="default" w:ascii="Times New Roman" w:hAnsi="Times New Roman" w:eastAsia="宋体" w:cs="Times New Roman"/>
                <w:color w:val="auto"/>
                <w:sz w:val="24"/>
                <w:szCs w:val="24"/>
              </w:rPr>
              <w:t>m处</w:t>
            </w:r>
            <w:r>
              <w:rPr>
                <w:rFonts w:hint="default" w:ascii="Times New Roman" w:hAnsi="Times New Roman" w:eastAsia="宋体" w:cs="Times New Roman"/>
                <w:color w:val="auto"/>
                <w:sz w:val="24"/>
                <w:szCs w:val="24"/>
                <w:lang w:val="en-US" w:eastAsia="zh-CN"/>
              </w:rPr>
              <w:t>COD</w:t>
            </w:r>
            <w:r>
              <w:rPr>
                <w:rFonts w:hint="default" w:ascii="Times New Roman" w:hAnsi="Times New Roman" w:eastAsia="宋体" w:cs="Times New Roman"/>
                <w:color w:val="auto"/>
                <w:sz w:val="24"/>
                <w:szCs w:val="24"/>
              </w:rPr>
              <w:t>可以满足《地下水质量标准》（GB/T14848-2017）Ⅲ类标准；</w:t>
            </w:r>
            <w:r>
              <w:rPr>
                <w:rFonts w:hint="default" w:ascii="Times New Roman" w:hAnsi="Times New Roman" w:eastAsia="宋体" w:cs="Times New Roman"/>
                <w:color w:val="auto"/>
                <w:sz w:val="24"/>
                <w:szCs w:val="24"/>
                <w:lang w:val="en-US" w:eastAsia="zh-CN"/>
              </w:rPr>
              <w:t>COD</w:t>
            </w:r>
            <w:r>
              <w:rPr>
                <w:rFonts w:hint="default" w:ascii="Times New Roman" w:hAnsi="Times New Roman" w:eastAsia="宋体" w:cs="Times New Roman"/>
                <w:color w:val="auto"/>
                <w:sz w:val="24"/>
                <w:szCs w:val="24"/>
              </w:rPr>
              <w:t>1000d影响范围在泄漏点至下游</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00m范围内，</w:t>
            </w:r>
            <w:r>
              <w:rPr>
                <w:rFonts w:hint="default" w:ascii="Times New Roman" w:hAnsi="Times New Roman" w:eastAsia="宋体" w:cs="Times New Roman"/>
                <w:color w:val="auto"/>
                <w:sz w:val="24"/>
                <w:szCs w:val="24"/>
                <w:lang w:val="en-US" w:eastAsia="zh-CN"/>
              </w:rPr>
              <w:t>95</w:t>
            </w:r>
            <w:r>
              <w:rPr>
                <w:rFonts w:hint="default" w:ascii="Times New Roman" w:hAnsi="Times New Roman" w:eastAsia="宋体" w:cs="Times New Roman"/>
                <w:color w:val="auto"/>
                <w:sz w:val="24"/>
                <w:szCs w:val="24"/>
              </w:rPr>
              <w:t>m处</w:t>
            </w:r>
            <w:r>
              <w:rPr>
                <w:rFonts w:hint="default" w:ascii="Times New Roman" w:hAnsi="Times New Roman" w:eastAsia="宋体" w:cs="Times New Roman"/>
                <w:color w:val="auto"/>
                <w:sz w:val="24"/>
                <w:szCs w:val="24"/>
                <w:lang w:val="en-US" w:eastAsia="zh-CN"/>
              </w:rPr>
              <w:t>COD</w:t>
            </w:r>
            <w:r>
              <w:rPr>
                <w:rFonts w:hint="default" w:ascii="Times New Roman" w:hAnsi="Times New Roman" w:eastAsia="宋体" w:cs="Times New Roman"/>
                <w:color w:val="auto"/>
                <w:sz w:val="24"/>
                <w:szCs w:val="24"/>
              </w:rPr>
              <w:t>可以满足《地下水质量标准》（GB/T14848-2017）Ⅲ类标准。</w:t>
            </w:r>
            <w:r>
              <w:rPr>
                <w:rFonts w:hint="default" w:ascii="Times New Roman" w:hAnsi="Times New Roman" w:eastAsia="宋体" w:cs="Times New Roman"/>
                <w:color w:val="auto"/>
                <w:sz w:val="24"/>
                <w:szCs w:val="24"/>
                <w:lang w:val="en-US" w:eastAsia="zh-CN"/>
              </w:rPr>
              <w:t>氨氮</w:t>
            </w:r>
            <w:r>
              <w:rPr>
                <w:rFonts w:hint="default" w:ascii="Times New Roman" w:hAnsi="Times New Roman" w:eastAsia="宋体" w:cs="Times New Roman"/>
                <w:color w:val="auto"/>
                <w:sz w:val="24"/>
                <w:szCs w:val="24"/>
              </w:rPr>
              <w:t>100d影响范围在泄漏点至下游</w:t>
            </w:r>
            <w:r>
              <w:rPr>
                <w:rFonts w:hint="default" w:ascii="Times New Roman" w:hAnsi="Times New Roman" w:eastAsia="宋体" w:cs="Times New Roman"/>
                <w:color w:val="auto"/>
                <w:sz w:val="24"/>
                <w:szCs w:val="24"/>
                <w:lang w:val="en-US" w:eastAsia="zh-CN"/>
              </w:rPr>
              <w:t>54</w:t>
            </w:r>
            <w:r>
              <w:rPr>
                <w:rFonts w:hint="default" w:ascii="Times New Roman" w:hAnsi="Times New Roman" w:eastAsia="宋体" w:cs="Times New Roman"/>
                <w:color w:val="auto"/>
                <w:sz w:val="24"/>
                <w:szCs w:val="24"/>
              </w:rPr>
              <w:t>m范围内，</w:t>
            </w:r>
            <w:r>
              <w:rPr>
                <w:rFonts w:hint="default"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rPr>
              <w:t>m处</w:t>
            </w:r>
            <w:r>
              <w:rPr>
                <w:rFonts w:hint="default" w:ascii="Times New Roman" w:hAnsi="Times New Roman" w:eastAsia="宋体" w:cs="Times New Roman"/>
                <w:color w:val="auto"/>
                <w:sz w:val="24"/>
                <w:szCs w:val="24"/>
                <w:lang w:val="en-US" w:eastAsia="zh-CN"/>
              </w:rPr>
              <w:t>氨氮</w:t>
            </w:r>
            <w:r>
              <w:rPr>
                <w:rFonts w:hint="default" w:ascii="Times New Roman" w:hAnsi="Times New Roman" w:eastAsia="宋体" w:cs="Times New Roman"/>
                <w:color w:val="auto"/>
                <w:sz w:val="24"/>
                <w:szCs w:val="24"/>
              </w:rPr>
              <w:t>可以满足《地下水质量标准》（GB/T14848-2017）Ⅲ类标准；</w:t>
            </w:r>
            <w:r>
              <w:rPr>
                <w:rFonts w:hint="default" w:ascii="Times New Roman" w:hAnsi="Times New Roman" w:eastAsia="宋体" w:cs="Times New Roman"/>
                <w:color w:val="auto"/>
                <w:sz w:val="24"/>
                <w:szCs w:val="24"/>
                <w:lang w:val="en-US" w:eastAsia="zh-CN"/>
              </w:rPr>
              <w:t>氨氮</w:t>
            </w:r>
            <w:r>
              <w:rPr>
                <w:rFonts w:hint="default" w:ascii="Times New Roman" w:hAnsi="Times New Roman" w:eastAsia="宋体" w:cs="Times New Roman"/>
                <w:color w:val="auto"/>
                <w:sz w:val="24"/>
                <w:szCs w:val="24"/>
              </w:rPr>
              <w:t>1000d影响范围在泄漏点至下游</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00m范围内，</w:t>
            </w:r>
            <w:r>
              <w:rPr>
                <w:rFonts w:hint="default" w:ascii="Times New Roman" w:hAnsi="Times New Roman" w:eastAsia="宋体" w:cs="Times New Roman"/>
                <w:color w:val="auto"/>
                <w:sz w:val="24"/>
                <w:szCs w:val="24"/>
                <w:lang w:val="en-US" w:eastAsia="zh-CN"/>
              </w:rPr>
              <w:t>91</w:t>
            </w:r>
            <w:r>
              <w:rPr>
                <w:rFonts w:hint="default" w:ascii="Times New Roman" w:hAnsi="Times New Roman" w:eastAsia="宋体" w:cs="Times New Roman"/>
                <w:color w:val="auto"/>
                <w:sz w:val="24"/>
                <w:szCs w:val="24"/>
              </w:rPr>
              <w:t>m处</w:t>
            </w:r>
            <w:r>
              <w:rPr>
                <w:rFonts w:hint="default" w:ascii="Times New Roman" w:hAnsi="Times New Roman" w:eastAsia="宋体" w:cs="Times New Roman"/>
                <w:color w:val="auto"/>
                <w:sz w:val="24"/>
                <w:szCs w:val="24"/>
                <w:lang w:val="en-US" w:eastAsia="zh-CN"/>
              </w:rPr>
              <w:t>氨氮</w:t>
            </w:r>
            <w:r>
              <w:rPr>
                <w:rFonts w:hint="default" w:ascii="Times New Roman" w:hAnsi="Times New Roman" w:eastAsia="宋体" w:cs="Times New Roman"/>
                <w:color w:val="auto"/>
                <w:sz w:val="24"/>
                <w:szCs w:val="24"/>
              </w:rPr>
              <w:t>可以满足《地下水质量标准》（GB/T14848-2017）Ⅲ类标准。</w:t>
            </w:r>
          </w:p>
          <w:p>
            <w:pPr>
              <w:keepNext w:val="0"/>
              <w:keepLines w:val="0"/>
              <w:pageBreakBefore w:val="0"/>
              <w:widowControl w:val="0"/>
              <w:kinsoku/>
              <w:wordWrap/>
              <w:overflowPunct/>
              <w:topLinePunct w:val="0"/>
              <w:autoSpaceDE/>
              <w:autoSpaceDN/>
              <w:bidi w:val="0"/>
              <w:adjustRightInd w:val="0"/>
              <w:snapToGrid/>
              <w:spacing w:line="360" w:lineRule="auto"/>
              <w:ind w:firstLine="516"/>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项目评价范围内地下水流向下游500m范围无地下水饮用水井，非正常状况下，污水泄漏不会对地下水流向下游地下饮用水造成影响。</w:t>
            </w:r>
          </w:p>
          <w:p>
            <w:pPr>
              <w:pStyle w:val="41"/>
              <w:snapToGrid w:val="0"/>
              <w:spacing w:line="360" w:lineRule="auto"/>
              <w:ind w:firstLine="482"/>
              <w:rPr>
                <w:rFonts w:hint="default" w:ascii="Times New Roman" w:hAnsi="Times New Roman" w:cs="Times New Roman"/>
                <w:color w:val="auto"/>
                <w:lang w:val="zh-TW"/>
              </w:rPr>
            </w:pPr>
            <w:r>
              <w:rPr>
                <w:rFonts w:hint="default" w:ascii="Times New Roman" w:hAnsi="Times New Roman" w:cs="Times New Roman"/>
                <w:color w:val="auto"/>
                <w:lang w:val="zh-TW"/>
              </w:rPr>
              <w:t>（4）声环境影响分析</w:t>
            </w:r>
          </w:p>
          <w:p>
            <w:pPr>
              <w:pStyle w:val="89"/>
              <w:snapToGrid w:val="0"/>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本项目营运期来源于风机、泵等备噪声。项目设备均位于厂房内，设备也将选购节能、低耗、低噪先进设备，设备安装过程做好基础减振、消声等防护措施，厂房加强隔声防护。厂界噪声可以达到《工业企业厂界环境噪声排放标准》（GB12348-2008）的2类标准，即昼间≤60dB(A)，夜间≤50dB(A)。。</w:t>
            </w:r>
          </w:p>
          <w:p>
            <w:pPr>
              <w:pStyle w:val="41"/>
              <w:snapToGrid w:val="0"/>
              <w:spacing w:line="360" w:lineRule="auto"/>
              <w:ind w:firstLine="482"/>
              <w:rPr>
                <w:rFonts w:hint="default" w:ascii="Times New Roman" w:hAnsi="Times New Roman" w:cs="Times New Roman"/>
                <w:color w:val="auto"/>
                <w:lang w:val="zh-TW"/>
              </w:rPr>
            </w:pPr>
            <w:r>
              <w:rPr>
                <w:rFonts w:hint="default" w:ascii="Times New Roman" w:hAnsi="Times New Roman" w:cs="Times New Roman"/>
                <w:color w:val="auto"/>
                <w:lang w:val="zh-TW"/>
              </w:rPr>
              <w:t>（5）固体废物环境影响分析</w:t>
            </w:r>
          </w:p>
          <w:p>
            <w:pPr>
              <w:pStyle w:val="41"/>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本项目生活垃圾</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渗滤液处理车间产生的污泥拉运至垃圾填埋场就近填埋，废机油</w:t>
            </w:r>
            <w:r>
              <w:rPr>
                <w:rFonts w:hint="eastAsia" w:ascii="Times New Roman" w:hAnsi="Times New Roman" w:cs="Times New Roman"/>
                <w:color w:val="auto"/>
                <w:lang w:val="en-US" w:eastAsia="zh-CN"/>
              </w:rPr>
              <w:t>、废离子交换树脂</w:t>
            </w:r>
            <w:r>
              <w:rPr>
                <w:rFonts w:hint="default" w:ascii="Times New Roman" w:hAnsi="Times New Roman" w:cs="Times New Roman"/>
                <w:color w:val="auto"/>
                <w:lang w:val="en-US" w:eastAsia="zh-CN"/>
              </w:rPr>
              <w:t>，交有资质单位处置，废膜交由厂家回收处置。</w:t>
            </w:r>
            <w:r>
              <w:rPr>
                <w:rFonts w:hint="default" w:ascii="Times New Roman" w:hAnsi="Times New Roman" w:cs="Times New Roman"/>
                <w:color w:val="auto"/>
              </w:rPr>
              <w:t>本项目各固体废物均可以得到合理收集处置，不会对周边环境造成影响。</w:t>
            </w:r>
          </w:p>
          <w:p>
            <w:pPr>
              <w:spacing w:before="156" w:beforeLines="50" w:after="156" w:afterLines="50" w:line="288"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6 </w:t>
            </w:r>
            <w:r>
              <w:rPr>
                <w:rFonts w:hint="eastAsia" w:cs="Times New Roman"/>
                <w:b/>
                <w:bCs/>
                <w:color w:val="auto"/>
                <w:sz w:val="24"/>
                <w:szCs w:val="24"/>
                <w:lang w:eastAsia="zh-CN"/>
              </w:rPr>
              <w:t>、</w:t>
            </w:r>
            <w:r>
              <w:rPr>
                <w:rFonts w:hint="default" w:ascii="Times New Roman" w:hAnsi="Times New Roman" w:cs="Times New Roman"/>
                <w:b/>
                <w:bCs/>
                <w:color w:val="auto"/>
                <w:sz w:val="24"/>
                <w:szCs w:val="24"/>
              </w:rPr>
              <w:t>结论</w:t>
            </w:r>
          </w:p>
          <w:p>
            <w:pPr>
              <w:spacing w:line="360" w:lineRule="auto"/>
              <w:ind w:firstLine="493"/>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同江市城市生活垃圾处理场渗沥液站改造工程建设项目符合国家产业政策，选址合理，不涉及生态红线。项目产生废气、</w:t>
            </w:r>
            <w:r>
              <w:rPr>
                <w:rFonts w:hint="default" w:ascii="Times New Roman" w:hAnsi="Times New Roman" w:cs="Times New Roman"/>
                <w:color w:val="auto"/>
                <w:sz w:val="24"/>
                <w:szCs w:val="24"/>
                <w:lang w:val="en-US" w:eastAsia="zh-CN"/>
              </w:rPr>
              <w:t>废水、</w:t>
            </w:r>
            <w:r>
              <w:rPr>
                <w:rFonts w:hint="default" w:ascii="Times New Roman" w:hAnsi="Times New Roman" w:cs="Times New Roman"/>
                <w:color w:val="auto"/>
                <w:sz w:val="24"/>
                <w:szCs w:val="24"/>
              </w:rPr>
              <w:t>噪声、固废等通过采取的环保措施治理后，均能做到达标排放，并未超过环境质量底线。在满足国家和当地环保要求前提下，从环保角度上来讲，本项目的建设是可行的。</w:t>
            </w: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601" w:hRule="atLeast"/>
          <w:jc w:val="center"/>
        </w:trPr>
        <w:tc>
          <w:tcPr>
            <w:tcW w:w="8947" w:type="dxa"/>
          </w:tcPr>
          <w:p>
            <w:pPr>
              <w:spacing w:before="240"/>
              <w:jc w:val="center"/>
              <w:outlineLvl w:val="0"/>
              <w:rPr>
                <w:rFonts w:hint="default" w:ascii="Times New Roman" w:hAnsi="Times New Roman" w:cs="Times New Roman"/>
                <w:b/>
                <w:color w:val="auto"/>
                <w:sz w:val="28"/>
              </w:rPr>
            </w:pPr>
            <w:bookmarkStart w:id="39" w:name="_Toc25154389"/>
            <w:r>
              <w:rPr>
                <w:rFonts w:hint="default" w:ascii="Times New Roman" w:hAnsi="Times New Roman" w:cs="Times New Roman"/>
                <w:b/>
                <w:color w:val="auto"/>
                <w:sz w:val="28"/>
              </w:rPr>
              <w:t>注        释</w:t>
            </w:r>
            <w:bookmarkEnd w:id="39"/>
          </w:p>
          <w:p>
            <w:pPr>
              <w:tabs>
                <w:tab w:val="left" w:pos="570"/>
              </w:tabs>
              <w:snapToGrid w:val="0"/>
              <w:spacing w:line="360" w:lineRule="auto"/>
              <w:ind w:left="570" w:hanging="57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一、本报告表附以下附件、附图：</w:t>
            </w:r>
          </w:p>
          <w:p>
            <w:pPr>
              <w:spacing w:line="30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附图1  项目地理位置图</w:t>
            </w:r>
          </w:p>
          <w:p>
            <w:pPr>
              <w:spacing w:line="30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附图2  项目平面布置图</w:t>
            </w:r>
          </w:p>
          <w:p>
            <w:pPr>
              <w:spacing w:line="30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附图3  项目环境保护目标分布图</w:t>
            </w:r>
          </w:p>
          <w:p>
            <w:pPr>
              <w:spacing w:line="300" w:lineRule="auto"/>
              <w:ind w:firstLine="480" w:firstLineChars="200"/>
              <w:jc w:val="left"/>
              <w:rPr>
                <w:rFonts w:hint="default" w:ascii="Times New Roman" w:hAnsi="Times New Roman" w:cs="Times New Roman"/>
                <w:color w:val="auto"/>
                <w:sz w:val="24"/>
                <w:szCs w:val="24"/>
              </w:rPr>
            </w:pPr>
          </w:p>
          <w:p>
            <w:pPr>
              <w:spacing w:line="30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附件1  建设项目大气环境影响评价自查表</w:t>
            </w:r>
          </w:p>
          <w:p>
            <w:pPr>
              <w:spacing w:line="30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附件2  建设项目地表水环境影响评价自查表</w:t>
            </w:r>
          </w:p>
          <w:p>
            <w:pPr>
              <w:spacing w:line="30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附件3  建设项目环境风险影响评价自查表</w:t>
            </w:r>
          </w:p>
          <w:p>
            <w:pPr>
              <w:spacing w:line="300" w:lineRule="auto"/>
              <w:ind w:firstLine="480" w:firstLineChars="200"/>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 xml:space="preserve">附件4  </w:t>
            </w:r>
            <w:r>
              <w:rPr>
                <w:rFonts w:hint="eastAsia" w:ascii="Times New Roman" w:hAnsi="Times New Roman" w:cs="Times New Roman"/>
                <w:color w:val="auto"/>
                <w:sz w:val="24"/>
                <w:szCs w:val="24"/>
                <w:lang w:val="en-US" w:eastAsia="zh-CN"/>
              </w:rPr>
              <w:t>排污许可证</w:t>
            </w:r>
          </w:p>
          <w:p>
            <w:pPr>
              <w:spacing w:line="30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附件</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 xml:space="preserve">  关于同江市城市生活垃圾处理工程环境影响报告书的批复</w:t>
            </w:r>
          </w:p>
          <w:p>
            <w:pPr>
              <w:spacing w:line="300" w:lineRule="auto"/>
              <w:ind w:firstLine="480" w:firstLineChars="200"/>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附件6</w:t>
            </w:r>
            <w:r>
              <w:rPr>
                <w:rFonts w:hint="default" w:ascii="Times New Roman" w:hAnsi="Times New Roman" w:cs="Times New Roman"/>
                <w:color w:val="auto"/>
                <w:sz w:val="24"/>
                <w:szCs w:val="24"/>
              </w:rPr>
              <w:t>关于同江市城市生活垃圾处理工程竣工环境保护验收意见的函</w:t>
            </w:r>
          </w:p>
          <w:p>
            <w:pPr>
              <w:spacing w:line="300" w:lineRule="auto"/>
              <w:ind w:firstLine="480" w:firstLineChars="200"/>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附件7</w:t>
            </w:r>
            <w:r>
              <w:rPr>
                <w:rFonts w:hint="default" w:ascii="Times New Roman" w:hAnsi="Times New Roman" w:cs="Times New Roman"/>
                <w:color w:val="auto"/>
                <w:sz w:val="24"/>
                <w:szCs w:val="24"/>
              </w:rPr>
              <w:t>关于同江市城市</w:t>
            </w:r>
            <w:r>
              <w:rPr>
                <w:rFonts w:hint="default" w:ascii="Times New Roman" w:hAnsi="Times New Roman" w:cs="Times New Roman"/>
                <w:color w:val="auto"/>
                <w:sz w:val="24"/>
                <w:szCs w:val="24"/>
                <w:lang w:val="en-US" w:eastAsia="zh-CN"/>
              </w:rPr>
              <w:t>医疗废物集中处置中心建设项目环境影响报告书的批复</w:t>
            </w:r>
          </w:p>
          <w:p>
            <w:pPr>
              <w:spacing w:line="300" w:lineRule="auto"/>
              <w:ind w:firstLine="480" w:firstLineChars="200"/>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附件8</w:t>
            </w:r>
            <w:r>
              <w:rPr>
                <w:rFonts w:hint="default" w:ascii="Times New Roman" w:hAnsi="Times New Roman" w:cs="Times New Roman"/>
                <w:color w:val="auto"/>
                <w:sz w:val="24"/>
                <w:szCs w:val="24"/>
                <w:lang w:val="en-US" w:eastAsia="zh-CN"/>
              </w:rPr>
              <w:t>同江市医疗废物集中处置中心建设项目竣工环境保护验收意见</w:t>
            </w:r>
          </w:p>
          <w:p>
            <w:pPr>
              <w:spacing w:line="300" w:lineRule="auto"/>
              <w:ind w:firstLine="480" w:firstLineChars="200"/>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附件9</w:t>
            </w:r>
            <w:r>
              <w:rPr>
                <w:rFonts w:hint="default" w:ascii="Times New Roman" w:hAnsi="Times New Roman" w:cs="Times New Roman"/>
                <w:color w:val="auto"/>
                <w:sz w:val="24"/>
                <w:szCs w:val="24"/>
                <w:lang w:val="en-US" w:eastAsia="zh-CN"/>
              </w:rPr>
              <w:t>环境质量监测报告</w:t>
            </w:r>
          </w:p>
          <w:p>
            <w:pPr>
              <w:spacing w:line="300" w:lineRule="auto"/>
              <w:ind w:firstLine="480" w:firstLineChars="200"/>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附件10</w:t>
            </w:r>
            <w:r>
              <w:rPr>
                <w:rFonts w:hint="default" w:ascii="Times New Roman" w:hAnsi="Times New Roman" w:cs="Times New Roman"/>
                <w:color w:val="auto"/>
                <w:sz w:val="24"/>
                <w:szCs w:val="24"/>
                <w:lang w:val="en-US" w:eastAsia="zh-CN"/>
              </w:rPr>
              <w:t>土壤监测报告</w:t>
            </w:r>
          </w:p>
          <w:p>
            <w:pPr>
              <w:spacing w:line="300" w:lineRule="auto"/>
              <w:ind w:firstLine="480" w:firstLineChars="200"/>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附件11</w:t>
            </w:r>
            <w:r>
              <w:rPr>
                <w:rFonts w:hint="default" w:ascii="Times New Roman" w:hAnsi="Times New Roman" w:cs="Times New Roman"/>
                <w:color w:val="auto"/>
                <w:sz w:val="24"/>
                <w:szCs w:val="24"/>
                <w:lang w:val="en-US" w:eastAsia="zh-CN"/>
              </w:rPr>
              <w:t>废水监测报告</w:t>
            </w:r>
          </w:p>
          <w:p>
            <w:pPr>
              <w:tabs>
                <w:tab w:val="left" w:pos="570"/>
              </w:tabs>
              <w:snapToGrid w:val="0"/>
              <w:spacing w:line="300" w:lineRule="auto"/>
              <w:ind w:left="570" w:hanging="57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二、如果本报告表不能说明项目产生的污染及对环境造成的影响，应进行专项评价。根据建设项目的特点和当地环境特征，应选下列1—2项进行专项评价。</w:t>
            </w:r>
          </w:p>
          <w:p>
            <w:pPr>
              <w:snapToGrid w:val="0"/>
              <w:spacing w:line="300" w:lineRule="auto"/>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1．大气环境影响专项评价</w:t>
            </w:r>
          </w:p>
          <w:p>
            <w:pPr>
              <w:snapToGrid w:val="0"/>
              <w:spacing w:line="300" w:lineRule="auto"/>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2．水环境影响专项评价（包括地表水和地下水）</w:t>
            </w:r>
          </w:p>
          <w:p>
            <w:pPr>
              <w:snapToGrid w:val="0"/>
              <w:spacing w:line="300" w:lineRule="auto"/>
              <w:ind w:left="135"/>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3．生态影响专项评价</w:t>
            </w:r>
          </w:p>
          <w:p>
            <w:pPr>
              <w:snapToGrid w:val="0"/>
              <w:spacing w:line="300" w:lineRule="auto"/>
              <w:ind w:left="135"/>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4．声影响专项评价</w:t>
            </w:r>
          </w:p>
          <w:p>
            <w:pPr>
              <w:snapToGrid w:val="0"/>
              <w:spacing w:line="300" w:lineRule="auto"/>
              <w:ind w:left="135"/>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5．土壤影响专项评价</w:t>
            </w:r>
          </w:p>
          <w:p>
            <w:pPr>
              <w:snapToGrid w:val="0"/>
              <w:spacing w:line="300" w:lineRule="auto"/>
              <w:ind w:left="135"/>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6．固体废弃物影响专项评价</w:t>
            </w:r>
          </w:p>
          <w:p>
            <w:pPr>
              <w:snapToGrid w:val="0"/>
              <w:spacing w:line="300" w:lineRule="auto"/>
              <w:ind w:left="135" w:firstLine="408" w:firstLineChars="17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以上专项评价未包括的可另列专项，专项评价按照《环境影响</w:t>
            </w:r>
          </w:p>
          <w:p>
            <w:pPr>
              <w:spacing w:line="300" w:lineRule="auto"/>
              <w:jc w:val="left"/>
              <w:rPr>
                <w:rFonts w:hint="default" w:ascii="Times New Roman" w:hAnsi="Times New Roman" w:cs="Times New Roman"/>
                <w:color w:val="auto"/>
                <w:sz w:val="28"/>
              </w:rPr>
            </w:pPr>
            <w:r>
              <w:rPr>
                <w:rFonts w:hint="default" w:ascii="Times New Roman" w:hAnsi="Times New Roman" w:cs="Times New Roman"/>
                <w:color w:val="auto"/>
                <w:sz w:val="24"/>
                <w:szCs w:val="24"/>
              </w:rPr>
              <w:t>评价技术导则》中的要求进行。</w:t>
            </w:r>
          </w:p>
        </w:tc>
      </w:tr>
    </w:tbl>
    <w:p>
      <w:pPr>
        <w:rPr>
          <w:rFonts w:hint="default" w:ascii="Times New Roman" w:hAnsi="Times New Roman" w:cs="Times New Roman"/>
          <w:color w:val="auto"/>
        </w:rPr>
        <w:sectPr>
          <w:pgSz w:w="11907" w:h="16839"/>
          <w:pgMar w:top="1800" w:right="1440" w:bottom="1800" w:left="1440" w:header="851" w:footer="992" w:gutter="0"/>
          <w:pgBorders>
            <w:top w:val="none" w:sz="0" w:space="0"/>
            <w:left w:val="none" w:sz="0" w:space="0"/>
            <w:bottom w:val="none" w:sz="0" w:space="0"/>
            <w:right w:val="none" w:sz="0" w:space="0"/>
          </w:pgBorders>
          <w:cols w:space="720" w:num="1"/>
          <w:docGrid w:type="linesAndChars" w:linePitch="312" w:charSpace="0"/>
        </w:sectPr>
      </w:pPr>
    </w:p>
    <w:p>
      <w:pPr>
        <w:pStyle w:val="41"/>
        <w:keepNext w:val="0"/>
        <w:keepLines w:val="0"/>
        <w:pageBreakBefore w:val="0"/>
        <w:widowControl w:val="0"/>
        <w:kinsoku/>
        <w:wordWrap/>
        <w:overflowPunct/>
        <w:topLinePunct w:val="0"/>
        <w:autoSpaceDE w:val="0"/>
        <w:autoSpaceDN w:val="0"/>
        <w:bidi w:val="0"/>
        <w:adjustRightInd w:val="0"/>
        <w:snapToGrid/>
        <w:ind w:left="0" w:firstLine="0" w:firstLineChars="0"/>
        <w:textAlignment w:val="auto"/>
        <w:outlineLvl w:val="0"/>
        <w:rPr>
          <w:rFonts w:hint="default" w:ascii="Times New Roman" w:hAnsi="Times New Roman" w:eastAsia="黑体" w:cs="Times New Roman"/>
          <w:b/>
          <w:color w:val="auto"/>
          <w:sz w:val="28"/>
          <w:szCs w:val="28"/>
        </w:rPr>
      </w:pPr>
      <w:bookmarkStart w:id="40" w:name="_Toc25154390"/>
      <w:r>
        <w:rPr>
          <w:rFonts w:hint="default" w:ascii="Times New Roman" w:hAnsi="Times New Roman" w:eastAsia="黑体" w:cs="Times New Roman"/>
          <w:b/>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3545840</wp:posOffset>
                </wp:positionH>
                <wp:positionV relativeFrom="paragraph">
                  <wp:posOffset>1222375</wp:posOffset>
                </wp:positionV>
                <wp:extent cx="939165" cy="422275"/>
                <wp:effectExtent l="0" t="0" r="222885" b="377825"/>
                <wp:wrapNone/>
                <wp:docPr id="20" name="圆角矩形标注 20"/>
                <wp:cNvGraphicFramePr/>
                <a:graphic xmlns:a="http://schemas.openxmlformats.org/drawingml/2006/main">
                  <a:graphicData uri="http://schemas.microsoft.com/office/word/2010/wordprocessingShape">
                    <wps:wsp>
                      <wps:cNvSpPr/>
                      <wps:spPr>
                        <a:xfrm>
                          <a:off x="0" y="0"/>
                          <a:ext cx="939165" cy="422275"/>
                        </a:xfrm>
                        <a:prstGeom prst="wedgeRoundRectCallout">
                          <a:avLst>
                            <a:gd name="adj1" fmla="val 67437"/>
                            <a:gd name="adj2" fmla="val 12582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地理位置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79.2pt;margin-top:96.25pt;height:33.25pt;width:73.95pt;z-index:251659264;v-text-anchor:middle;mso-width-relative:page;mso-height-relative:page;" fillcolor="#4472C4 [3204]" filled="t" stroked="t" coordsize="21600,21600" o:gfxdata="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Pm4KojcAAAACwEAAA8AAAAAAAAAAQAgAAAAIgAAAGRycy9kb3ducmV2Lnht&#10;bFBLAQIUABQAAAAIAIdO4kD8BrRL2QIAALQFAAAOAAAAAAAAAAEAIAAAACsBAABkcnMvZTJvRG9j&#10;LnhtbFBLBQYAAAAABgAGAFkBAAB2BgAAAAA=&#10;" adj="25366,37979,14400">
                <v:fill on="t" focussize="0,0"/>
                <v:stroke weight="1pt" color="#2F528F [3204]" miterlimit="8" joinstyle="miter"/>
                <v:imagedata o:title=""/>
                <o:lock v:ext="edit" aspectratio="f"/>
                <v:textbox>
                  <w:txbxContent>
                    <w:p>
                      <w:pPr>
                        <w:jc w:val="center"/>
                      </w:pPr>
                      <w:r>
                        <w:rPr>
                          <w:rFonts w:hint="eastAsia"/>
                        </w:rPr>
                        <w:t>地理位置</w:t>
                      </w:r>
                    </w:p>
                  </w:txbxContent>
                </v:textbox>
              </v:shape>
            </w:pict>
          </mc:Fallback>
        </mc:AlternateContent>
      </w:r>
      <w:r>
        <w:rPr>
          <w:rFonts w:hint="default" w:ascii="Times New Roman" w:hAnsi="Times New Roman" w:cs="Times New Roman"/>
          <w:color w:val="auto"/>
        </w:rPr>
        <w:drawing>
          <wp:anchor distT="0" distB="0" distL="114300" distR="114300" simplePos="0" relativeHeight="251662336" behindDoc="0" locked="0" layoutInCell="1" allowOverlap="1">
            <wp:simplePos x="0" y="0"/>
            <wp:positionH relativeFrom="column">
              <wp:posOffset>7274560</wp:posOffset>
            </wp:positionH>
            <wp:positionV relativeFrom="paragraph">
              <wp:posOffset>415925</wp:posOffset>
            </wp:positionV>
            <wp:extent cx="1092835" cy="757555"/>
            <wp:effectExtent l="0" t="0" r="12065" b="4445"/>
            <wp:wrapNone/>
            <wp:docPr id="48" name="图片 12" descr="1541560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descr="1541560523(1)"/>
                    <pic:cNvPicPr>
                      <a:picLocks noChangeAspect="1"/>
                    </pic:cNvPicPr>
                  </pic:nvPicPr>
                  <pic:blipFill>
                    <a:blip r:embed="rId39"/>
                    <a:stretch>
                      <a:fillRect/>
                    </a:stretch>
                  </pic:blipFill>
                  <pic:spPr>
                    <a:xfrm>
                      <a:off x="0" y="0"/>
                      <a:ext cx="1092835" cy="757555"/>
                    </a:xfrm>
                    <a:prstGeom prst="rect">
                      <a:avLst/>
                    </a:prstGeom>
                    <a:noFill/>
                    <a:ln>
                      <a:noFill/>
                    </a:ln>
                  </pic:spPr>
                </pic:pic>
              </a:graphicData>
            </a:graphic>
          </wp:anchor>
        </w:drawing>
      </w:r>
      <w:r>
        <w:rPr>
          <w:rFonts w:hint="default" w:ascii="Times New Roman" w:hAnsi="Times New Roman" w:eastAsia="黑体" w:cs="Times New Roman"/>
          <w:b/>
          <w:color w:val="auto"/>
          <w:sz w:val="28"/>
          <w:szCs w:val="28"/>
        </w:rPr>
        <w:t xml:space="preserve">附图1：项目地理位置图  </w:t>
      </w:r>
      <w:bookmarkEnd w:id="40"/>
      <w:r>
        <w:rPr>
          <w:rFonts w:hint="default" w:ascii="Times New Roman" w:hAnsi="Times New Roman" w:eastAsia="黑体" w:cs="Times New Roman"/>
          <w:b/>
          <w:color w:val="auto"/>
          <w:sz w:val="28"/>
          <w:szCs w:val="28"/>
        </w:rPr>
        <w:drawing>
          <wp:inline distT="0" distB="0" distL="114300" distR="114300">
            <wp:extent cx="8405495" cy="4551680"/>
            <wp:effectExtent l="0" t="0" r="14605" b="1270"/>
            <wp:docPr id="15" name="图片 15" descr="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地理位置图"/>
                    <pic:cNvPicPr>
                      <a:picLocks noChangeAspect="1"/>
                    </pic:cNvPicPr>
                  </pic:nvPicPr>
                  <pic:blipFill>
                    <a:blip r:embed="rId40"/>
                    <a:stretch>
                      <a:fillRect/>
                    </a:stretch>
                  </pic:blipFill>
                  <pic:spPr>
                    <a:xfrm>
                      <a:off x="0" y="0"/>
                      <a:ext cx="8405495" cy="4551680"/>
                    </a:xfrm>
                    <a:prstGeom prst="rect">
                      <a:avLst/>
                    </a:prstGeom>
                  </pic:spPr>
                </pic:pic>
              </a:graphicData>
            </a:graphic>
          </wp:inline>
        </w:drawing>
      </w:r>
    </w:p>
    <w:p>
      <w:pPr>
        <w:pStyle w:val="41"/>
        <w:keepNext w:val="0"/>
        <w:keepLines w:val="0"/>
        <w:pageBreakBefore w:val="0"/>
        <w:widowControl w:val="0"/>
        <w:kinsoku/>
        <w:wordWrap/>
        <w:overflowPunct/>
        <w:topLinePunct w:val="0"/>
        <w:autoSpaceDE w:val="0"/>
        <w:autoSpaceDN w:val="0"/>
        <w:bidi w:val="0"/>
        <w:adjustRightInd w:val="0"/>
        <w:snapToGrid w:val="0"/>
        <w:ind w:left="0" w:firstLine="0" w:firstLineChars="0"/>
        <w:textAlignment w:val="auto"/>
        <w:outlineLvl w:val="9"/>
        <w:rPr>
          <w:rStyle w:val="45"/>
          <w:rFonts w:hint="default" w:ascii="Times New Roman" w:hAnsi="Times New Roman" w:cs="Times New Roman"/>
          <w:color w:val="auto"/>
        </w:rPr>
      </w:pPr>
    </w:p>
    <w:p>
      <w:pPr>
        <w:pStyle w:val="41"/>
        <w:keepNext w:val="0"/>
        <w:keepLines w:val="0"/>
        <w:pageBreakBefore w:val="0"/>
        <w:widowControl w:val="0"/>
        <w:kinsoku/>
        <w:wordWrap/>
        <w:overflowPunct/>
        <w:topLinePunct w:val="0"/>
        <w:autoSpaceDE w:val="0"/>
        <w:autoSpaceDN w:val="0"/>
        <w:bidi w:val="0"/>
        <w:adjustRightInd w:val="0"/>
        <w:snapToGrid/>
        <w:ind w:left="0" w:hanging="1120" w:hangingChars="400"/>
        <w:textAlignment w:val="auto"/>
        <w:outlineLvl w:val="9"/>
        <w:rPr>
          <w:rFonts w:hint="default" w:ascii="Times New Roman" w:hAnsi="Times New Roman" w:eastAsia="黑体" w:cs="Times New Roman"/>
          <w:b/>
          <w:color w:val="auto"/>
          <w:sz w:val="28"/>
          <w:szCs w:val="28"/>
        </w:rPr>
      </w:pPr>
      <w:r>
        <w:rPr>
          <w:rFonts w:hint="default" w:ascii="Times New Roman" w:hAnsi="Times New Roman" w:eastAsia="黑体" w:cs="Times New Roman"/>
          <w:b/>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2350135</wp:posOffset>
                </wp:positionH>
                <wp:positionV relativeFrom="paragraph">
                  <wp:posOffset>1906905</wp:posOffset>
                </wp:positionV>
                <wp:extent cx="120650" cy="112395"/>
                <wp:effectExtent l="0" t="0" r="12700" b="21590"/>
                <wp:wrapNone/>
                <wp:docPr id="21" name="椭圆 21"/>
                <wp:cNvGraphicFramePr/>
                <a:graphic xmlns:a="http://schemas.openxmlformats.org/drawingml/2006/main">
                  <a:graphicData uri="http://schemas.microsoft.com/office/word/2010/wordprocessingShape">
                    <wps:wsp>
                      <wps:cNvSpPr/>
                      <wps:spPr>
                        <a:xfrm>
                          <a:off x="0" y="0"/>
                          <a:ext cx="120770" cy="1121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5.05pt;margin-top:150.15pt;height:8.85pt;width:9.5pt;z-index:251660288;v-text-anchor:middle;mso-width-relative:page;mso-height-relative:page;" fillcolor="#FF0000" filled="t" stroked="t" coordsize="21600,21600" o:gfxdata="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nmpbhdUAAAALAQAADwAAAAAAAAABACAAAAAiAAAAZHJzL2Rvd25y&#10;ZXYueG1sUEsBAhQAFAAAAAgAh07iQGgPbAJzAgAAAwUAAA4AAAAAAAAAAQAgAAAAJAEAAGRycy9l&#10;Mm9Eb2MueG1sUEsFBgAAAAAGAAYAWQEAAAkGAAAAAA==&#10;">
                <v:fill on="t" focussize="0,0"/>
                <v:stroke weight="1pt" color="#FF0000 [3204]" miterlimit="8" joinstyle="miter"/>
                <v:imagedata o:title=""/>
                <o:lock v:ext="edit" aspectratio="f"/>
                <v:textbox>
                  <w:txbxContent>
                    <w:p>
                      <w:pPr>
                        <w:jc w:val="center"/>
                      </w:pPr>
                    </w:p>
                  </w:txbxContent>
                </v:textbox>
              </v:shape>
            </w:pict>
          </mc:Fallback>
        </mc:AlternateContent>
      </w:r>
    </w:p>
    <w:p>
      <w:pPr>
        <w:pStyle w:val="41"/>
        <w:outlineLvl w:val="0"/>
        <w:rPr>
          <w:rFonts w:hint="default" w:ascii="Times New Roman" w:hAnsi="Times New Roman" w:eastAsia="黑体" w:cs="Times New Roman"/>
          <w:b/>
          <w:color w:val="auto"/>
          <w:sz w:val="28"/>
          <w:szCs w:val="28"/>
        </w:rPr>
      </w:pPr>
      <w:bookmarkStart w:id="41" w:name="_Toc25154391"/>
      <w:r>
        <w:rPr>
          <w:rFonts w:hint="default" w:ascii="Times New Roman" w:hAnsi="Times New Roman" w:eastAsia="黑体" w:cs="Times New Roman"/>
          <w:b/>
          <w:color w:val="auto"/>
          <w:sz w:val="28"/>
          <w:szCs w:val="28"/>
        </w:rPr>
        <w:t>附图2：厂区平面布置图</w:t>
      </w:r>
      <w:bookmarkEnd w:id="41"/>
    </w:p>
    <w:p>
      <w:pPr>
        <w:pStyle w:val="41"/>
        <w:rPr>
          <w:rFonts w:hint="default" w:ascii="Times New Roman" w:hAnsi="Times New Roman" w:eastAsia="黑体" w:cs="Times New Roman"/>
          <w:b/>
          <w:color w:val="auto"/>
          <w:sz w:val="28"/>
          <w:szCs w:val="28"/>
        </w:rPr>
        <w:sectPr>
          <w:pgSz w:w="16839" w:h="11907" w:orient="landscape"/>
          <w:pgMar w:top="1440" w:right="1800" w:bottom="1440" w:left="1800" w:header="851" w:footer="992" w:gutter="0"/>
          <w:pgBorders>
            <w:top w:val="none" w:sz="0" w:space="0"/>
            <w:left w:val="none" w:sz="0" w:space="0"/>
            <w:bottom w:val="none" w:sz="0" w:space="0"/>
            <w:right w:val="none" w:sz="0" w:space="0"/>
          </w:pgBorders>
          <w:cols w:space="720" w:num="1"/>
          <w:docGrid w:type="linesAndChars" w:linePitch="312" w:charSpace="0"/>
        </w:sectPr>
      </w:pPr>
      <w:r>
        <w:rPr>
          <w:rFonts w:hint="default" w:ascii="Times New Roman" w:hAnsi="Times New Roman" w:eastAsia="黑体" w:cs="Times New Roman"/>
          <w:b/>
          <w:color w:val="auto"/>
          <w:sz w:val="28"/>
          <w:szCs w:val="28"/>
        </w:rPr>
        <w:t xml:space="preserve">   </w:t>
      </w:r>
      <w:r>
        <w:rPr>
          <w:rFonts w:hint="default" w:ascii="Times New Roman" w:hAnsi="Times New Roman" w:eastAsia="黑体" w:cs="Times New Roman"/>
          <w:b/>
          <w:color w:val="auto"/>
          <w:sz w:val="28"/>
          <w:szCs w:val="28"/>
        </w:rPr>
        <w:drawing>
          <wp:inline distT="0" distB="0" distL="114300" distR="114300">
            <wp:extent cx="7362825" cy="5083175"/>
            <wp:effectExtent l="0" t="0" r="9525" b="3175"/>
            <wp:docPr id="26" name="图片 26" descr="同江市垃圾填埋场渗滤液处理改造工程—厂区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同江市垃圾填埋场渗滤液处理改造工程—厂区平面布置图"/>
                    <pic:cNvPicPr>
                      <a:picLocks noChangeAspect="1"/>
                    </pic:cNvPicPr>
                  </pic:nvPicPr>
                  <pic:blipFill>
                    <a:blip r:embed="rId41"/>
                    <a:stretch>
                      <a:fillRect/>
                    </a:stretch>
                  </pic:blipFill>
                  <pic:spPr>
                    <a:xfrm>
                      <a:off x="0" y="0"/>
                      <a:ext cx="7362825" cy="5083175"/>
                    </a:xfrm>
                    <a:prstGeom prst="rect">
                      <a:avLst/>
                    </a:prstGeom>
                  </pic:spPr>
                </pic:pic>
              </a:graphicData>
            </a:graphic>
          </wp:inline>
        </w:drawing>
      </w:r>
      <w:r>
        <w:rPr>
          <w:rFonts w:hint="default" w:ascii="Times New Roman" w:hAnsi="Times New Roman" w:eastAsia="黑体" w:cs="Times New Roman"/>
          <w:b/>
          <w:color w:val="auto"/>
          <w:sz w:val="28"/>
          <w:szCs w:val="28"/>
        </w:rPr>
        <w:t xml:space="preserve">  </w:t>
      </w:r>
    </w:p>
    <w:p>
      <w:pPr>
        <w:pStyle w:val="41"/>
        <w:rPr>
          <w:rFonts w:hint="default" w:ascii="Times New Roman" w:hAnsi="Times New Roman" w:eastAsia="黑体" w:cs="Times New Roman"/>
          <w:b/>
          <w:color w:val="auto"/>
          <w:sz w:val="28"/>
          <w:szCs w:val="28"/>
        </w:rPr>
      </w:pPr>
    </w:p>
    <w:p>
      <w:pPr>
        <w:pStyle w:val="41"/>
        <w:rPr>
          <w:rFonts w:hint="default" w:ascii="Times New Roman" w:hAnsi="Times New Roman" w:eastAsia="黑体" w:cs="Times New Roman"/>
          <w:b/>
          <w:color w:val="auto"/>
          <w:sz w:val="28"/>
          <w:szCs w:val="28"/>
        </w:rPr>
      </w:pPr>
      <w:r>
        <w:rPr>
          <w:rFonts w:hint="default" w:ascii="Times New Roman" w:hAnsi="Times New Roman" w:eastAsia="黑体" w:cs="Times New Roman"/>
          <w:b/>
          <w:color w:val="auto"/>
          <w:sz w:val="28"/>
          <w:szCs w:val="28"/>
        </w:rPr>
        <w:t>附图3 车间平面布置图</w:t>
      </w:r>
    </w:p>
    <w:p>
      <w:pPr>
        <w:pStyle w:val="41"/>
        <w:rPr>
          <w:rFonts w:hint="default" w:ascii="Times New Roman" w:hAnsi="Times New Roman" w:eastAsia="黑体" w:cs="Times New Roman"/>
          <w:b/>
          <w:color w:val="auto"/>
          <w:sz w:val="28"/>
          <w:szCs w:val="28"/>
        </w:rPr>
      </w:pPr>
    </w:p>
    <w:p>
      <w:pPr>
        <w:pStyle w:val="41"/>
        <w:rPr>
          <w:rFonts w:hint="default" w:ascii="Times New Roman" w:hAnsi="Times New Roman" w:eastAsia="黑体" w:cs="Times New Roman"/>
          <w:b/>
          <w:color w:val="auto"/>
          <w:sz w:val="28"/>
          <w:szCs w:val="28"/>
        </w:rPr>
        <w:sectPr>
          <w:pgSz w:w="11907" w:h="16839"/>
          <w:pgMar w:top="1800" w:right="1440" w:bottom="1800" w:left="1440" w:header="851" w:footer="992" w:gutter="0"/>
          <w:pgBorders>
            <w:top w:val="none" w:sz="0" w:space="0"/>
            <w:left w:val="none" w:sz="0" w:space="0"/>
            <w:bottom w:val="none" w:sz="0" w:space="0"/>
            <w:right w:val="none" w:sz="0" w:space="0"/>
          </w:pgBorders>
          <w:cols w:space="720" w:num="1"/>
          <w:docGrid w:type="linesAndChars" w:linePitch="312" w:charSpace="0"/>
        </w:sectPr>
      </w:pPr>
      <w:r>
        <w:rPr>
          <w:rFonts w:hint="default" w:ascii="Times New Roman" w:hAnsi="Times New Roman" w:eastAsia="黑体" w:cs="Times New Roman"/>
          <w:b/>
          <w:color w:val="auto"/>
          <w:sz w:val="28"/>
          <w:szCs w:val="28"/>
        </w:rPr>
        <w:drawing>
          <wp:inline distT="0" distB="0" distL="114300" distR="114300">
            <wp:extent cx="4732655" cy="6124575"/>
            <wp:effectExtent l="0" t="0" r="10795" b="9525"/>
            <wp:docPr id="40" name="图片 40" descr="同江市垃圾填埋场渗滤液处理改造工程—车间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同江市垃圾填埋场渗滤液处理改造工程—车间平面布置图"/>
                    <pic:cNvPicPr>
                      <a:picLocks noChangeAspect="1"/>
                    </pic:cNvPicPr>
                  </pic:nvPicPr>
                  <pic:blipFill>
                    <a:blip r:embed="rId42"/>
                    <a:stretch>
                      <a:fillRect/>
                    </a:stretch>
                  </pic:blipFill>
                  <pic:spPr>
                    <a:xfrm>
                      <a:off x="0" y="0"/>
                      <a:ext cx="4732655" cy="6124575"/>
                    </a:xfrm>
                    <a:prstGeom prst="rect">
                      <a:avLst/>
                    </a:prstGeom>
                  </pic:spPr>
                </pic:pic>
              </a:graphicData>
            </a:graphic>
          </wp:inline>
        </w:drawing>
      </w:r>
    </w:p>
    <w:p>
      <w:pPr>
        <w:pStyle w:val="41"/>
        <w:outlineLvl w:val="0"/>
        <w:rPr>
          <w:rFonts w:hint="default" w:ascii="Times New Roman" w:hAnsi="Times New Roman" w:eastAsia="黑体" w:cs="Times New Roman"/>
          <w:b/>
          <w:color w:val="auto"/>
          <w:sz w:val="28"/>
          <w:szCs w:val="28"/>
        </w:rPr>
      </w:pPr>
      <w:bookmarkStart w:id="42" w:name="_Toc25154392"/>
      <w:r>
        <w:rPr>
          <w:rFonts w:hint="default" w:ascii="Times New Roman" w:hAnsi="Times New Roman" w:eastAsia="黑体" w:cs="Times New Roman"/>
          <w:b/>
          <w:color w:val="auto"/>
          <w:sz w:val="28"/>
          <w:szCs w:val="28"/>
        </w:rPr>
        <w:t>附图3：项目环境保护目标分布图</w:t>
      </w:r>
      <w:bookmarkEnd w:id="42"/>
    </w:p>
    <w:p>
      <w:pPr>
        <w:pStyle w:val="41"/>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黑体" w:cs="Times New Roman"/>
          <w:b/>
          <w:color w:val="auto"/>
          <w:sz w:val="28"/>
          <w:szCs w:val="28"/>
          <w:lang w:eastAsia="zh-CN"/>
        </w:rPr>
      </w:pPr>
      <w:r>
        <w:rPr>
          <w:rFonts w:hint="default" w:ascii="Times New Roman" w:hAnsi="Times New Roman" w:cs="Times New Roman"/>
          <w:color w:val="auto"/>
          <w:sz w:val="24"/>
        </w:rPr>
        <mc:AlternateContent>
          <mc:Choice Requires="wps">
            <w:drawing>
              <wp:anchor distT="0" distB="0" distL="114300" distR="114300" simplePos="0" relativeHeight="251798528" behindDoc="0" locked="0" layoutInCell="1" allowOverlap="1">
                <wp:simplePos x="0" y="0"/>
                <wp:positionH relativeFrom="column">
                  <wp:posOffset>2353945</wp:posOffset>
                </wp:positionH>
                <wp:positionV relativeFrom="paragraph">
                  <wp:posOffset>2830830</wp:posOffset>
                </wp:positionV>
                <wp:extent cx="885825" cy="295275"/>
                <wp:effectExtent l="6350" t="374015" r="174625" b="16510"/>
                <wp:wrapNone/>
                <wp:docPr id="35" name="矩形标注 35"/>
                <wp:cNvGraphicFramePr/>
                <a:graphic xmlns:a="http://schemas.openxmlformats.org/drawingml/2006/main">
                  <a:graphicData uri="http://schemas.microsoft.com/office/word/2010/wordprocessingShape">
                    <wps:wsp>
                      <wps:cNvSpPr/>
                      <wps:spPr>
                        <a:xfrm>
                          <a:off x="0" y="0"/>
                          <a:ext cx="885825" cy="295275"/>
                        </a:xfrm>
                        <a:prstGeom prst="wedgeRectCallout">
                          <a:avLst>
                            <a:gd name="adj1" fmla="val 64193"/>
                            <a:gd name="adj2" fmla="val -166559"/>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85.35pt;margin-top:222.9pt;height:23.25pt;width:69.75pt;z-index:251798528;v-text-anchor:middle;mso-width-relative:page;mso-height-relative:page;" fillcolor="#4472C4 [3204]" filled="t" stroked="t" coordsize="21600,21600" o:gfxdata="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DU3ZptwAAAAL&#10;AQAADwAAAAAAAAABACAAAAAiAAAAZHJzL2Rvd25yZXYueG1sUEsBAhQAFAAAAAgAh07iQHCYRtrD&#10;AgAAhgUAAA4AAAAAAAAAAQAgAAAAKwEAAGRycy9lMm9Eb2MueG1sUEsFBgAAAAAGAAYAWQEAAGAG&#10;AAAAAA==&#10;" adj="24666,-25177">
                <v:fill on="t" focussize="0,0"/>
                <v:stroke weight="1pt" color="#2F528F [3204]" miterlimit="8" joinstyle="miter"/>
                <v:imagedata o:title=""/>
                <o:lock v:ext="edit" aspectratio="f"/>
                <v:textbox>
                  <w:txbxContent>
                    <w:p>
                      <w:pPr>
                        <w:jc w:val="center"/>
                        <w:rPr>
                          <w:rFonts w:hint="default" w:eastAsia="宋体"/>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项目位置</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51424" behindDoc="0" locked="0" layoutInCell="1" allowOverlap="1">
                <wp:simplePos x="0" y="0"/>
                <wp:positionH relativeFrom="column">
                  <wp:posOffset>3468370</wp:posOffset>
                </wp:positionH>
                <wp:positionV relativeFrom="paragraph">
                  <wp:posOffset>1173480</wp:posOffset>
                </wp:positionV>
                <wp:extent cx="885825" cy="295275"/>
                <wp:effectExtent l="6350" t="6350" r="212725" b="365125"/>
                <wp:wrapNone/>
                <wp:docPr id="34" name="矩形标注 34"/>
                <wp:cNvGraphicFramePr/>
                <a:graphic xmlns:a="http://schemas.openxmlformats.org/drawingml/2006/main">
                  <a:graphicData uri="http://schemas.microsoft.com/office/word/2010/wordprocessingShape">
                    <wps:wsp>
                      <wps:cNvSpPr/>
                      <wps:spPr>
                        <a:xfrm>
                          <a:off x="0" y="0"/>
                          <a:ext cx="885825" cy="295275"/>
                        </a:xfrm>
                        <a:prstGeom prst="wedgeRectCallout">
                          <a:avLst>
                            <a:gd name="adj1" fmla="val 68494"/>
                            <a:gd name="adj2" fmla="val 162473"/>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东兴村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73.1pt;margin-top:92.4pt;height:23.25pt;width:69.75pt;z-index:251751424;v-text-anchor:middle;mso-width-relative:page;mso-height-relative:page;" fillcolor="#4472C4 [3204]" filled="t" stroked="t" coordsize="21600,21600" o:gfxdata="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HzNorbbAAAA&#10;CwEAAA8AAAAAAAAAAQAgAAAAIgAAAGRycy9kb3ducmV2LnhtbFBLAQIUABQAAAAIAIdO4kArE/y4&#10;xQIAAIUFAAAOAAAAAAAAAAEAIAAAACoBAABkcnMvZTJvRG9jLnhtbFBLBQYAAAAABgAGAFkBAABh&#10;BgAAAAA=&#10;" adj="25595,45894">
                <v:fill on="t" focussize="0,0"/>
                <v:stroke weight="1pt" color="#2F528F [3204]" miterlimit="8" joinstyle="miter"/>
                <v:imagedata o:title=""/>
                <o:lock v:ext="edit" aspectratio="f"/>
                <v:textbox>
                  <w:txbxContent>
                    <w:p>
                      <w:pPr>
                        <w:jc w:val="center"/>
                        <w:rPr>
                          <w:rFonts w:hint="default" w:eastAsia="宋体"/>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东兴村</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04320" behindDoc="0" locked="0" layoutInCell="1" allowOverlap="1">
                <wp:simplePos x="0" y="0"/>
                <wp:positionH relativeFrom="column">
                  <wp:posOffset>1582420</wp:posOffset>
                </wp:positionH>
                <wp:positionV relativeFrom="paragraph">
                  <wp:posOffset>1259205</wp:posOffset>
                </wp:positionV>
                <wp:extent cx="885825" cy="295275"/>
                <wp:effectExtent l="6350" t="6350" r="212725" b="365125"/>
                <wp:wrapNone/>
                <wp:docPr id="33" name="矩形标注 33"/>
                <wp:cNvGraphicFramePr/>
                <a:graphic xmlns:a="http://schemas.openxmlformats.org/drawingml/2006/main">
                  <a:graphicData uri="http://schemas.microsoft.com/office/word/2010/wordprocessingShape">
                    <wps:wsp>
                      <wps:cNvSpPr/>
                      <wps:spPr>
                        <a:xfrm>
                          <a:off x="3125470" y="2569845"/>
                          <a:ext cx="885825" cy="295275"/>
                        </a:xfrm>
                        <a:prstGeom prst="wedgeRectCallout">
                          <a:avLst>
                            <a:gd name="adj1" fmla="val 68494"/>
                            <a:gd name="adj2" fmla="val 162473"/>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东升村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24.6pt;margin-top:99.15pt;height:23.25pt;width:69.75pt;z-index:251704320;v-text-anchor:middle;mso-width-relative:page;mso-height-relative:page;" fillcolor="#4472C4 [3204]" filled="t" stroked="t" coordsize="21600,21600" o:gfxdata="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JQLNPfaAAAACwEAAA8AAAAAAAAAAQAgAAAAIgAAAGRycy9kb3ducmV2LnhtbFBLAQIUABQAAAAI&#10;AIdO4kAtJbDjzwIAAJEFAAAOAAAAAAAAAAEAIAAAACkBAABkcnMvZTJvRG9jLnhtbFBLBQYAAAAA&#10;BgAGAFkBAABqBgAAAAA=&#10;" adj="25595,45894">
                <v:fill on="t" focussize="0,0"/>
                <v:stroke weight="1pt" color="#2F528F [3204]" miterlimit="8" joinstyle="miter"/>
                <v:imagedata o:title=""/>
                <o:lock v:ext="edit" aspectratio="f"/>
                <v:textbox>
                  <w:txbxContent>
                    <w:p>
                      <w:pPr>
                        <w:jc w:val="center"/>
                        <w:rPr>
                          <w:rFonts w:hint="eastAsia" w:eastAsia="宋体"/>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东升村</w:t>
                      </w:r>
                    </w:p>
                  </w:txbxContent>
                </v:textbox>
              </v:shape>
            </w:pict>
          </mc:Fallback>
        </mc:AlternateContent>
      </w:r>
      <w:r>
        <w:rPr>
          <w:rFonts w:hint="default" w:ascii="Times New Roman" w:hAnsi="Times New Roman" w:cs="Times New Roman"/>
          <w:color w:val="auto"/>
        </w:rPr>
        <w:drawing>
          <wp:anchor distT="0" distB="0" distL="114300" distR="114300" simplePos="0" relativeHeight="251703296" behindDoc="0" locked="0" layoutInCell="1" allowOverlap="1">
            <wp:simplePos x="0" y="0"/>
            <wp:positionH relativeFrom="column">
              <wp:posOffset>7255510</wp:posOffset>
            </wp:positionH>
            <wp:positionV relativeFrom="paragraph">
              <wp:posOffset>238760</wp:posOffset>
            </wp:positionV>
            <wp:extent cx="1092835" cy="757555"/>
            <wp:effectExtent l="0" t="0" r="12065" b="4445"/>
            <wp:wrapNone/>
            <wp:docPr id="25" name="图片 12" descr="1541560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1541560523(1)"/>
                    <pic:cNvPicPr>
                      <a:picLocks noChangeAspect="1"/>
                    </pic:cNvPicPr>
                  </pic:nvPicPr>
                  <pic:blipFill>
                    <a:blip r:embed="rId39"/>
                    <a:stretch>
                      <a:fillRect/>
                    </a:stretch>
                  </pic:blipFill>
                  <pic:spPr>
                    <a:xfrm>
                      <a:off x="0" y="0"/>
                      <a:ext cx="1092835" cy="757555"/>
                    </a:xfrm>
                    <a:prstGeom prst="rect">
                      <a:avLst/>
                    </a:prstGeom>
                    <a:noFill/>
                    <a:ln>
                      <a:noFill/>
                    </a:ln>
                  </pic:spPr>
                </pic:pic>
              </a:graphicData>
            </a:graphic>
          </wp:anchor>
        </w:drawing>
      </w:r>
      <w:r>
        <w:rPr>
          <w:rFonts w:hint="default" w:ascii="Times New Roman" w:hAnsi="Times New Roman" w:cs="Times New Roman"/>
          <w:color w:val="auto"/>
          <w:sz w:val="28"/>
        </w:rPr>
        <mc:AlternateContent>
          <mc:Choice Requires="wps">
            <w:drawing>
              <wp:anchor distT="0" distB="0" distL="114300" distR="114300" simplePos="0" relativeHeight="251698176" behindDoc="0" locked="0" layoutInCell="1" allowOverlap="1">
                <wp:simplePos x="0" y="0"/>
                <wp:positionH relativeFrom="column">
                  <wp:posOffset>6735445</wp:posOffset>
                </wp:positionH>
                <wp:positionV relativeFrom="paragraph">
                  <wp:posOffset>4496435</wp:posOffset>
                </wp:positionV>
                <wp:extent cx="171450" cy="171450"/>
                <wp:effectExtent l="6350" t="6350" r="12700" b="12700"/>
                <wp:wrapNone/>
                <wp:docPr id="24" name="矩形 24"/>
                <wp:cNvGraphicFramePr/>
                <a:graphic xmlns:a="http://schemas.openxmlformats.org/drawingml/2006/main">
                  <a:graphicData uri="http://schemas.microsoft.com/office/word/2010/wordprocessingShape">
                    <wps:wsp>
                      <wps:cNvSpPr/>
                      <wps:spPr>
                        <a:xfrm>
                          <a:off x="7878445" y="5807075"/>
                          <a:ext cx="171450" cy="171450"/>
                        </a:xfrm>
                        <a:prstGeom prst="rect">
                          <a:avLst/>
                        </a:prstGeom>
                        <a:noFill/>
                        <a:ln>
                          <a:solidFill>
                            <a:srgbClr val="03127E"/>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0.35pt;margin-top:354.05pt;height:13.5pt;width:13.5pt;z-index:251698176;v-text-anchor:middle;mso-width-relative:page;mso-height-relative:page;" filled="f" stroked="t" coordsize="21600,21600" o:gfxdata="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xqjZatgAAAANAQAADwAAAAAAAAABACAAAAAi&#10;AAAAZHJzL2Rvd25yZXYueG1sUEsBAhQAFAAAAAgAh07iQEZwblN8AgAA4wQAAA4AAAAAAAAAAQAg&#10;AAAAJwEAAGRycy9lMm9Eb2MueG1sUEsFBgAAAAAGAAYAWQEAABUGAAAAAA==&#10;">
                <v:fill on="f" focussize="0,0"/>
                <v:stroke weight="1pt" color="#03127E [3204]" miterlimit="8" joinstyle="miter"/>
                <v:imagedata o:title=""/>
                <o:lock v:ext="edit" aspectratio="f"/>
                <v:textbox>
                  <w:txbxContent>
                    <w:p>
                      <w:pPr>
                        <w:jc w:val="center"/>
                      </w:pPr>
                    </w:p>
                  </w:txbxContent>
                </v:textbox>
              </v:rect>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97152" behindDoc="0" locked="0" layoutInCell="1" allowOverlap="1">
                <wp:simplePos x="0" y="0"/>
                <wp:positionH relativeFrom="column">
                  <wp:posOffset>6725920</wp:posOffset>
                </wp:positionH>
                <wp:positionV relativeFrom="paragraph">
                  <wp:posOffset>4191635</wp:posOffset>
                </wp:positionV>
                <wp:extent cx="152400" cy="161925"/>
                <wp:effectExtent l="6350" t="6350" r="12700" b="22225"/>
                <wp:wrapNone/>
                <wp:docPr id="23" name="矩形 23"/>
                <wp:cNvGraphicFramePr/>
                <a:graphic xmlns:a="http://schemas.openxmlformats.org/drawingml/2006/main">
                  <a:graphicData uri="http://schemas.microsoft.com/office/word/2010/wordprocessingShape">
                    <wps:wsp>
                      <wps:cNvSpPr/>
                      <wps:spPr>
                        <a:xfrm>
                          <a:off x="7868920" y="5502275"/>
                          <a:ext cx="152400" cy="16192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9.6pt;margin-top:330.05pt;height:12.75pt;width:12pt;z-index:251697152;v-text-anchor:middle;mso-width-relative:page;mso-height-relative:page;" fillcolor="#92D050" filled="t" stroked="t" coordsize="21600,21600" o:gfxdata="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N92dS3ZAAAADQEAAA8AAAAAAAAA&#10;AQAgAAAAIgAAAGRycy9kb3ducmV2LnhtbFBLAQIUABQAAAAIAIdO4kCOmDoIggIAAAwFAAAOAAAA&#10;AAAAAAEAIAAAACgBAABkcnMvZTJvRG9jLnhtbFBLBQYAAAAABgAGAFkBAAAcBgAAAAA=&#10;">
                <v:fill on="t" focussize="0,0"/>
                <v:stroke weight="1pt" color="#92D050 [3204]" miterlimit="8" joinstyle="miter"/>
                <v:imagedata o:title=""/>
                <o:lock v:ext="edit" aspectratio="f"/>
                <v:textbox>
                  <w:txbxContent>
                    <w:p>
                      <w:pPr>
                        <w:jc w:val="center"/>
                      </w:pPr>
                    </w:p>
                  </w:txbxContent>
                </v:textbox>
              </v:rect>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96128" behindDoc="0" locked="0" layoutInCell="1" allowOverlap="1">
                <wp:simplePos x="0" y="0"/>
                <wp:positionH relativeFrom="column">
                  <wp:posOffset>6735445</wp:posOffset>
                </wp:positionH>
                <wp:positionV relativeFrom="paragraph">
                  <wp:posOffset>3982085</wp:posOffset>
                </wp:positionV>
                <wp:extent cx="95250" cy="104775"/>
                <wp:effectExtent l="6350" t="6350" r="12700" b="22225"/>
                <wp:wrapNone/>
                <wp:docPr id="22" name="椭圆 22"/>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30.35pt;margin-top:313.55pt;height:8.25pt;width:7.5pt;z-index:251696128;v-text-anchor:middle;mso-width-relative:page;mso-height-relative:page;" fillcolor="#FF0000" filled="t" stroked="t" coordsize="21600,21600" o:gfxdata="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qCFlytcAAAANAQAADwAAAAAAAAABACAAAAAiAAAAZHJzL2Rv&#10;d25yZXYueG1sUEsBAhQAFAAAAAgAh07iQI+bsqV0AgAAAgUAAA4AAAAAAAAAAQAgAAAAJgEAAGRy&#10;cy9lMm9Eb2MueG1sUEsFBgAAAAAGAAYAWQEAAAwGAAAAAA==&#10;">
                <v:fill on="t" focussize="0,0"/>
                <v:stroke weight="1pt" color="#FF0000 [3204]" miterlimit="8" joinstyle="miter"/>
                <v:imagedata o:title=""/>
                <o:lock v:ext="edit" aspectratio="f"/>
                <v:textbox>
                  <w:txbxContent>
                    <w:p>
                      <w:pPr>
                        <w:jc w:val="center"/>
                      </w:pP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76672" behindDoc="0" locked="0" layoutInCell="1" allowOverlap="1">
                <wp:simplePos x="0" y="0"/>
                <wp:positionH relativeFrom="column">
                  <wp:posOffset>3373120</wp:posOffset>
                </wp:positionH>
                <wp:positionV relativeFrom="paragraph">
                  <wp:posOffset>2410460</wp:posOffset>
                </wp:positionV>
                <wp:extent cx="95250" cy="104775"/>
                <wp:effectExtent l="6350" t="6350" r="12700" b="22225"/>
                <wp:wrapNone/>
                <wp:docPr id="19" name="椭圆 19"/>
                <wp:cNvGraphicFramePr/>
                <a:graphic xmlns:a="http://schemas.openxmlformats.org/drawingml/2006/main">
                  <a:graphicData uri="http://schemas.microsoft.com/office/word/2010/wordprocessingShape">
                    <wps:wsp>
                      <wps:cNvSpPr/>
                      <wps:spPr>
                        <a:xfrm>
                          <a:off x="4525645" y="3721100"/>
                          <a:ext cx="95250" cy="10477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5.6pt;margin-top:189.8pt;height:8.25pt;width:7.5pt;z-index:251676672;v-text-anchor:middle;mso-width-relative:page;mso-height-relative:page;" fillcolor="#FF0000" filled="t" stroked="t" coordsize="21600,21600" o:gfxdata="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qgsgs9cAAAALAQAADwAAAAAAAAABACAA&#10;AAAiAAAAZHJzL2Rvd25yZXYueG1sUEsBAhQAFAAAAAgAh07iQAty2emAAgAADgUAAA4AAAAAAAAA&#10;AQAgAAAAJgEAAGRycy9lMm9Eb2MueG1sUEsFBgAAAAAGAAYAWQEAABgGAAAAAA==&#10;">
                <v:fill on="t" focussize="0,0"/>
                <v:stroke weight="1pt" color="#FF0000 [3204]" miterlimit="8" joinstyle="miter"/>
                <v:imagedata o:title=""/>
                <o:lock v:ext="edit" aspectratio="f"/>
                <v:textbox>
                  <w:txbxContent>
                    <w:p>
                      <w:pPr>
                        <w:jc w:val="center"/>
                      </w:pP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75648" behindDoc="0" locked="0" layoutInCell="1" allowOverlap="1">
                <wp:simplePos x="0" y="0"/>
                <wp:positionH relativeFrom="column">
                  <wp:posOffset>6621145</wp:posOffset>
                </wp:positionH>
                <wp:positionV relativeFrom="paragraph">
                  <wp:posOffset>3696335</wp:posOffset>
                </wp:positionV>
                <wp:extent cx="1724025" cy="1038225"/>
                <wp:effectExtent l="4445" t="4445" r="5080" b="5080"/>
                <wp:wrapNone/>
                <wp:docPr id="18" name="文本框 18"/>
                <wp:cNvGraphicFramePr/>
                <a:graphic xmlns:a="http://schemas.openxmlformats.org/drawingml/2006/main">
                  <a:graphicData uri="http://schemas.microsoft.com/office/word/2010/wordprocessingShape">
                    <wps:wsp>
                      <wps:cNvSpPr txBox="1"/>
                      <wps:spPr>
                        <a:xfrm>
                          <a:off x="7764145" y="5006975"/>
                          <a:ext cx="1724025" cy="1038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图例</w:t>
                            </w:r>
                          </w:p>
                          <w:p>
                            <w:pPr>
                              <w:pStyle w:val="2"/>
                              <w:rPr>
                                <w:rFonts w:hint="eastAsia"/>
                                <w:lang w:val="en-US" w:eastAsia="zh-CN"/>
                              </w:rPr>
                            </w:pPr>
                            <w:r>
                              <w:rPr>
                                <w:rFonts w:hint="eastAsia"/>
                                <w:lang w:val="en-US" w:eastAsia="zh-CN"/>
                              </w:rPr>
                              <w:t>项目地理位置</w:t>
                            </w:r>
                          </w:p>
                          <w:p>
                            <w:pPr>
                              <w:pStyle w:val="2"/>
                              <w:ind w:left="0" w:leftChars="0" w:firstLine="480" w:firstLineChars="0"/>
                              <w:rPr>
                                <w:rFonts w:hint="eastAsia"/>
                                <w:lang w:val="en-US" w:eastAsia="zh-CN"/>
                              </w:rPr>
                            </w:pPr>
                            <w:r>
                              <w:rPr>
                                <w:rFonts w:hint="eastAsia"/>
                                <w:lang w:val="en-US" w:eastAsia="zh-CN"/>
                              </w:rPr>
                              <w:t>环境敏感点</w:t>
                            </w:r>
                          </w:p>
                          <w:p>
                            <w:pPr>
                              <w:pStyle w:val="2"/>
                              <w:ind w:left="0" w:leftChars="0" w:firstLine="480" w:firstLineChars="0"/>
                              <w:rPr>
                                <w:rFonts w:hint="default"/>
                                <w:lang w:val="en-US" w:eastAsia="zh-CN"/>
                              </w:rPr>
                            </w:pPr>
                            <w:r>
                              <w:rPr>
                                <w:rFonts w:hint="eastAsia"/>
                                <w:lang w:val="en-US" w:eastAsia="zh-CN"/>
                              </w:rPr>
                              <w:t>大气评价范围</w:t>
                            </w:r>
                          </w:p>
                          <w:p>
                            <w:pPr>
                              <w:pStyle w:val="2"/>
                              <w:ind w:left="0" w:leftChars="0" w:firstLine="0" w:firstLineChars="0"/>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1.35pt;margin-top:291.05pt;height:81.75pt;width:135.75pt;z-index:251675648;mso-width-relative:page;mso-height-relative:page;" fillcolor="#FFFFFF [3201]" filled="t" stroked="t" coordsize="21600,21600" o:gfxdata="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LBi982QAAAA0BAAAPAAAAAAAAAAEAIAAAACIAAABkcnMvZG93bnJldi54bWxQSwEC&#10;FAAUAAAACACHTuJAPnJb2GUCAADGBAAADgAAAAAAAAABACAAAAAoAQAAZHJzL2Uyb0RvYy54bWxQ&#10;SwUGAAAAAAYABgBZAQAA/wU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图例</w:t>
                      </w:r>
                    </w:p>
                    <w:p>
                      <w:pPr>
                        <w:pStyle w:val="2"/>
                        <w:rPr>
                          <w:rFonts w:hint="eastAsia"/>
                          <w:lang w:val="en-US" w:eastAsia="zh-CN"/>
                        </w:rPr>
                      </w:pPr>
                      <w:r>
                        <w:rPr>
                          <w:rFonts w:hint="eastAsia"/>
                          <w:lang w:val="en-US" w:eastAsia="zh-CN"/>
                        </w:rPr>
                        <w:t>项目地理位置</w:t>
                      </w:r>
                    </w:p>
                    <w:p>
                      <w:pPr>
                        <w:pStyle w:val="2"/>
                        <w:ind w:left="0" w:leftChars="0" w:firstLine="480" w:firstLineChars="0"/>
                        <w:rPr>
                          <w:rFonts w:hint="eastAsia"/>
                          <w:lang w:val="en-US" w:eastAsia="zh-CN"/>
                        </w:rPr>
                      </w:pPr>
                      <w:r>
                        <w:rPr>
                          <w:rFonts w:hint="eastAsia"/>
                          <w:lang w:val="en-US" w:eastAsia="zh-CN"/>
                        </w:rPr>
                        <w:t>环境敏感点</w:t>
                      </w:r>
                    </w:p>
                    <w:p>
                      <w:pPr>
                        <w:pStyle w:val="2"/>
                        <w:ind w:left="0" w:leftChars="0" w:firstLine="480" w:firstLineChars="0"/>
                        <w:rPr>
                          <w:rFonts w:hint="default"/>
                          <w:lang w:val="en-US" w:eastAsia="zh-CN"/>
                        </w:rPr>
                      </w:pPr>
                      <w:r>
                        <w:rPr>
                          <w:rFonts w:hint="eastAsia"/>
                          <w:lang w:val="en-US" w:eastAsia="zh-CN"/>
                        </w:rPr>
                        <w:t>大气评价范围</w:t>
                      </w:r>
                    </w:p>
                    <w:p>
                      <w:pPr>
                        <w:pStyle w:val="2"/>
                        <w:ind w:left="0" w:leftChars="0" w:firstLine="0" w:firstLineChars="0"/>
                        <w:rPr>
                          <w:rFonts w:hint="eastAsia"/>
                          <w:lang w:val="en-US" w:eastAsia="zh-CN"/>
                        </w:rPr>
                      </w:pP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74624" behindDoc="0" locked="0" layoutInCell="1" allowOverlap="1">
                <wp:simplePos x="0" y="0"/>
                <wp:positionH relativeFrom="column">
                  <wp:posOffset>1449070</wp:posOffset>
                </wp:positionH>
                <wp:positionV relativeFrom="paragraph">
                  <wp:posOffset>581660</wp:posOffset>
                </wp:positionV>
                <wp:extent cx="3914775" cy="3829050"/>
                <wp:effectExtent l="13970" t="13970" r="14605" b="24130"/>
                <wp:wrapNone/>
                <wp:docPr id="17" name="矩形 17"/>
                <wp:cNvGraphicFramePr/>
                <a:graphic xmlns:a="http://schemas.openxmlformats.org/drawingml/2006/main">
                  <a:graphicData uri="http://schemas.microsoft.com/office/word/2010/wordprocessingShape">
                    <wps:wsp>
                      <wps:cNvSpPr/>
                      <wps:spPr>
                        <a:xfrm>
                          <a:off x="2611120" y="2035175"/>
                          <a:ext cx="3914775" cy="3829050"/>
                        </a:xfrm>
                        <a:prstGeom prst="rect">
                          <a:avLst/>
                        </a:prstGeom>
                        <a:noFill/>
                        <a:ln w="28575" cmpd="sng">
                          <a:solidFill>
                            <a:srgbClr val="03127E"/>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4.1pt;margin-top:45.8pt;height:301.5pt;width:308.25pt;z-index:251674624;v-text-anchor:middle;mso-width-relative:page;mso-height-relative:page;" filled="f" stroked="t" coordsize="21600,21600" o:gfxdata="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JxaF69oAAAAKAQAADwAAAAAAAAAB&#10;ACAAAAAiAAAAZHJzL2Rvd25yZXYueG1sUEsBAhQAFAAAAAgAh07iQPMBgh+AAgAA5QQAAA4AAAAA&#10;AAAAAQAgAAAAKQEAAGRycy9lMm9Eb2MueG1sUEsFBgAAAAAGAAYAWQEAABsGAAAAAA==&#10;">
                <v:fill on="f" focussize="0,0"/>
                <v:stroke weight="2.25pt" color="#03127E [3204]" miterlimit="8"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b/>
          <w:color w:val="auto"/>
          <w:sz w:val="28"/>
          <w:szCs w:val="28"/>
        </w:rPr>
        <w:t xml:space="preserve">  </w:t>
      </w:r>
      <w:r>
        <w:rPr>
          <w:rFonts w:hint="default" w:ascii="Times New Roman" w:hAnsi="Times New Roman" w:eastAsia="黑体" w:cs="Times New Roman"/>
          <w:b/>
          <w:color w:val="auto"/>
          <w:sz w:val="28"/>
          <w:szCs w:val="28"/>
          <w:lang w:eastAsia="zh-CN"/>
        </w:rPr>
        <w:drawing>
          <wp:inline distT="0" distB="0" distL="114300" distR="114300">
            <wp:extent cx="8391525" cy="4540250"/>
            <wp:effectExtent l="0" t="0" r="9525" b="12700"/>
            <wp:docPr id="16" name="图片 16" descr="大气评价范围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大气评价范围11"/>
                    <pic:cNvPicPr>
                      <a:picLocks noChangeAspect="1"/>
                    </pic:cNvPicPr>
                  </pic:nvPicPr>
                  <pic:blipFill>
                    <a:blip r:embed="rId43"/>
                    <a:stretch>
                      <a:fillRect/>
                    </a:stretch>
                  </pic:blipFill>
                  <pic:spPr>
                    <a:xfrm>
                      <a:off x="0" y="0"/>
                      <a:ext cx="8391525" cy="4540250"/>
                    </a:xfrm>
                    <a:prstGeom prst="rect">
                      <a:avLst/>
                    </a:prstGeom>
                    <a:ln>
                      <a:noFill/>
                    </a:ln>
                  </pic:spPr>
                </pic:pic>
              </a:graphicData>
            </a:graphic>
          </wp:inline>
        </w:drawing>
      </w:r>
    </w:p>
    <w:p>
      <w:pPr>
        <w:pStyle w:val="41"/>
        <w:keepNext w:val="0"/>
        <w:keepLines w:val="0"/>
        <w:pageBreakBefore w:val="0"/>
        <w:widowControl w:val="0"/>
        <w:kinsoku/>
        <w:wordWrap/>
        <w:overflowPunct/>
        <w:topLinePunct w:val="0"/>
        <w:autoSpaceDE w:val="0"/>
        <w:autoSpaceDN w:val="0"/>
        <w:bidi w:val="0"/>
        <w:adjustRightInd w:val="0"/>
        <w:snapToGrid/>
        <w:ind w:left="0" w:hanging="560" w:hangingChars="200"/>
        <w:textAlignment w:val="auto"/>
        <w:outlineLvl w:val="9"/>
        <w:rPr>
          <w:rFonts w:hint="default" w:ascii="Times New Roman" w:hAnsi="Times New Roman" w:eastAsia="黑体" w:cs="Times New Roman"/>
          <w:b/>
          <w:color w:val="auto"/>
          <w:sz w:val="28"/>
          <w:szCs w:val="28"/>
        </w:rPr>
      </w:pPr>
      <w:bookmarkStart w:id="43" w:name="_Toc25154393"/>
    </w:p>
    <w:bookmarkEnd w:id="43"/>
    <w:p>
      <w:pPr>
        <w:pStyle w:val="41"/>
        <w:jc w:val="center"/>
        <w:rPr>
          <w:rFonts w:hint="default" w:ascii="Times New Roman" w:hAnsi="Times New Roman" w:eastAsia="黑体" w:cs="Times New Roman"/>
          <w:b/>
          <w:color w:val="auto"/>
          <w:sz w:val="28"/>
          <w:szCs w:val="28"/>
        </w:rPr>
      </w:pPr>
    </w:p>
    <w:p>
      <w:pPr>
        <w:pStyle w:val="41"/>
        <w:rPr>
          <w:rFonts w:hint="default" w:ascii="Times New Roman" w:hAnsi="Times New Roman" w:eastAsia="黑体" w:cs="Times New Roman"/>
          <w:b/>
          <w:color w:val="auto"/>
          <w:sz w:val="28"/>
          <w:szCs w:val="28"/>
        </w:rPr>
      </w:pPr>
    </w:p>
    <w:p>
      <w:pPr>
        <w:pStyle w:val="41"/>
        <w:outlineLvl w:val="0"/>
        <w:rPr>
          <w:rFonts w:hint="default" w:ascii="Times New Roman" w:hAnsi="Times New Roman" w:eastAsia="黑体" w:cs="Times New Roman"/>
          <w:b/>
          <w:color w:val="auto"/>
          <w:sz w:val="28"/>
          <w:szCs w:val="28"/>
        </w:rPr>
      </w:pPr>
      <w:bookmarkStart w:id="44" w:name="_Toc25154395"/>
      <w:r>
        <w:rPr>
          <w:rFonts w:hint="default" w:ascii="Times New Roman" w:hAnsi="Times New Roman" w:eastAsia="黑体" w:cs="Times New Roman"/>
          <w:b/>
          <w:color w:val="auto"/>
          <w:sz w:val="28"/>
          <w:szCs w:val="28"/>
        </w:rPr>
        <w:t>附件1：建设项目大气环境影响评价自查表</w:t>
      </w:r>
      <w:bookmarkEnd w:id="44"/>
    </w:p>
    <w:tbl>
      <w:tblPr>
        <w:tblStyle w:val="33"/>
        <w:tblW w:w="13696" w:type="dxa"/>
        <w:tblInd w:w="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2140"/>
        <w:gridCol w:w="1270"/>
        <w:gridCol w:w="130"/>
        <w:gridCol w:w="298"/>
        <w:gridCol w:w="787"/>
        <w:gridCol w:w="179"/>
        <w:gridCol w:w="17"/>
        <w:gridCol w:w="197"/>
        <w:gridCol w:w="986"/>
        <w:gridCol w:w="393"/>
        <w:gridCol w:w="61"/>
        <w:gridCol w:w="923"/>
        <w:gridCol w:w="197"/>
        <w:gridCol w:w="396"/>
        <w:gridCol w:w="260"/>
        <w:gridCol w:w="168"/>
        <w:gridCol w:w="796"/>
        <w:gridCol w:w="156"/>
        <w:gridCol w:w="643"/>
        <w:gridCol w:w="188"/>
        <w:gridCol w:w="546"/>
        <w:gridCol w:w="802"/>
        <w:gridCol w:w="7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570" w:type="dxa"/>
            <w:gridSpan w:val="2"/>
            <w:tcBorders>
              <w:top w:val="single" w:color="auto" w:sz="12" w:space="0"/>
              <w:left w:val="single" w:color="auto" w:sz="12"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工作内容</w:t>
            </w:r>
          </w:p>
        </w:tc>
        <w:tc>
          <w:tcPr>
            <w:tcW w:w="10126" w:type="dxa"/>
            <w:gridSpan w:val="22"/>
            <w:tcBorders>
              <w:top w:val="single" w:color="auto" w:sz="12"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评价等级与范围</w:t>
            </w:r>
          </w:p>
        </w:tc>
        <w:tc>
          <w:tcPr>
            <w:tcW w:w="21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评价等级</w:t>
            </w:r>
          </w:p>
        </w:tc>
        <w:tc>
          <w:tcPr>
            <w:tcW w:w="2681" w:type="dxa"/>
            <w:gridSpan w:val="6"/>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一级□</w:t>
            </w:r>
          </w:p>
        </w:tc>
        <w:tc>
          <w:tcPr>
            <w:tcW w:w="3413" w:type="dxa"/>
            <w:gridSpan w:val="8"/>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4032" w:type="dxa"/>
            <w:gridSpan w:val="8"/>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hint="default" w:ascii="Times New Roman" w:hAnsi="Times New Roman" w:cs="Times New Roman"/>
                <w:color w:val="auto"/>
                <w:szCs w:val="21"/>
              </w:rPr>
            </w:pPr>
          </w:p>
        </w:tc>
        <w:tc>
          <w:tcPr>
            <w:tcW w:w="21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评价范围</w:t>
            </w:r>
          </w:p>
        </w:tc>
        <w:tc>
          <w:tcPr>
            <w:tcW w:w="2681" w:type="dxa"/>
            <w:gridSpan w:val="6"/>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边长=50km□</w:t>
            </w:r>
          </w:p>
        </w:tc>
        <w:tc>
          <w:tcPr>
            <w:tcW w:w="3413" w:type="dxa"/>
            <w:gridSpan w:val="8"/>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边长5~50km☑</w:t>
            </w:r>
          </w:p>
        </w:tc>
        <w:tc>
          <w:tcPr>
            <w:tcW w:w="4032" w:type="dxa"/>
            <w:gridSpan w:val="8"/>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边长=5km□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评价因子</w:t>
            </w:r>
          </w:p>
        </w:tc>
        <w:tc>
          <w:tcPr>
            <w:tcW w:w="21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x</w:t>
            </w:r>
            <w:r>
              <w:rPr>
                <w:rFonts w:hint="default" w:ascii="Times New Roman" w:hAnsi="Times New Roman" w:cs="Times New Roman"/>
                <w:color w:val="auto"/>
                <w:szCs w:val="21"/>
              </w:rPr>
              <w:t>排放量</w:t>
            </w:r>
          </w:p>
        </w:tc>
        <w:tc>
          <w:tcPr>
            <w:tcW w:w="2681" w:type="dxa"/>
            <w:gridSpan w:val="6"/>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≥2000t/a□</w:t>
            </w:r>
          </w:p>
        </w:tc>
        <w:tc>
          <w:tcPr>
            <w:tcW w:w="3413" w:type="dxa"/>
            <w:gridSpan w:val="8"/>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500~2000t/a□</w:t>
            </w:r>
          </w:p>
        </w:tc>
        <w:tc>
          <w:tcPr>
            <w:tcW w:w="4032" w:type="dxa"/>
            <w:gridSpan w:val="8"/>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＜500t/a□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hint="default" w:ascii="Times New Roman" w:hAnsi="Times New Roman" w:cs="Times New Roman"/>
                <w:color w:val="auto"/>
                <w:szCs w:val="21"/>
              </w:rPr>
            </w:pPr>
          </w:p>
        </w:tc>
        <w:tc>
          <w:tcPr>
            <w:tcW w:w="21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评价因子</w:t>
            </w:r>
          </w:p>
        </w:tc>
        <w:tc>
          <w:tcPr>
            <w:tcW w:w="5834" w:type="dxa"/>
            <w:gridSpan w:val="1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基本污染物（）</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其他污染物（NH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p>
        </w:tc>
        <w:tc>
          <w:tcPr>
            <w:tcW w:w="4292" w:type="dxa"/>
            <w:gridSpan w:val="9"/>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包括二次PM2.5□</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不包括二次PM2.5□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dxa"/>
            <w:tcBorders>
              <w:top w:val="single" w:color="auto" w:sz="4" w:space="0"/>
              <w:left w:val="single" w:color="auto" w:sz="12"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评价标准</w:t>
            </w:r>
          </w:p>
        </w:tc>
        <w:tc>
          <w:tcPr>
            <w:tcW w:w="21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评价标准</w:t>
            </w:r>
          </w:p>
        </w:tc>
        <w:tc>
          <w:tcPr>
            <w:tcW w:w="1698"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国家标准☑</w:t>
            </w:r>
          </w:p>
        </w:tc>
        <w:tc>
          <w:tcPr>
            <w:tcW w:w="2166" w:type="dxa"/>
            <w:gridSpan w:val="5"/>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地方标准□</w:t>
            </w:r>
          </w:p>
        </w:tc>
        <w:tc>
          <w:tcPr>
            <w:tcW w:w="3194" w:type="dxa"/>
            <w:gridSpan w:val="8"/>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附录D☑</w:t>
            </w:r>
          </w:p>
        </w:tc>
        <w:tc>
          <w:tcPr>
            <w:tcW w:w="3068" w:type="dxa"/>
            <w:gridSpan w:val="6"/>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其他标准□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现状评价</w:t>
            </w:r>
          </w:p>
        </w:tc>
        <w:tc>
          <w:tcPr>
            <w:tcW w:w="21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环境功能区</w:t>
            </w:r>
          </w:p>
        </w:tc>
        <w:tc>
          <w:tcPr>
            <w:tcW w:w="2664" w:type="dxa"/>
            <w:gridSpan w:val="5"/>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一类区□</w:t>
            </w:r>
          </w:p>
        </w:tc>
        <w:tc>
          <w:tcPr>
            <w:tcW w:w="3430" w:type="dxa"/>
            <w:gridSpan w:val="9"/>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二类区☑</w:t>
            </w:r>
          </w:p>
        </w:tc>
        <w:tc>
          <w:tcPr>
            <w:tcW w:w="4032" w:type="dxa"/>
            <w:gridSpan w:val="8"/>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一类区和二类区□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hint="default" w:ascii="Times New Roman" w:hAnsi="Times New Roman" w:cs="Times New Roman"/>
                <w:color w:val="auto"/>
                <w:szCs w:val="21"/>
              </w:rPr>
            </w:pPr>
          </w:p>
        </w:tc>
        <w:tc>
          <w:tcPr>
            <w:tcW w:w="21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评价基准年</w:t>
            </w:r>
          </w:p>
        </w:tc>
        <w:tc>
          <w:tcPr>
            <w:tcW w:w="10126" w:type="dxa"/>
            <w:gridSpan w:val="22"/>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（2018）年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hint="default" w:ascii="Times New Roman" w:hAnsi="Times New Roman" w:cs="Times New Roman"/>
                <w:color w:val="auto"/>
                <w:szCs w:val="21"/>
              </w:rPr>
            </w:pPr>
          </w:p>
        </w:tc>
        <w:tc>
          <w:tcPr>
            <w:tcW w:w="21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环境空气质量现状调查数据来源</w:t>
            </w:r>
          </w:p>
        </w:tc>
        <w:tc>
          <w:tcPr>
            <w:tcW w:w="2664" w:type="dxa"/>
            <w:gridSpan w:val="5"/>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长期例行监测数据</w:t>
            </w:r>
          </w:p>
        </w:tc>
        <w:tc>
          <w:tcPr>
            <w:tcW w:w="3430" w:type="dxa"/>
            <w:gridSpan w:val="9"/>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主管部门发布的数据☑</w:t>
            </w:r>
          </w:p>
        </w:tc>
        <w:tc>
          <w:tcPr>
            <w:tcW w:w="4032" w:type="dxa"/>
            <w:gridSpan w:val="8"/>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现状补充监测☑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hint="default" w:ascii="Times New Roman" w:hAnsi="Times New Roman" w:cs="Times New Roman"/>
                <w:color w:val="auto"/>
                <w:szCs w:val="21"/>
              </w:rPr>
            </w:pPr>
          </w:p>
        </w:tc>
        <w:tc>
          <w:tcPr>
            <w:tcW w:w="21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现状评价</w:t>
            </w:r>
          </w:p>
        </w:tc>
        <w:tc>
          <w:tcPr>
            <w:tcW w:w="6094" w:type="dxa"/>
            <w:gridSpan w:val="1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达标区□☑</w:t>
            </w:r>
          </w:p>
        </w:tc>
        <w:tc>
          <w:tcPr>
            <w:tcW w:w="4032" w:type="dxa"/>
            <w:gridSpan w:val="8"/>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不达标区□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dxa"/>
            <w:tcBorders>
              <w:top w:val="single" w:color="auto" w:sz="4" w:space="0"/>
              <w:left w:val="single" w:color="auto" w:sz="12"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污染源</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调查</w:t>
            </w:r>
          </w:p>
        </w:tc>
        <w:tc>
          <w:tcPr>
            <w:tcW w:w="21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调查内容</w:t>
            </w:r>
          </w:p>
        </w:tc>
        <w:tc>
          <w:tcPr>
            <w:tcW w:w="2878" w:type="dxa"/>
            <w:gridSpan w:val="7"/>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本项目正常排放源☑</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本项目非正常排放源☑</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现有污染源□</w:t>
            </w:r>
          </w:p>
        </w:tc>
        <w:tc>
          <w:tcPr>
            <w:tcW w:w="2363"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拟替代的污染源□</w:t>
            </w:r>
          </w:p>
        </w:tc>
        <w:tc>
          <w:tcPr>
            <w:tcW w:w="3350" w:type="dxa"/>
            <w:gridSpan w:val="9"/>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其他在建、拟建项目</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污染源□</w:t>
            </w:r>
          </w:p>
        </w:tc>
        <w:tc>
          <w:tcPr>
            <w:tcW w:w="1535" w:type="dxa"/>
            <w:gridSpan w:val="2"/>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区域污染源□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大气环境影响预测与评价</w:t>
            </w:r>
          </w:p>
        </w:tc>
        <w:tc>
          <w:tcPr>
            <w:tcW w:w="21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预测模型</w:t>
            </w:r>
          </w:p>
        </w:tc>
        <w:tc>
          <w:tcPr>
            <w:tcW w:w="140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AERMOD□</w:t>
            </w:r>
          </w:p>
        </w:tc>
        <w:tc>
          <w:tcPr>
            <w:tcW w:w="108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ADMS□</w:t>
            </w:r>
          </w:p>
        </w:tc>
        <w:tc>
          <w:tcPr>
            <w:tcW w:w="1833" w:type="dxa"/>
            <w:gridSpan w:val="6"/>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AUSTAL2000□</w:t>
            </w:r>
          </w:p>
        </w:tc>
        <w:tc>
          <w:tcPr>
            <w:tcW w:w="1944" w:type="dxa"/>
            <w:gridSpan w:val="5"/>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EDMS/AEDT□</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CALPUFF□</w:t>
            </w:r>
          </w:p>
        </w:tc>
        <w:tc>
          <w:tcPr>
            <w:tcW w:w="1536"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网格模型□</w:t>
            </w:r>
          </w:p>
        </w:tc>
        <w:tc>
          <w:tcPr>
            <w:tcW w:w="733"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hint="default" w:ascii="Times New Roman" w:hAnsi="Times New Roman" w:cs="Times New Roman"/>
                <w:color w:val="auto"/>
                <w:szCs w:val="21"/>
              </w:rPr>
            </w:pPr>
          </w:p>
        </w:tc>
        <w:tc>
          <w:tcPr>
            <w:tcW w:w="21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预测范围</w:t>
            </w:r>
          </w:p>
        </w:tc>
        <w:tc>
          <w:tcPr>
            <w:tcW w:w="2664" w:type="dxa"/>
            <w:gridSpan w:val="5"/>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边长≥50km□</w:t>
            </w:r>
          </w:p>
        </w:tc>
        <w:tc>
          <w:tcPr>
            <w:tcW w:w="3430" w:type="dxa"/>
            <w:gridSpan w:val="9"/>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边长5~50km□</w:t>
            </w:r>
          </w:p>
        </w:tc>
        <w:tc>
          <w:tcPr>
            <w:tcW w:w="4032" w:type="dxa"/>
            <w:gridSpan w:val="8"/>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边长=5km☑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hint="default" w:ascii="Times New Roman" w:hAnsi="Times New Roman" w:cs="Times New Roman"/>
                <w:color w:val="auto"/>
                <w:szCs w:val="21"/>
              </w:rPr>
            </w:pPr>
          </w:p>
        </w:tc>
        <w:tc>
          <w:tcPr>
            <w:tcW w:w="21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预测因子</w:t>
            </w:r>
          </w:p>
        </w:tc>
        <w:tc>
          <w:tcPr>
            <w:tcW w:w="6094" w:type="dxa"/>
            <w:gridSpan w:val="1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预测因子（NH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p>
        </w:tc>
        <w:tc>
          <w:tcPr>
            <w:tcW w:w="4032" w:type="dxa"/>
            <w:gridSpan w:val="8"/>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b/>
                <w:color w:val="auto"/>
                <w:szCs w:val="21"/>
              </w:rPr>
            </w:pPr>
            <w:r>
              <w:rPr>
                <w:rFonts w:hint="default" w:ascii="Times New Roman" w:hAnsi="Times New Roman" w:cs="Times New Roman"/>
                <w:color w:val="auto"/>
                <w:szCs w:val="21"/>
              </w:rPr>
              <w:t>包括二次PM2.5□</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不包括二次PM2.5☑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hint="default" w:ascii="Times New Roman" w:hAnsi="Times New Roman" w:cs="Times New Roman"/>
                <w:color w:val="auto"/>
                <w:szCs w:val="21"/>
              </w:rPr>
            </w:pPr>
          </w:p>
        </w:tc>
        <w:tc>
          <w:tcPr>
            <w:tcW w:w="21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正常排放短期浓度贡献值</w:t>
            </w:r>
          </w:p>
        </w:tc>
        <w:tc>
          <w:tcPr>
            <w:tcW w:w="6094" w:type="dxa"/>
            <w:gridSpan w:val="1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w:t>
            </w:r>
            <w:r>
              <w:rPr>
                <w:rFonts w:hint="default" w:ascii="Times New Roman" w:hAnsi="Times New Roman" w:cs="Times New Roman"/>
                <w:color w:val="auto"/>
                <w:szCs w:val="21"/>
                <w:vertAlign w:val="subscript"/>
              </w:rPr>
              <w:t>本项目</w:t>
            </w:r>
            <w:r>
              <w:rPr>
                <w:rFonts w:hint="default" w:ascii="Times New Roman" w:hAnsi="Times New Roman" w:cs="Times New Roman"/>
                <w:color w:val="auto"/>
                <w:szCs w:val="21"/>
              </w:rPr>
              <w:t>最大占标率≤100%□</w:t>
            </w:r>
          </w:p>
        </w:tc>
        <w:tc>
          <w:tcPr>
            <w:tcW w:w="4032" w:type="dxa"/>
            <w:gridSpan w:val="8"/>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w:t>
            </w:r>
            <w:r>
              <w:rPr>
                <w:rFonts w:hint="default" w:ascii="Times New Roman" w:hAnsi="Times New Roman" w:cs="Times New Roman"/>
                <w:color w:val="auto"/>
                <w:szCs w:val="21"/>
                <w:vertAlign w:val="subscript"/>
              </w:rPr>
              <w:t>本项目</w:t>
            </w:r>
            <w:r>
              <w:rPr>
                <w:rFonts w:hint="default" w:ascii="Times New Roman" w:hAnsi="Times New Roman" w:cs="Times New Roman"/>
                <w:color w:val="auto"/>
                <w:szCs w:val="21"/>
              </w:rPr>
              <w:t>最大占标率＞100%□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hint="default" w:ascii="Times New Roman" w:hAnsi="Times New Roman" w:cs="Times New Roman"/>
                <w:color w:val="auto"/>
                <w:szCs w:val="21"/>
              </w:rPr>
            </w:pPr>
          </w:p>
        </w:tc>
        <w:tc>
          <w:tcPr>
            <w:tcW w:w="214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正常排放年均浓度贡献值</w:t>
            </w:r>
          </w:p>
        </w:tc>
        <w:tc>
          <w:tcPr>
            <w:tcW w:w="127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一类区</w:t>
            </w:r>
          </w:p>
        </w:tc>
        <w:tc>
          <w:tcPr>
            <w:tcW w:w="4824" w:type="dxa"/>
            <w:gridSpan w:val="1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w:t>
            </w:r>
            <w:r>
              <w:rPr>
                <w:rFonts w:hint="default" w:ascii="Times New Roman" w:hAnsi="Times New Roman" w:cs="Times New Roman"/>
                <w:color w:val="auto"/>
                <w:szCs w:val="21"/>
                <w:vertAlign w:val="subscript"/>
              </w:rPr>
              <w:t>本项目</w:t>
            </w:r>
            <w:r>
              <w:rPr>
                <w:rFonts w:hint="default" w:ascii="Times New Roman" w:hAnsi="Times New Roman" w:cs="Times New Roman"/>
                <w:color w:val="auto"/>
                <w:szCs w:val="21"/>
              </w:rPr>
              <w:t>最大占标率≤10%□</w:t>
            </w:r>
          </w:p>
        </w:tc>
        <w:tc>
          <w:tcPr>
            <w:tcW w:w="4032" w:type="dxa"/>
            <w:gridSpan w:val="8"/>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w:t>
            </w:r>
            <w:r>
              <w:rPr>
                <w:rFonts w:hint="default" w:ascii="Times New Roman" w:hAnsi="Times New Roman" w:cs="Times New Roman"/>
                <w:color w:val="auto"/>
                <w:szCs w:val="21"/>
                <w:vertAlign w:val="subscript"/>
              </w:rPr>
              <w:t>本项目</w:t>
            </w:r>
            <w:r>
              <w:rPr>
                <w:rFonts w:hint="default" w:ascii="Times New Roman" w:hAnsi="Times New Roman" w:cs="Times New Roman"/>
                <w:color w:val="auto"/>
                <w:szCs w:val="21"/>
              </w:rPr>
              <w:t>最大占标率＞10%□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hint="default" w:ascii="Times New Roman" w:hAnsi="Times New Roman" w:cs="Times New Roman"/>
                <w:color w:val="auto"/>
                <w:szCs w:val="21"/>
              </w:rPr>
            </w:pPr>
          </w:p>
        </w:tc>
        <w:tc>
          <w:tcPr>
            <w:tcW w:w="214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Cs w:val="21"/>
              </w:rPr>
            </w:pPr>
          </w:p>
        </w:tc>
        <w:tc>
          <w:tcPr>
            <w:tcW w:w="127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二类区</w:t>
            </w:r>
          </w:p>
        </w:tc>
        <w:tc>
          <w:tcPr>
            <w:tcW w:w="4824" w:type="dxa"/>
            <w:gridSpan w:val="1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w:t>
            </w:r>
            <w:r>
              <w:rPr>
                <w:rFonts w:hint="default" w:ascii="Times New Roman" w:hAnsi="Times New Roman" w:cs="Times New Roman"/>
                <w:color w:val="auto"/>
                <w:szCs w:val="21"/>
                <w:vertAlign w:val="subscript"/>
              </w:rPr>
              <w:t>本项目</w:t>
            </w:r>
            <w:r>
              <w:rPr>
                <w:rFonts w:hint="default" w:ascii="Times New Roman" w:hAnsi="Times New Roman" w:cs="Times New Roman"/>
                <w:color w:val="auto"/>
                <w:szCs w:val="21"/>
              </w:rPr>
              <w:t>最大占标率≤30%□</w:t>
            </w:r>
          </w:p>
        </w:tc>
        <w:tc>
          <w:tcPr>
            <w:tcW w:w="4032" w:type="dxa"/>
            <w:gridSpan w:val="8"/>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w:t>
            </w:r>
            <w:r>
              <w:rPr>
                <w:rFonts w:hint="default" w:ascii="Times New Roman" w:hAnsi="Times New Roman" w:cs="Times New Roman"/>
                <w:color w:val="auto"/>
                <w:szCs w:val="21"/>
                <w:vertAlign w:val="subscript"/>
              </w:rPr>
              <w:t>本项目</w:t>
            </w:r>
            <w:r>
              <w:rPr>
                <w:rFonts w:hint="default" w:ascii="Times New Roman" w:hAnsi="Times New Roman" w:cs="Times New Roman"/>
                <w:color w:val="auto"/>
                <w:szCs w:val="21"/>
              </w:rPr>
              <w:t>最大占标率＞30%□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hint="default" w:ascii="Times New Roman" w:hAnsi="Times New Roman" w:cs="Times New Roman"/>
                <w:color w:val="auto"/>
                <w:szCs w:val="21"/>
              </w:rPr>
            </w:pPr>
          </w:p>
        </w:tc>
        <w:tc>
          <w:tcPr>
            <w:tcW w:w="21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非正常排放1h浓度贡献值</w:t>
            </w:r>
          </w:p>
        </w:tc>
        <w:tc>
          <w:tcPr>
            <w:tcW w:w="2485"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非正常持续时长</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（）h</w:t>
            </w:r>
          </w:p>
        </w:tc>
        <w:tc>
          <w:tcPr>
            <w:tcW w:w="3609" w:type="dxa"/>
            <w:gridSpan w:val="10"/>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w:t>
            </w:r>
            <w:r>
              <w:rPr>
                <w:rFonts w:hint="default" w:ascii="Times New Roman" w:hAnsi="Times New Roman" w:cs="Times New Roman"/>
                <w:color w:val="auto"/>
                <w:szCs w:val="21"/>
                <w:vertAlign w:val="subscript"/>
              </w:rPr>
              <w:t>非正常</w:t>
            </w:r>
            <w:r>
              <w:rPr>
                <w:rFonts w:hint="default" w:ascii="Times New Roman" w:hAnsi="Times New Roman" w:cs="Times New Roman"/>
                <w:color w:val="auto"/>
                <w:szCs w:val="21"/>
              </w:rPr>
              <w:t>占标率≤100%□</w:t>
            </w:r>
          </w:p>
        </w:tc>
        <w:tc>
          <w:tcPr>
            <w:tcW w:w="4032" w:type="dxa"/>
            <w:gridSpan w:val="8"/>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w:t>
            </w:r>
            <w:r>
              <w:rPr>
                <w:rFonts w:hint="default" w:ascii="Times New Roman" w:hAnsi="Times New Roman" w:cs="Times New Roman"/>
                <w:color w:val="auto"/>
                <w:szCs w:val="21"/>
                <w:vertAlign w:val="subscript"/>
              </w:rPr>
              <w:t>非正常</w:t>
            </w:r>
            <w:r>
              <w:rPr>
                <w:rFonts w:hint="default" w:ascii="Times New Roman" w:hAnsi="Times New Roman" w:cs="Times New Roman"/>
                <w:color w:val="auto"/>
                <w:szCs w:val="21"/>
              </w:rPr>
              <w:t>占标率＞100%□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hint="default" w:ascii="Times New Roman" w:hAnsi="Times New Roman" w:cs="Times New Roman"/>
                <w:color w:val="auto"/>
                <w:szCs w:val="21"/>
              </w:rPr>
            </w:pPr>
          </w:p>
        </w:tc>
        <w:tc>
          <w:tcPr>
            <w:tcW w:w="21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保证率日平均浓度和年平均浓度叠加值</w:t>
            </w:r>
          </w:p>
        </w:tc>
        <w:tc>
          <w:tcPr>
            <w:tcW w:w="6094" w:type="dxa"/>
            <w:gridSpan w:val="1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w:t>
            </w:r>
            <w:r>
              <w:rPr>
                <w:rFonts w:hint="default" w:ascii="Times New Roman" w:hAnsi="Times New Roman" w:cs="Times New Roman"/>
                <w:color w:val="auto"/>
                <w:szCs w:val="21"/>
                <w:vertAlign w:val="subscript"/>
              </w:rPr>
              <w:t>叠加</w:t>
            </w:r>
            <w:r>
              <w:rPr>
                <w:rFonts w:hint="default" w:ascii="Times New Roman" w:hAnsi="Times New Roman" w:cs="Times New Roman"/>
                <w:color w:val="auto"/>
                <w:szCs w:val="21"/>
              </w:rPr>
              <w:t>达标□</w:t>
            </w:r>
          </w:p>
        </w:tc>
        <w:tc>
          <w:tcPr>
            <w:tcW w:w="4032" w:type="dxa"/>
            <w:gridSpan w:val="8"/>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w:t>
            </w:r>
            <w:r>
              <w:rPr>
                <w:rFonts w:hint="default" w:ascii="Times New Roman" w:hAnsi="Times New Roman" w:cs="Times New Roman"/>
                <w:color w:val="auto"/>
                <w:szCs w:val="21"/>
                <w:vertAlign w:val="subscript"/>
              </w:rPr>
              <w:t>叠加</w:t>
            </w:r>
            <w:r>
              <w:rPr>
                <w:rFonts w:hint="default" w:ascii="Times New Roman" w:hAnsi="Times New Roman" w:cs="Times New Roman"/>
                <w:color w:val="auto"/>
                <w:szCs w:val="21"/>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hint="default" w:ascii="Times New Roman" w:hAnsi="Times New Roman" w:cs="Times New Roman"/>
                <w:color w:val="auto"/>
                <w:szCs w:val="21"/>
              </w:rPr>
            </w:pPr>
          </w:p>
        </w:tc>
        <w:tc>
          <w:tcPr>
            <w:tcW w:w="21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区域环境质量的整体变化情况</w:t>
            </w:r>
          </w:p>
        </w:tc>
        <w:tc>
          <w:tcPr>
            <w:tcW w:w="6094" w:type="dxa"/>
            <w:gridSpan w:val="1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k≤-20%□</w:t>
            </w:r>
          </w:p>
        </w:tc>
        <w:tc>
          <w:tcPr>
            <w:tcW w:w="4032" w:type="dxa"/>
            <w:gridSpan w:val="8"/>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k＞-20%□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环境监测计划</w:t>
            </w:r>
          </w:p>
        </w:tc>
        <w:tc>
          <w:tcPr>
            <w:tcW w:w="21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污染源监测</w:t>
            </w:r>
          </w:p>
        </w:tc>
        <w:tc>
          <w:tcPr>
            <w:tcW w:w="4257" w:type="dxa"/>
            <w:gridSpan w:val="9"/>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监测因子：（）</w:t>
            </w:r>
          </w:p>
        </w:tc>
        <w:tc>
          <w:tcPr>
            <w:tcW w:w="2957" w:type="dxa"/>
            <w:gridSpan w:val="8"/>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有组织废气监测□</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无组织废气监测□</w:t>
            </w:r>
          </w:p>
        </w:tc>
        <w:tc>
          <w:tcPr>
            <w:tcW w:w="2912" w:type="dxa"/>
            <w:gridSpan w:val="5"/>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30"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hint="default" w:ascii="Times New Roman" w:hAnsi="Times New Roman" w:cs="Times New Roman"/>
                <w:color w:val="auto"/>
                <w:szCs w:val="21"/>
              </w:rPr>
            </w:pPr>
          </w:p>
        </w:tc>
        <w:tc>
          <w:tcPr>
            <w:tcW w:w="21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环境质量监测</w:t>
            </w:r>
          </w:p>
        </w:tc>
        <w:tc>
          <w:tcPr>
            <w:tcW w:w="4257" w:type="dxa"/>
            <w:gridSpan w:val="9"/>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监测因子：（NH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p>
        </w:tc>
        <w:tc>
          <w:tcPr>
            <w:tcW w:w="2957" w:type="dxa"/>
            <w:gridSpan w:val="8"/>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监测点位数（</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p>
        </w:tc>
        <w:tc>
          <w:tcPr>
            <w:tcW w:w="2912" w:type="dxa"/>
            <w:gridSpan w:val="5"/>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b/>
                <w:color w:val="auto"/>
                <w:szCs w:val="21"/>
              </w:rPr>
            </w:pPr>
            <w:r>
              <w:rPr>
                <w:rFonts w:hint="default" w:ascii="Times New Roman" w:hAnsi="Times New Roman" w:cs="Times New Roman"/>
                <w:color w:val="auto"/>
                <w:szCs w:val="21"/>
              </w:rPr>
              <w:t>无监测□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评价结论</w:t>
            </w:r>
          </w:p>
        </w:tc>
        <w:tc>
          <w:tcPr>
            <w:tcW w:w="21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环境影响</w:t>
            </w:r>
          </w:p>
        </w:tc>
        <w:tc>
          <w:tcPr>
            <w:tcW w:w="10126" w:type="dxa"/>
            <w:gridSpan w:val="22"/>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可以接受☑不可以接受□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hint="default" w:ascii="Times New Roman" w:hAnsi="Times New Roman" w:cs="Times New Roman"/>
                <w:color w:val="auto"/>
                <w:szCs w:val="21"/>
              </w:rPr>
            </w:pPr>
          </w:p>
        </w:tc>
        <w:tc>
          <w:tcPr>
            <w:tcW w:w="21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大气环境防护距离</w:t>
            </w:r>
          </w:p>
        </w:tc>
        <w:tc>
          <w:tcPr>
            <w:tcW w:w="10126" w:type="dxa"/>
            <w:gridSpan w:val="22"/>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距（）厂界最远（）m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0"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hint="default" w:ascii="Times New Roman" w:hAnsi="Times New Roman" w:cs="Times New Roman"/>
                <w:color w:val="auto"/>
                <w:szCs w:val="21"/>
              </w:rPr>
            </w:pPr>
          </w:p>
        </w:tc>
        <w:tc>
          <w:tcPr>
            <w:tcW w:w="21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污染源年排放量</w:t>
            </w:r>
          </w:p>
        </w:tc>
        <w:tc>
          <w:tcPr>
            <w:tcW w:w="2485"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：（）t/a</w:t>
            </w:r>
          </w:p>
        </w:tc>
        <w:tc>
          <w:tcPr>
            <w:tcW w:w="2953" w:type="dxa"/>
            <w:gridSpan w:val="8"/>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x</w:t>
            </w:r>
            <w:r>
              <w:rPr>
                <w:rFonts w:hint="default" w:ascii="Times New Roman" w:hAnsi="Times New Roman" w:cs="Times New Roman"/>
                <w:color w:val="auto"/>
                <w:szCs w:val="21"/>
              </w:rPr>
              <w:t>：（）t/a</w:t>
            </w:r>
          </w:p>
        </w:tc>
        <w:tc>
          <w:tcPr>
            <w:tcW w:w="2607" w:type="dxa"/>
            <w:gridSpan w:val="7"/>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颗粒物：（）t/a</w:t>
            </w:r>
          </w:p>
        </w:tc>
        <w:tc>
          <w:tcPr>
            <w:tcW w:w="2081" w:type="dxa"/>
            <w:gridSpan w:val="3"/>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VOCs：（）t/a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96" w:type="dxa"/>
            <w:gridSpan w:val="24"/>
            <w:tcBorders>
              <w:top w:val="single" w:color="auto" w:sz="4" w:space="0"/>
              <w:left w:val="single" w:color="auto" w:sz="12" w:space="0"/>
              <w:bottom w:val="single" w:color="auto" w:sz="12" w:space="0"/>
              <w:right w:val="single" w:color="auto" w:sz="12"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注：“□”为勾选项，填“√”；“（）”为内容填写项</w:t>
            </w:r>
          </w:p>
        </w:tc>
      </w:tr>
    </w:tbl>
    <w:p>
      <w:pPr>
        <w:pStyle w:val="41"/>
        <w:rPr>
          <w:rFonts w:hint="default" w:ascii="Times New Roman" w:hAnsi="Times New Roman" w:eastAsia="黑体" w:cs="Times New Roman"/>
          <w:b/>
          <w:color w:val="auto"/>
          <w:sz w:val="28"/>
          <w:szCs w:val="28"/>
        </w:rPr>
      </w:pPr>
    </w:p>
    <w:p>
      <w:pPr>
        <w:pStyle w:val="41"/>
        <w:outlineLvl w:val="0"/>
        <w:rPr>
          <w:rFonts w:hint="default" w:ascii="Times New Roman" w:hAnsi="Times New Roman" w:eastAsia="黑体" w:cs="Times New Roman"/>
          <w:b/>
          <w:color w:val="auto"/>
          <w:sz w:val="28"/>
          <w:szCs w:val="28"/>
        </w:rPr>
        <w:sectPr>
          <w:pgSz w:w="16839" w:h="11907" w:orient="landscape"/>
          <w:pgMar w:top="1440" w:right="1800" w:bottom="1440" w:left="1800" w:header="851" w:footer="992" w:gutter="0"/>
          <w:pgBorders>
            <w:top w:val="none" w:sz="0" w:space="0"/>
            <w:left w:val="none" w:sz="0" w:space="0"/>
            <w:bottom w:val="none" w:sz="0" w:space="0"/>
            <w:right w:val="none" w:sz="0" w:space="0"/>
          </w:pgBorders>
          <w:cols w:space="720" w:num="1"/>
          <w:docGrid w:type="linesAndChars" w:linePitch="312" w:charSpace="0"/>
        </w:sectPr>
      </w:pPr>
    </w:p>
    <w:p>
      <w:pPr>
        <w:pStyle w:val="41"/>
        <w:outlineLvl w:val="0"/>
        <w:rPr>
          <w:rFonts w:hint="default" w:ascii="Times New Roman" w:hAnsi="Times New Roman" w:eastAsia="黑体" w:cs="Times New Roman"/>
          <w:b/>
          <w:color w:val="auto"/>
          <w:sz w:val="28"/>
          <w:szCs w:val="28"/>
        </w:rPr>
      </w:pPr>
      <w:bookmarkStart w:id="45" w:name="_Toc25154396"/>
      <w:r>
        <w:rPr>
          <w:rFonts w:hint="default" w:ascii="Times New Roman" w:hAnsi="Times New Roman" w:eastAsia="黑体" w:cs="Times New Roman"/>
          <w:b/>
          <w:color w:val="auto"/>
          <w:sz w:val="28"/>
          <w:szCs w:val="28"/>
        </w:rPr>
        <w:t>附件2：建设项目地表水环境影响评价自查表</w:t>
      </w:r>
      <w:bookmarkEnd w:id="45"/>
    </w:p>
    <w:tbl>
      <w:tblPr>
        <w:tblStyle w:val="33"/>
        <w:tblW w:w="1372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
        <w:gridCol w:w="2834"/>
        <w:gridCol w:w="2042"/>
        <w:gridCol w:w="511"/>
        <w:gridCol w:w="851"/>
        <w:gridCol w:w="680"/>
        <w:gridCol w:w="1021"/>
        <w:gridCol w:w="1021"/>
        <w:gridCol w:w="256"/>
        <w:gridCol w:w="425"/>
        <w:gridCol w:w="1361"/>
        <w:gridCol w:w="50"/>
        <w:gridCol w:w="564"/>
        <w:gridCol w:w="16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260" w:type="dxa"/>
            <w:gridSpan w:val="2"/>
            <w:tcBorders>
              <w:top w:val="single" w:color="auto" w:sz="12" w:space="0"/>
              <w:left w:val="single" w:color="auto" w:sz="12" w:space="0"/>
              <w:bottom w:val="single" w:color="auto" w:sz="6" w:space="0"/>
              <w:right w:val="single" w:color="auto" w:sz="6" w:space="0"/>
            </w:tcBorders>
            <w:noWrap/>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工作内容</w:t>
            </w:r>
          </w:p>
        </w:tc>
        <w:tc>
          <w:tcPr>
            <w:tcW w:w="10467" w:type="dxa"/>
            <w:gridSpan w:val="12"/>
            <w:tcBorders>
              <w:top w:val="single" w:color="auto" w:sz="12" w:space="0"/>
              <w:left w:val="single" w:color="auto" w:sz="6" w:space="0"/>
              <w:bottom w:val="single" w:color="auto" w:sz="6" w:space="0"/>
              <w:right w:val="single" w:color="auto" w:sz="12" w:space="0"/>
            </w:tcBorders>
            <w:noWrap/>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自查项目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restart"/>
            <w:tcBorders>
              <w:top w:val="single" w:color="auto" w:sz="6" w:space="0"/>
              <w:left w:val="single" w:color="auto" w:sz="12" w:space="0"/>
              <w:bottom w:val="single" w:color="auto" w:sz="6" w:space="0"/>
              <w:right w:val="single" w:color="auto" w:sz="6" w:space="0"/>
            </w:tcBorders>
            <w:noWrap/>
            <w:textDirection w:val="tbRlV"/>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影响识别</w:t>
            </w:r>
          </w:p>
        </w:tc>
        <w:tc>
          <w:tcPr>
            <w:tcW w:w="2834"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影响类型</w:t>
            </w:r>
          </w:p>
        </w:tc>
        <w:tc>
          <w:tcPr>
            <w:tcW w:w="10467" w:type="dxa"/>
            <w:gridSpan w:val="12"/>
            <w:tcBorders>
              <w:top w:val="single" w:color="auto" w:sz="6" w:space="0"/>
              <w:left w:val="single" w:color="auto" w:sz="6" w:space="0"/>
              <w:bottom w:val="single" w:color="auto" w:sz="6" w:space="0"/>
              <w:right w:val="single" w:color="auto" w:sz="12" w:space="0"/>
            </w:tcBorders>
            <w:noWrap/>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水污染影响型☑；水文要素影响型□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水环境保护目标</w:t>
            </w:r>
          </w:p>
        </w:tc>
        <w:tc>
          <w:tcPr>
            <w:tcW w:w="10467" w:type="dxa"/>
            <w:gridSpan w:val="12"/>
            <w:tcBorders>
              <w:top w:val="single" w:color="auto" w:sz="6" w:space="0"/>
              <w:left w:val="single" w:color="auto" w:sz="6" w:space="0"/>
              <w:bottom w:val="single" w:color="auto" w:sz="6" w:space="0"/>
              <w:right w:val="single" w:color="auto" w:sz="12"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饮用水水源保护区□；饮用水取水口□；涉水的自然保护区□；重要湿地□；</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重点保护与珍稀水生生物的栖息地□；重要水生生物的自然产卵场及索饵场、越冬场和洄游通道、天然渔场等渔业水体□；涉水的风景名胜区□；其他□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vMerge w:val="restar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影响途径</w:t>
            </w:r>
          </w:p>
        </w:tc>
        <w:tc>
          <w:tcPr>
            <w:tcW w:w="5105" w:type="dxa"/>
            <w:gridSpan w:val="5"/>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水污染影响型</w:t>
            </w:r>
          </w:p>
        </w:tc>
        <w:tc>
          <w:tcPr>
            <w:tcW w:w="5362" w:type="dxa"/>
            <w:gridSpan w:val="7"/>
            <w:tcBorders>
              <w:top w:val="single" w:color="auto" w:sz="6" w:space="0"/>
              <w:left w:val="single" w:color="auto" w:sz="6" w:space="0"/>
              <w:bottom w:val="single" w:color="auto" w:sz="6"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水文要素影响型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vMerge w:val="continue"/>
            <w:tcBorders>
              <w:top w:val="single" w:color="auto" w:sz="6" w:space="0"/>
              <w:left w:val="single" w:color="auto" w:sz="6"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5105" w:type="dxa"/>
            <w:gridSpan w:val="5"/>
            <w:tcBorders>
              <w:top w:val="single" w:color="auto" w:sz="6" w:space="0"/>
              <w:left w:val="single" w:color="auto" w:sz="6"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直接排放□；间接排放□；其他☑</w:t>
            </w:r>
          </w:p>
        </w:tc>
        <w:tc>
          <w:tcPr>
            <w:tcW w:w="5362" w:type="dxa"/>
            <w:gridSpan w:val="7"/>
            <w:tcBorders>
              <w:top w:val="single" w:color="auto" w:sz="6" w:space="0"/>
              <w:left w:val="single" w:color="auto" w:sz="6" w:space="0"/>
              <w:bottom w:val="single" w:color="auto" w:sz="6" w:space="0"/>
              <w:right w:val="single" w:color="auto" w:sz="12"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水温□；径流□；水域面积□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影响因子</w:t>
            </w:r>
          </w:p>
        </w:tc>
        <w:tc>
          <w:tcPr>
            <w:tcW w:w="5105" w:type="dxa"/>
            <w:gridSpan w:val="5"/>
            <w:tcBorders>
              <w:top w:val="single" w:color="auto" w:sz="6" w:space="0"/>
              <w:left w:val="single" w:color="auto" w:sz="6"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持久性污染物□；有毒有害污染物□；非持久性污染物□；pH值□；热污染□；富营养化□；其他☑</w:t>
            </w:r>
          </w:p>
        </w:tc>
        <w:tc>
          <w:tcPr>
            <w:tcW w:w="5362" w:type="dxa"/>
            <w:gridSpan w:val="7"/>
            <w:tcBorders>
              <w:top w:val="single" w:color="auto" w:sz="6" w:space="0"/>
              <w:left w:val="single" w:color="auto" w:sz="6" w:space="0"/>
              <w:bottom w:val="single" w:color="auto" w:sz="6" w:space="0"/>
              <w:right w:val="single" w:color="auto" w:sz="12"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水温□；水位（水深）□；流速□；流量□；其他□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60" w:type="dxa"/>
            <w:gridSpan w:val="2"/>
            <w:vMerge w:val="restart"/>
            <w:tcBorders>
              <w:top w:val="single" w:color="auto" w:sz="6" w:space="0"/>
              <w:left w:val="single" w:color="auto" w:sz="12" w:space="0"/>
              <w:bottom w:val="single" w:color="auto" w:sz="6" w:space="0"/>
              <w:right w:val="single" w:color="auto" w:sz="6" w:space="0"/>
            </w:tcBorders>
            <w:noWrap/>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评价等级</w:t>
            </w:r>
          </w:p>
        </w:tc>
        <w:tc>
          <w:tcPr>
            <w:tcW w:w="5105" w:type="dxa"/>
            <w:gridSpan w:val="5"/>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水污染影响型</w:t>
            </w:r>
          </w:p>
        </w:tc>
        <w:tc>
          <w:tcPr>
            <w:tcW w:w="5362" w:type="dxa"/>
            <w:gridSpan w:val="7"/>
            <w:tcBorders>
              <w:top w:val="single" w:color="auto" w:sz="6" w:space="0"/>
              <w:left w:val="single" w:color="auto" w:sz="6" w:space="0"/>
              <w:bottom w:val="single" w:color="auto" w:sz="6"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水文要素影响型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60" w:type="dxa"/>
            <w:gridSpan w:val="2"/>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5105" w:type="dxa"/>
            <w:gridSpan w:val="5"/>
            <w:tcBorders>
              <w:top w:val="single" w:color="auto" w:sz="6" w:space="0"/>
              <w:left w:val="single" w:color="auto" w:sz="6" w:space="0"/>
              <w:bottom w:val="single" w:color="auto" w:sz="6" w:space="0"/>
              <w:right w:val="single" w:color="auto" w:sz="6" w:space="0"/>
            </w:tcBorders>
            <w:noWrap/>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一级□；二级□；三级A □；三级B☑</w:t>
            </w:r>
          </w:p>
        </w:tc>
        <w:tc>
          <w:tcPr>
            <w:tcW w:w="5362" w:type="dxa"/>
            <w:gridSpan w:val="7"/>
            <w:tcBorders>
              <w:top w:val="single" w:color="auto" w:sz="6" w:space="0"/>
              <w:left w:val="single" w:color="auto" w:sz="6" w:space="0"/>
              <w:bottom w:val="single" w:color="auto" w:sz="6" w:space="0"/>
              <w:right w:val="single" w:color="auto" w:sz="12"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一级□；二级□；三级□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restart"/>
            <w:tcBorders>
              <w:top w:val="single" w:color="auto" w:sz="6" w:space="0"/>
              <w:left w:val="single" w:color="auto" w:sz="12" w:space="0"/>
              <w:bottom w:val="single" w:color="auto" w:sz="6" w:space="0"/>
              <w:right w:val="single" w:color="auto" w:sz="6" w:space="0"/>
            </w:tcBorders>
            <w:noWrap/>
            <w:textDirection w:val="tbRlV"/>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现状调查</w:t>
            </w:r>
          </w:p>
        </w:tc>
        <w:tc>
          <w:tcPr>
            <w:tcW w:w="2834" w:type="dxa"/>
            <w:vMerge w:val="restar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区域污染源</w:t>
            </w:r>
          </w:p>
        </w:tc>
        <w:tc>
          <w:tcPr>
            <w:tcW w:w="5105" w:type="dxa"/>
            <w:gridSpan w:val="5"/>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调查项目</w:t>
            </w:r>
          </w:p>
        </w:tc>
        <w:tc>
          <w:tcPr>
            <w:tcW w:w="5362" w:type="dxa"/>
            <w:gridSpan w:val="7"/>
            <w:tcBorders>
              <w:top w:val="single" w:color="auto" w:sz="6" w:space="0"/>
              <w:left w:val="single" w:color="auto" w:sz="6" w:space="0"/>
              <w:bottom w:val="single" w:color="auto" w:sz="6" w:space="0"/>
              <w:right w:val="single" w:color="auto" w:sz="12" w:space="0"/>
            </w:tcBorders>
            <w:noWrap/>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vMerge w:val="continue"/>
            <w:tcBorders>
              <w:top w:val="single" w:color="auto" w:sz="6" w:space="0"/>
              <w:left w:val="single" w:color="auto" w:sz="6"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553" w:type="dxa"/>
            <w:gridSpan w:val="2"/>
            <w:tcBorders>
              <w:top w:val="single" w:color="auto" w:sz="6" w:space="0"/>
              <w:left w:val="single" w:color="auto" w:sz="6"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已建□；在建□；拟建□；其他□</w:t>
            </w:r>
          </w:p>
        </w:tc>
        <w:tc>
          <w:tcPr>
            <w:tcW w:w="2552" w:type="dxa"/>
            <w:gridSpan w:val="3"/>
            <w:tcBorders>
              <w:top w:val="single" w:color="auto" w:sz="6" w:space="0"/>
              <w:left w:val="single" w:color="auto" w:sz="6"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拟替代的污染源□</w:t>
            </w:r>
          </w:p>
        </w:tc>
        <w:tc>
          <w:tcPr>
            <w:tcW w:w="5362" w:type="dxa"/>
            <w:gridSpan w:val="7"/>
            <w:tcBorders>
              <w:top w:val="single" w:color="auto" w:sz="6" w:space="0"/>
              <w:left w:val="single" w:color="auto" w:sz="6" w:space="0"/>
              <w:bottom w:val="single" w:color="auto" w:sz="6" w:space="0"/>
              <w:right w:val="single" w:color="auto" w:sz="12"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排污许可证□；环评□；环保验收□；既有实测□；现场监测□；入河排放口数据□；其他□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vMerge w:val="restar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受影响水体水环境质量　</w:t>
            </w:r>
          </w:p>
        </w:tc>
        <w:tc>
          <w:tcPr>
            <w:tcW w:w="5105" w:type="dxa"/>
            <w:gridSpan w:val="5"/>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调查时期</w:t>
            </w:r>
          </w:p>
        </w:tc>
        <w:tc>
          <w:tcPr>
            <w:tcW w:w="5362" w:type="dxa"/>
            <w:gridSpan w:val="7"/>
            <w:tcBorders>
              <w:top w:val="single" w:color="auto" w:sz="6" w:space="0"/>
              <w:left w:val="single" w:color="auto" w:sz="6" w:space="0"/>
              <w:bottom w:val="single" w:color="auto" w:sz="6" w:space="0"/>
              <w:right w:val="single" w:color="auto" w:sz="12" w:space="0"/>
            </w:tcBorders>
            <w:noWrap/>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vMerge w:val="continue"/>
            <w:tcBorders>
              <w:top w:val="single" w:color="auto" w:sz="6" w:space="0"/>
              <w:left w:val="single" w:color="auto" w:sz="6"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5105" w:type="dxa"/>
            <w:gridSpan w:val="5"/>
            <w:tcBorders>
              <w:top w:val="single" w:color="auto" w:sz="6" w:space="0"/>
              <w:left w:val="single" w:color="auto" w:sz="6"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丰水期□；平水期□；枯水期□；冰封期□</w:t>
            </w:r>
          </w:p>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春季□；夏季□；秋季□；冬季□</w:t>
            </w:r>
          </w:p>
        </w:tc>
        <w:tc>
          <w:tcPr>
            <w:tcW w:w="5362" w:type="dxa"/>
            <w:gridSpan w:val="7"/>
            <w:tcBorders>
              <w:top w:val="single" w:color="auto" w:sz="6" w:space="0"/>
              <w:left w:val="single" w:color="auto" w:sz="6" w:space="0"/>
              <w:bottom w:val="single" w:color="auto" w:sz="6" w:space="0"/>
              <w:right w:val="single" w:color="auto" w:sz="12" w:space="0"/>
            </w:tcBorders>
            <w:noWrap/>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生态环境保护主管部门□；补充监测□；其他□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区域水资源开发利用状况</w:t>
            </w:r>
          </w:p>
        </w:tc>
        <w:tc>
          <w:tcPr>
            <w:tcW w:w="10467" w:type="dxa"/>
            <w:gridSpan w:val="12"/>
            <w:tcBorders>
              <w:top w:val="single" w:color="auto" w:sz="6" w:space="0"/>
              <w:left w:val="single" w:color="auto" w:sz="6" w:space="0"/>
              <w:bottom w:val="single" w:color="auto" w:sz="6" w:space="0"/>
              <w:right w:val="single" w:color="auto" w:sz="12" w:space="0"/>
            </w:tcBorders>
            <w:noWrap/>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未开发□；开发量40%以下□；开发量40%以上□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vMerge w:val="restar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水文情势调查　</w:t>
            </w:r>
          </w:p>
        </w:tc>
        <w:tc>
          <w:tcPr>
            <w:tcW w:w="5105" w:type="dxa"/>
            <w:gridSpan w:val="5"/>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调查时期</w:t>
            </w:r>
          </w:p>
        </w:tc>
        <w:tc>
          <w:tcPr>
            <w:tcW w:w="5362" w:type="dxa"/>
            <w:gridSpan w:val="7"/>
            <w:tcBorders>
              <w:top w:val="single" w:color="auto" w:sz="6" w:space="0"/>
              <w:left w:val="single" w:color="auto" w:sz="6" w:space="0"/>
              <w:bottom w:val="single" w:color="auto" w:sz="6" w:space="0"/>
              <w:right w:val="single" w:color="auto" w:sz="12" w:space="0"/>
            </w:tcBorders>
            <w:noWrap/>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vMerge w:val="continue"/>
            <w:tcBorders>
              <w:top w:val="single" w:color="auto" w:sz="6" w:space="0"/>
              <w:left w:val="single" w:color="auto" w:sz="6"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5105" w:type="dxa"/>
            <w:gridSpan w:val="5"/>
            <w:tcBorders>
              <w:top w:val="single" w:color="auto" w:sz="6" w:space="0"/>
              <w:left w:val="single" w:color="auto" w:sz="6"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丰水期□；平水期□；枯水期□；冰封期□</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春季□；夏季□；秋季□；冬季□</w:t>
            </w:r>
          </w:p>
        </w:tc>
        <w:tc>
          <w:tcPr>
            <w:tcW w:w="5362" w:type="dxa"/>
            <w:gridSpan w:val="7"/>
            <w:tcBorders>
              <w:top w:val="single" w:color="auto" w:sz="6" w:space="0"/>
              <w:left w:val="single" w:color="auto" w:sz="6" w:space="0"/>
              <w:bottom w:val="single" w:color="auto" w:sz="6" w:space="0"/>
              <w:right w:val="single" w:color="auto" w:sz="12" w:space="0"/>
            </w:tcBorders>
            <w:noWrap/>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水行政主管部门□；补充监测□；其他□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vMerge w:val="restar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补充监测　</w:t>
            </w:r>
          </w:p>
        </w:tc>
        <w:tc>
          <w:tcPr>
            <w:tcW w:w="5105" w:type="dxa"/>
            <w:gridSpan w:val="5"/>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监测时期</w:t>
            </w:r>
          </w:p>
        </w:tc>
        <w:tc>
          <w:tcPr>
            <w:tcW w:w="3113" w:type="dxa"/>
            <w:gridSpan w:val="5"/>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监测因子</w:t>
            </w:r>
          </w:p>
        </w:tc>
        <w:tc>
          <w:tcPr>
            <w:tcW w:w="2249" w:type="dxa"/>
            <w:gridSpan w:val="2"/>
            <w:tcBorders>
              <w:top w:val="single" w:color="auto" w:sz="6" w:space="0"/>
              <w:left w:val="single" w:color="auto" w:sz="6" w:space="0"/>
              <w:bottom w:val="single" w:color="auto" w:sz="6" w:space="0"/>
              <w:right w:val="single" w:color="auto" w:sz="12" w:space="0"/>
            </w:tcBorders>
            <w:noWrap/>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监测断面或点位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vMerge w:val="continue"/>
            <w:tcBorders>
              <w:top w:val="single" w:color="auto" w:sz="6" w:space="0"/>
              <w:left w:val="single" w:color="auto" w:sz="6"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5105" w:type="dxa"/>
            <w:gridSpan w:val="5"/>
            <w:tcBorders>
              <w:top w:val="single" w:color="auto" w:sz="6" w:space="0"/>
              <w:left w:val="single" w:color="auto" w:sz="6"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丰水期□；平水期□；枯水期□；冰封期□</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春季□；夏季□；秋季□；冬季□</w:t>
            </w:r>
          </w:p>
        </w:tc>
        <w:tc>
          <w:tcPr>
            <w:tcW w:w="3113" w:type="dxa"/>
            <w:gridSpan w:val="5"/>
            <w:tcBorders>
              <w:top w:val="single" w:color="auto" w:sz="6" w:space="0"/>
              <w:left w:val="single" w:color="auto" w:sz="6" w:space="0"/>
              <w:bottom w:val="single" w:color="auto" w:sz="6" w:space="0"/>
              <w:right w:val="single" w:color="auto" w:sz="6" w:space="0"/>
            </w:tcBorders>
            <w:noWrap/>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2249" w:type="dxa"/>
            <w:gridSpan w:val="2"/>
            <w:tcBorders>
              <w:top w:val="single" w:color="auto" w:sz="6" w:space="0"/>
              <w:left w:val="single" w:color="auto" w:sz="6" w:space="0"/>
              <w:bottom w:val="single" w:color="auto" w:sz="6" w:space="0"/>
              <w:right w:val="single" w:color="auto" w:sz="12" w:space="0"/>
            </w:tcBorders>
            <w:noWrap/>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监测断面或点位个数（）个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restart"/>
            <w:tcBorders>
              <w:top w:val="single" w:color="auto" w:sz="6" w:space="0"/>
              <w:left w:val="single" w:color="auto" w:sz="12" w:space="0"/>
              <w:bottom w:val="single" w:color="auto" w:sz="6" w:space="0"/>
              <w:right w:val="single" w:color="auto" w:sz="6" w:space="0"/>
            </w:tcBorders>
            <w:noWrap/>
            <w:textDirection w:val="tbRlV"/>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现状评价</w:t>
            </w:r>
          </w:p>
        </w:tc>
        <w:tc>
          <w:tcPr>
            <w:tcW w:w="2834"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评价范围</w:t>
            </w:r>
          </w:p>
        </w:tc>
        <w:tc>
          <w:tcPr>
            <w:tcW w:w="10467" w:type="dxa"/>
            <w:gridSpan w:val="12"/>
            <w:tcBorders>
              <w:top w:val="single" w:color="auto" w:sz="6" w:space="0"/>
              <w:left w:val="single" w:color="auto" w:sz="6" w:space="0"/>
              <w:bottom w:val="single" w:color="auto" w:sz="6" w:space="0"/>
              <w:right w:val="single" w:color="auto" w:sz="12" w:space="0"/>
            </w:tcBorders>
            <w:noWrap/>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河流：长度（）km；湖库、河口及近岸海域：面积（）km</w:t>
            </w:r>
            <w:r>
              <w:rPr>
                <w:rFonts w:hint="default" w:ascii="Times New Roman" w:hAnsi="Times New Roman" w:cs="Times New Roman"/>
                <w:color w:val="auto"/>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评价因子</w:t>
            </w:r>
          </w:p>
        </w:tc>
        <w:tc>
          <w:tcPr>
            <w:tcW w:w="10467" w:type="dxa"/>
            <w:gridSpan w:val="12"/>
            <w:tcBorders>
              <w:top w:val="single" w:color="auto" w:sz="6" w:space="0"/>
              <w:left w:val="single" w:color="auto" w:sz="6" w:space="0"/>
              <w:bottom w:val="single" w:color="auto" w:sz="6" w:space="0"/>
              <w:right w:val="single" w:color="auto" w:sz="12" w:space="0"/>
            </w:tcBorders>
            <w:noWrap/>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评价标准</w:t>
            </w:r>
          </w:p>
        </w:tc>
        <w:tc>
          <w:tcPr>
            <w:tcW w:w="10467" w:type="dxa"/>
            <w:gridSpan w:val="12"/>
            <w:tcBorders>
              <w:top w:val="single" w:color="auto" w:sz="6" w:space="0"/>
              <w:left w:val="single" w:color="auto" w:sz="6" w:space="0"/>
              <w:bottom w:val="single" w:color="auto" w:sz="6" w:space="0"/>
              <w:right w:val="single" w:color="auto" w:sz="12" w:space="0"/>
            </w:tcBorders>
            <w:noWrap/>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河流、湖库、河口：Ⅰ类□；Ⅱ类□；Ⅲ类□；Ⅲ类□√；Ⅴ类□</w:t>
            </w:r>
          </w:p>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近岸海域：第一类□；第二类□；第三类□；第四类□</w:t>
            </w:r>
          </w:p>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规划年评价标准（）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评价时期</w:t>
            </w:r>
          </w:p>
        </w:tc>
        <w:tc>
          <w:tcPr>
            <w:tcW w:w="10467" w:type="dxa"/>
            <w:gridSpan w:val="12"/>
            <w:tcBorders>
              <w:top w:val="single" w:color="auto" w:sz="6" w:space="0"/>
              <w:left w:val="single" w:color="auto" w:sz="6" w:space="0"/>
              <w:bottom w:val="single" w:color="auto" w:sz="6" w:space="0"/>
              <w:right w:val="single" w:color="auto" w:sz="12"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丰水期□；平水期□；枯水期□；冰封期□</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春季□；夏季□；秋季□；冬季□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评价结论</w:t>
            </w:r>
          </w:p>
        </w:tc>
        <w:tc>
          <w:tcPr>
            <w:tcW w:w="8782" w:type="dxa"/>
            <w:gridSpan w:val="11"/>
            <w:tcBorders>
              <w:top w:val="single" w:color="auto" w:sz="6" w:space="0"/>
              <w:left w:val="single" w:color="auto" w:sz="6"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水环境功能区或水功能区、近岸海域环境功能区水质达标状况□：达标□；不达标□</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水环境控制单元或断面水质达标状况□：达标□；不达标□</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水环境保护目标质量状况□：达标□；不达标□</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对照断面、控制断面等代表性断面的水质状况□：达标□；不达标□</w:t>
            </w:r>
          </w:p>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底泥污染评价□</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水资源与开发利用程度及其水文情势评价□</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水环境质量回顾评价□</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流域（区域）水资源（包括水能资源）与开发利用总体状况、生态流量管理要求与现状满足程度、建设项目占用水域空间的水流状况与河湖演变状况□</w:t>
            </w:r>
          </w:p>
        </w:tc>
        <w:tc>
          <w:tcPr>
            <w:tcW w:w="1685" w:type="dxa"/>
            <w:tcBorders>
              <w:top w:val="single" w:color="auto" w:sz="6" w:space="0"/>
              <w:left w:val="single" w:color="auto" w:sz="6" w:space="0"/>
              <w:bottom w:val="single" w:color="auto" w:sz="6" w:space="0"/>
              <w:right w:val="single" w:color="auto" w:sz="12"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达标区□</w:t>
            </w:r>
          </w:p>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不达标区□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restart"/>
            <w:tcBorders>
              <w:top w:val="single" w:color="auto" w:sz="6" w:space="0"/>
              <w:left w:val="single" w:color="auto" w:sz="12" w:space="0"/>
              <w:bottom w:val="single" w:color="auto" w:sz="6" w:space="0"/>
              <w:right w:val="single" w:color="auto" w:sz="6" w:space="0"/>
            </w:tcBorders>
            <w:noWrap/>
            <w:textDirection w:val="tbRlV"/>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影响预测</w:t>
            </w:r>
          </w:p>
        </w:tc>
        <w:tc>
          <w:tcPr>
            <w:tcW w:w="2834"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预测范围</w:t>
            </w:r>
          </w:p>
        </w:tc>
        <w:tc>
          <w:tcPr>
            <w:tcW w:w="10467" w:type="dxa"/>
            <w:gridSpan w:val="12"/>
            <w:tcBorders>
              <w:top w:val="single" w:color="auto" w:sz="6" w:space="0"/>
              <w:left w:val="single" w:color="auto" w:sz="6" w:space="0"/>
              <w:bottom w:val="single" w:color="auto" w:sz="6" w:space="0"/>
              <w:right w:val="single" w:color="auto" w:sz="12" w:space="0"/>
            </w:tcBorders>
            <w:noWrap/>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河流：长度（）km；湖库、河口及近岸海域：面积（）km</w:t>
            </w:r>
            <w:r>
              <w:rPr>
                <w:rFonts w:hint="default" w:ascii="Times New Roman" w:hAnsi="Times New Roman" w:cs="Times New Roman"/>
                <w:color w:val="auto"/>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预测因子</w:t>
            </w:r>
          </w:p>
        </w:tc>
        <w:tc>
          <w:tcPr>
            <w:tcW w:w="10467" w:type="dxa"/>
            <w:gridSpan w:val="12"/>
            <w:tcBorders>
              <w:top w:val="single" w:color="auto" w:sz="6" w:space="0"/>
              <w:left w:val="single" w:color="auto" w:sz="6" w:space="0"/>
              <w:bottom w:val="single" w:color="auto" w:sz="6" w:space="0"/>
              <w:right w:val="single" w:color="auto" w:sz="12" w:space="0"/>
            </w:tcBorders>
            <w:noWrap/>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预测时期</w:t>
            </w:r>
          </w:p>
        </w:tc>
        <w:tc>
          <w:tcPr>
            <w:tcW w:w="10467" w:type="dxa"/>
            <w:gridSpan w:val="12"/>
            <w:tcBorders>
              <w:top w:val="single" w:color="auto" w:sz="6" w:space="0"/>
              <w:left w:val="single" w:color="auto" w:sz="6" w:space="0"/>
              <w:bottom w:val="single" w:color="auto" w:sz="6" w:space="0"/>
              <w:right w:val="single" w:color="auto" w:sz="12"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丰水期□；平水期□；枯水期□；冰封期□</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春季□；夏季□；秋季□；冬季□</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设计水文条件□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预测情景</w:t>
            </w:r>
          </w:p>
        </w:tc>
        <w:tc>
          <w:tcPr>
            <w:tcW w:w="10467" w:type="dxa"/>
            <w:gridSpan w:val="12"/>
            <w:tcBorders>
              <w:top w:val="single" w:color="auto" w:sz="6" w:space="0"/>
              <w:left w:val="single" w:color="auto" w:sz="6" w:space="0"/>
              <w:bottom w:val="single" w:color="auto" w:sz="6" w:space="0"/>
              <w:right w:val="single" w:color="auto" w:sz="12"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建设期□；生产运行期□；服务期满后□</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正常工况□；非正常工况□</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污染控制和减缓措施方案□</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区（流）域环境质量改善目标要求情景□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预测方法</w:t>
            </w:r>
          </w:p>
        </w:tc>
        <w:tc>
          <w:tcPr>
            <w:tcW w:w="10467" w:type="dxa"/>
            <w:gridSpan w:val="12"/>
            <w:tcBorders>
              <w:top w:val="single" w:color="auto" w:sz="6" w:space="0"/>
              <w:left w:val="single" w:color="auto" w:sz="6" w:space="0"/>
              <w:bottom w:val="single" w:color="auto" w:sz="6" w:space="0"/>
              <w:right w:val="single" w:color="auto" w:sz="12" w:space="0"/>
            </w:tcBorders>
            <w:noWrap/>
            <w:vAlign w:val="center"/>
          </w:tcPr>
          <w:p>
            <w:pPr>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数值解□：解析解□；其他□</w:t>
            </w:r>
          </w:p>
          <w:p>
            <w:pPr>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导则推荐模式□：其他□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restart"/>
            <w:tcBorders>
              <w:top w:val="single" w:color="auto" w:sz="6" w:space="0"/>
              <w:left w:val="single" w:color="auto" w:sz="12" w:space="0"/>
              <w:bottom w:val="single" w:color="auto" w:sz="6" w:space="0"/>
              <w:right w:val="single" w:color="auto" w:sz="6" w:space="0"/>
            </w:tcBorders>
            <w:noWrap/>
            <w:textDirection w:val="tbRlV"/>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影响评价</w:t>
            </w:r>
          </w:p>
        </w:tc>
        <w:tc>
          <w:tcPr>
            <w:tcW w:w="2834"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水污染控制和水环境影响减缓措施有效性评价</w:t>
            </w:r>
          </w:p>
        </w:tc>
        <w:tc>
          <w:tcPr>
            <w:tcW w:w="10467" w:type="dxa"/>
            <w:gridSpan w:val="12"/>
            <w:tcBorders>
              <w:top w:val="single" w:color="auto" w:sz="6" w:space="0"/>
              <w:left w:val="single" w:color="auto" w:sz="6" w:space="0"/>
              <w:bottom w:val="single" w:color="auto" w:sz="6" w:space="0"/>
              <w:right w:val="single" w:color="auto" w:sz="12" w:space="0"/>
            </w:tcBorders>
            <w:noWrap/>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区（流）域水环境质量改善目标□；替代削减源□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水环境影响评价</w:t>
            </w:r>
          </w:p>
        </w:tc>
        <w:tc>
          <w:tcPr>
            <w:tcW w:w="10467" w:type="dxa"/>
            <w:gridSpan w:val="12"/>
            <w:tcBorders>
              <w:top w:val="single" w:color="auto" w:sz="6" w:space="0"/>
              <w:left w:val="single" w:color="auto" w:sz="6" w:space="0"/>
              <w:bottom w:val="single" w:color="auto" w:sz="6" w:space="0"/>
              <w:right w:val="single" w:color="auto" w:sz="12"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排放口混合区外满足水环境管理要求□</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水环境功能区或水功能区、近岸海域环境功能区水质达标□</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满足水环境保护目标水域水环境质量要求□</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水环境控制单元或断面水质达标□</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满足重点水污染物排放总量控制指标要求，重点行业建设项目，主要污染物排放满足等量或减量替代要求□</w:t>
            </w:r>
          </w:p>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满足区（流）域水环境质量改善目标要求□</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水文要素影响型建设项目同时应包括水文情势变化评价、主要水文特征值影响评价、生态流量符合性评价□</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对于新设或调整入河（湖库、近岸海域）排放口的建设项目，应包括排放口设置的环境合理性评价□</w:t>
            </w:r>
            <w:r>
              <w:rPr>
                <w:rFonts w:hint="default" w:ascii="Times New Roman" w:hAnsi="Times New Roman" w:cs="Times New Roman"/>
                <w:color w:val="auto"/>
                <w:szCs w:val="21"/>
              </w:rPr>
              <w:br w:type="textWrapping"/>
            </w:r>
            <w:r>
              <w:rPr>
                <w:rFonts w:hint="default" w:ascii="Times New Roman" w:hAnsi="Times New Roman" w:cs="Times New Roman"/>
                <w:color w:val="auto"/>
                <w:szCs w:val="21"/>
              </w:rPr>
              <w:t>满足生态保护红线、水环境质量底线、资源利用上线和环境准入清单管理要求□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vMerge w:val="restar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污染源排放量核算</w:t>
            </w:r>
          </w:p>
        </w:tc>
        <w:tc>
          <w:tcPr>
            <w:tcW w:w="3404" w:type="dxa"/>
            <w:gridSpan w:val="3"/>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污染物名称</w:t>
            </w:r>
          </w:p>
        </w:tc>
        <w:tc>
          <w:tcPr>
            <w:tcW w:w="3403" w:type="dxa"/>
            <w:gridSpan w:val="5"/>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排放量/（t/a）</w:t>
            </w:r>
          </w:p>
        </w:tc>
        <w:tc>
          <w:tcPr>
            <w:tcW w:w="3660" w:type="dxa"/>
            <w:gridSpan w:val="4"/>
            <w:tcBorders>
              <w:top w:val="single" w:color="auto" w:sz="6" w:space="0"/>
              <w:left w:val="single" w:color="auto" w:sz="6" w:space="0"/>
              <w:bottom w:val="single" w:color="auto" w:sz="6"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排放浓度/（mg/L）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vMerge w:val="continue"/>
            <w:tcBorders>
              <w:top w:val="single" w:color="auto" w:sz="6" w:space="0"/>
              <w:left w:val="single" w:color="auto" w:sz="6"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3404" w:type="dxa"/>
            <w:gridSpan w:val="3"/>
            <w:tcBorders>
              <w:top w:val="single" w:color="auto" w:sz="6" w:space="0"/>
              <w:left w:val="single" w:color="auto" w:sz="6" w:space="0"/>
              <w:bottom w:val="single" w:color="auto" w:sz="6" w:space="0"/>
              <w:right w:val="single" w:color="auto" w:sz="6" w:space="0"/>
            </w:tcBorders>
            <w:noWrap/>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3403" w:type="dxa"/>
            <w:gridSpan w:val="5"/>
            <w:tcBorders>
              <w:top w:val="single" w:color="auto" w:sz="6" w:space="0"/>
              <w:left w:val="single" w:color="auto" w:sz="6"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3660" w:type="dxa"/>
            <w:gridSpan w:val="4"/>
            <w:tcBorders>
              <w:top w:val="single" w:color="auto" w:sz="6" w:space="0"/>
              <w:left w:val="single" w:color="auto" w:sz="6" w:space="0"/>
              <w:bottom w:val="single" w:color="auto" w:sz="6" w:space="0"/>
              <w:right w:val="single" w:color="auto" w:sz="12"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vMerge w:val="restar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替代源排放情况</w:t>
            </w:r>
          </w:p>
        </w:tc>
        <w:tc>
          <w:tcPr>
            <w:tcW w:w="2042" w:type="dxa"/>
            <w:tcBorders>
              <w:top w:val="single" w:color="auto" w:sz="6" w:space="0"/>
              <w:left w:val="single" w:color="auto" w:sz="6" w:space="0"/>
              <w:bottom w:val="single" w:color="auto" w:sz="6" w:space="0"/>
              <w:right w:val="single" w:color="auto" w:sz="6" w:space="0"/>
            </w:tcBorders>
            <w:noWrap/>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污染源名称</w:t>
            </w:r>
          </w:p>
        </w:tc>
        <w:tc>
          <w:tcPr>
            <w:tcW w:w="2042" w:type="dxa"/>
            <w:gridSpan w:val="3"/>
            <w:tcBorders>
              <w:top w:val="single" w:color="auto" w:sz="6" w:space="0"/>
              <w:left w:val="single" w:color="auto" w:sz="6"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排污许可证编号</w:t>
            </w:r>
          </w:p>
        </w:tc>
        <w:tc>
          <w:tcPr>
            <w:tcW w:w="2042" w:type="dxa"/>
            <w:gridSpan w:val="2"/>
            <w:tcBorders>
              <w:top w:val="single" w:color="auto" w:sz="6" w:space="0"/>
              <w:left w:val="single" w:color="auto" w:sz="6"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污染物名称</w:t>
            </w:r>
          </w:p>
        </w:tc>
        <w:tc>
          <w:tcPr>
            <w:tcW w:w="2042" w:type="dxa"/>
            <w:gridSpan w:val="3"/>
            <w:tcBorders>
              <w:top w:val="single" w:color="auto" w:sz="6" w:space="0"/>
              <w:left w:val="single" w:color="auto" w:sz="6"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排放量/（t/a）</w:t>
            </w:r>
          </w:p>
        </w:tc>
        <w:tc>
          <w:tcPr>
            <w:tcW w:w="2299" w:type="dxa"/>
            <w:gridSpan w:val="3"/>
            <w:tcBorders>
              <w:top w:val="single" w:color="auto" w:sz="6" w:space="0"/>
              <w:left w:val="single" w:color="auto" w:sz="6" w:space="0"/>
              <w:bottom w:val="single" w:color="auto" w:sz="6" w:space="0"/>
              <w:right w:val="single" w:color="auto" w:sz="12"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排放浓度/（mg/L）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vMerge w:val="continue"/>
            <w:tcBorders>
              <w:top w:val="single" w:color="auto" w:sz="6" w:space="0"/>
              <w:left w:val="single" w:color="auto" w:sz="6"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042" w:type="dxa"/>
            <w:tcBorders>
              <w:top w:val="single" w:color="auto" w:sz="6" w:space="0"/>
              <w:left w:val="single" w:color="auto" w:sz="6" w:space="0"/>
              <w:bottom w:val="single" w:color="auto" w:sz="6" w:space="0"/>
              <w:right w:val="single" w:color="auto" w:sz="6" w:space="0"/>
            </w:tcBorders>
            <w:noWrap/>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2042" w:type="dxa"/>
            <w:gridSpan w:val="3"/>
            <w:tcBorders>
              <w:top w:val="single" w:color="auto" w:sz="6" w:space="0"/>
              <w:left w:val="single" w:color="auto" w:sz="6"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2042" w:type="dxa"/>
            <w:gridSpan w:val="2"/>
            <w:tcBorders>
              <w:top w:val="single" w:color="auto" w:sz="6" w:space="0"/>
              <w:left w:val="single" w:color="auto" w:sz="6"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2042" w:type="dxa"/>
            <w:gridSpan w:val="3"/>
            <w:tcBorders>
              <w:top w:val="single" w:color="auto" w:sz="6" w:space="0"/>
              <w:left w:val="single" w:color="auto" w:sz="6"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2299" w:type="dxa"/>
            <w:gridSpan w:val="3"/>
            <w:tcBorders>
              <w:top w:val="single" w:color="auto" w:sz="6" w:space="0"/>
              <w:left w:val="single" w:color="auto" w:sz="6" w:space="0"/>
              <w:bottom w:val="single" w:color="auto" w:sz="6" w:space="0"/>
              <w:right w:val="single" w:color="auto" w:sz="12" w:space="0"/>
            </w:tcBorders>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生态流量确定</w:t>
            </w:r>
          </w:p>
        </w:tc>
        <w:tc>
          <w:tcPr>
            <w:tcW w:w="10467" w:type="dxa"/>
            <w:gridSpan w:val="12"/>
            <w:tcBorders>
              <w:top w:val="single" w:color="auto" w:sz="6" w:space="0"/>
              <w:left w:val="single" w:color="auto" w:sz="6" w:space="0"/>
              <w:bottom w:val="single" w:color="auto" w:sz="6" w:space="0"/>
              <w:right w:val="single" w:color="auto" w:sz="12" w:space="0"/>
            </w:tcBorders>
            <w:noWrap/>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生态流量：一般水期（）m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/s；鱼类繁殖期（）m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/s；其他（）m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/s</w:t>
            </w:r>
          </w:p>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生态水位：一般水期（）m；鱼类繁殖期（）m；其他（）m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restart"/>
            <w:tcBorders>
              <w:top w:val="single" w:color="auto" w:sz="6" w:space="0"/>
              <w:left w:val="single" w:color="auto" w:sz="12" w:space="0"/>
              <w:bottom w:val="single" w:color="auto" w:sz="6" w:space="0"/>
              <w:right w:val="single" w:color="auto" w:sz="6" w:space="0"/>
            </w:tcBorders>
            <w:noWrap/>
            <w:textDirection w:val="tbRlV"/>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防治措施</w:t>
            </w:r>
          </w:p>
        </w:tc>
        <w:tc>
          <w:tcPr>
            <w:tcW w:w="2834"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环保措施</w:t>
            </w:r>
          </w:p>
        </w:tc>
        <w:tc>
          <w:tcPr>
            <w:tcW w:w="10467" w:type="dxa"/>
            <w:gridSpan w:val="12"/>
            <w:tcBorders>
              <w:top w:val="single" w:color="auto" w:sz="6" w:space="0"/>
              <w:left w:val="single" w:color="auto" w:sz="6" w:space="0"/>
              <w:bottom w:val="single" w:color="auto" w:sz="6" w:space="0"/>
              <w:right w:val="single" w:color="auto" w:sz="12" w:space="0"/>
            </w:tcBorders>
            <w:noWrap/>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污水处理设施□；水文减缓设施□；生态流量保障设施□；区域削减□；依托其他工程措施□；其他□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vMerge w:val="restart"/>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监测计划</w:t>
            </w:r>
          </w:p>
        </w:tc>
        <w:tc>
          <w:tcPr>
            <w:tcW w:w="2553" w:type="dxa"/>
            <w:gridSpan w:val="2"/>
            <w:tcBorders>
              <w:top w:val="single" w:color="auto" w:sz="6" w:space="0"/>
              <w:left w:val="single" w:color="auto" w:sz="6" w:space="0"/>
              <w:bottom w:val="single" w:color="auto" w:sz="6" w:space="0"/>
              <w:right w:val="single" w:color="auto" w:sz="6" w:space="0"/>
            </w:tcBorders>
            <w:noWrap/>
            <w:vAlign w:val="center"/>
          </w:tcPr>
          <w:p>
            <w:pPr>
              <w:spacing w:line="240" w:lineRule="auto"/>
              <w:jc w:val="left"/>
              <w:rPr>
                <w:rFonts w:hint="default" w:ascii="Times New Roman" w:hAnsi="Times New Roman" w:cs="Times New Roman"/>
                <w:color w:val="auto"/>
                <w:szCs w:val="21"/>
              </w:rPr>
            </w:pPr>
          </w:p>
        </w:tc>
        <w:tc>
          <w:tcPr>
            <w:tcW w:w="3829" w:type="dxa"/>
            <w:gridSpan w:val="5"/>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环境质量</w:t>
            </w:r>
          </w:p>
        </w:tc>
        <w:tc>
          <w:tcPr>
            <w:tcW w:w="4085" w:type="dxa"/>
            <w:gridSpan w:val="5"/>
            <w:tcBorders>
              <w:top w:val="single" w:color="auto" w:sz="6" w:space="0"/>
              <w:left w:val="single" w:color="auto" w:sz="6" w:space="0"/>
              <w:bottom w:val="single" w:color="auto" w:sz="6"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污染源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vMerge w:val="continue"/>
            <w:tcBorders>
              <w:top w:val="single" w:color="auto" w:sz="6" w:space="0"/>
              <w:left w:val="single" w:color="auto" w:sz="6"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553" w:type="dxa"/>
            <w:gridSpan w:val="2"/>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监测方式</w:t>
            </w:r>
          </w:p>
        </w:tc>
        <w:tc>
          <w:tcPr>
            <w:tcW w:w="3829" w:type="dxa"/>
            <w:gridSpan w:val="5"/>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b/>
                <w:color w:val="auto"/>
                <w:szCs w:val="21"/>
              </w:rPr>
            </w:pPr>
            <w:r>
              <w:rPr>
                <w:rFonts w:hint="default" w:ascii="Times New Roman" w:hAnsi="Times New Roman" w:cs="Times New Roman"/>
                <w:color w:val="auto"/>
                <w:szCs w:val="21"/>
              </w:rPr>
              <w:t>手动 □；自动 □；无监测 □</w:t>
            </w:r>
          </w:p>
        </w:tc>
        <w:tc>
          <w:tcPr>
            <w:tcW w:w="4085" w:type="dxa"/>
            <w:gridSpan w:val="5"/>
            <w:tcBorders>
              <w:top w:val="single" w:color="auto" w:sz="6" w:space="0"/>
              <w:left w:val="single" w:color="auto" w:sz="6" w:space="0"/>
              <w:bottom w:val="single" w:color="auto" w:sz="6"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手动 □；自动 □；无监测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vMerge w:val="continue"/>
            <w:tcBorders>
              <w:top w:val="single" w:color="auto" w:sz="6" w:space="0"/>
              <w:left w:val="single" w:color="auto" w:sz="6"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553" w:type="dxa"/>
            <w:gridSpan w:val="2"/>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3829" w:type="dxa"/>
            <w:gridSpan w:val="5"/>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4085" w:type="dxa"/>
            <w:gridSpan w:val="5"/>
            <w:tcBorders>
              <w:top w:val="single" w:color="auto" w:sz="6" w:space="0"/>
              <w:left w:val="single" w:color="auto" w:sz="6" w:space="0"/>
              <w:bottom w:val="single" w:color="auto" w:sz="6"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vMerge w:val="continue"/>
            <w:tcBorders>
              <w:top w:val="single" w:color="auto" w:sz="6" w:space="0"/>
              <w:left w:val="single" w:color="auto" w:sz="6"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553" w:type="dxa"/>
            <w:gridSpan w:val="2"/>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监测因子</w:t>
            </w:r>
          </w:p>
        </w:tc>
        <w:tc>
          <w:tcPr>
            <w:tcW w:w="3829" w:type="dxa"/>
            <w:gridSpan w:val="5"/>
            <w:tcBorders>
              <w:top w:val="single" w:color="auto" w:sz="6" w:space="0"/>
              <w:left w:val="single" w:color="auto" w:sz="6" w:space="0"/>
              <w:bottom w:val="single" w:color="auto" w:sz="6" w:space="0"/>
              <w:right w:val="single" w:color="auto" w:sz="6" w:space="0"/>
            </w:tcBorders>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4085" w:type="dxa"/>
            <w:gridSpan w:val="5"/>
            <w:tcBorders>
              <w:top w:val="single" w:color="auto" w:sz="6" w:space="0"/>
              <w:left w:val="single" w:color="auto" w:sz="6" w:space="0"/>
              <w:bottom w:val="single" w:color="auto" w:sz="6" w:space="0"/>
              <w:right w:val="single" w:color="auto" w:sz="12" w:space="0"/>
            </w:tcBorders>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jc w:val="left"/>
              <w:rPr>
                <w:rFonts w:hint="default" w:ascii="Times New Roman" w:hAnsi="Times New Roman" w:cs="Times New Roman"/>
                <w:color w:val="auto"/>
                <w:szCs w:val="21"/>
              </w:rPr>
            </w:pPr>
          </w:p>
        </w:tc>
        <w:tc>
          <w:tcPr>
            <w:tcW w:w="2834"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污染物排放清单</w:t>
            </w:r>
          </w:p>
        </w:tc>
        <w:tc>
          <w:tcPr>
            <w:tcW w:w="10467" w:type="dxa"/>
            <w:gridSpan w:val="12"/>
            <w:tcBorders>
              <w:top w:val="single" w:color="auto" w:sz="6" w:space="0"/>
              <w:left w:val="single" w:color="auto" w:sz="6" w:space="0"/>
              <w:bottom w:val="single" w:color="auto" w:sz="6" w:space="0"/>
              <w:right w:val="single" w:color="auto" w:sz="12" w:space="0"/>
            </w:tcBorders>
            <w:noWrap/>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60" w:type="dxa"/>
            <w:gridSpan w:val="2"/>
            <w:tcBorders>
              <w:top w:val="single" w:color="auto" w:sz="6" w:space="0"/>
              <w:left w:val="single" w:color="auto" w:sz="12" w:space="0"/>
              <w:bottom w:val="single" w:color="auto" w:sz="12" w:space="0"/>
              <w:right w:val="single" w:color="auto" w:sz="6" w:space="0"/>
            </w:tcBorders>
            <w:noWrap/>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评价结论</w:t>
            </w:r>
          </w:p>
        </w:tc>
        <w:tc>
          <w:tcPr>
            <w:tcW w:w="10467" w:type="dxa"/>
            <w:gridSpan w:val="12"/>
            <w:tcBorders>
              <w:top w:val="single" w:color="auto" w:sz="6" w:space="0"/>
              <w:left w:val="single" w:color="auto" w:sz="6" w:space="0"/>
              <w:bottom w:val="single" w:color="auto" w:sz="12" w:space="0"/>
              <w:right w:val="single" w:color="auto" w:sz="12" w:space="0"/>
            </w:tcBorders>
            <w:noWrap/>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可以接受☑；不可以接受□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727" w:type="dxa"/>
            <w:gridSpan w:val="14"/>
            <w:tcBorders>
              <w:top w:val="single" w:color="auto" w:sz="12" w:space="0"/>
              <w:left w:val="single" w:color="auto" w:sz="12" w:space="0"/>
              <w:bottom w:val="single" w:color="auto" w:sz="12" w:space="0"/>
              <w:right w:val="single" w:color="auto" w:sz="12" w:space="0"/>
            </w:tcBorders>
            <w:noWrap/>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注：“□”为勾选项，可√；“（）”为内容填写项；“备注”为其他补充内容。</w:t>
            </w:r>
          </w:p>
        </w:tc>
      </w:tr>
    </w:tbl>
    <w:p>
      <w:pPr>
        <w:pStyle w:val="41"/>
        <w:outlineLvl w:val="0"/>
        <w:rPr>
          <w:rFonts w:hint="default" w:ascii="Times New Roman" w:hAnsi="Times New Roman" w:eastAsia="黑体" w:cs="Times New Roman"/>
          <w:b/>
          <w:color w:val="auto"/>
          <w:sz w:val="28"/>
          <w:szCs w:val="28"/>
        </w:rPr>
        <w:sectPr>
          <w:pgSz w:w="16839" w:h="11907" w:orient="landscape"/>
          <w:pgMar w:top="1440" w:right="1800" w:bottom="1440" w:left="1800" w:header="851" w:footer="992" w:gutter="0"/>
          <w:pgBorders>
            <w:top w:val="none" w:sz="0" w:space="0"/>
            <w:left w:val="none" w:sz="0" w:space="0"/>
            <w:bottom w:val="none" w:sz="0" w:space="0"/>
            <w:right w:val="none" w:sz="0" w:space="0"/>
          </w:pgBorders>
          <w:cols w:space="720" w:num="1"/>
          <w:docGrid w:type="linesAndChars" w:linePitch="312" w:charSpace="0"/>
        </w:sectPr>
      </w:pPr>
    </w:p>
    <w:p>
      <w:pPr>
        <w:pStyle w:val="41"/>
        <w:outlineLvl w:val="0"/>
        <w:rPr>
          <w:rFonts w:hint="default" w:ascii="Times New Roman" w:hAnsi="Times New Roman" w:eastAsia="黑体" w:cs="Times New Roman"/>
          <w:b/>
          <w:color w:val="auto"/>
          <w:sz w:val="28"/>
          <w:szCs w:val="28"/>
        </w:rPr>
      </w:pPr>
      <w:bookmarkStart w:id="46" w:name="_Toc25154397"/>
      <w:r>
        <w:rPr>
          <w:rFonts w:hint="default" w:ascii="Times New Roman" w:hAnsi="Times New Roman" w:eastAsia="黑体" w:cs="Times New Roman"/>
          <w:b/>
          <w:color w:val="auto"/>
          <w:sz w:val="28"/>
          <w:szCs w:val="28"/>
        </w:rPr>
        <w:t>附件3：建设项目环境风险影响评价自查表</w:t>
      </w:r>
      <w:bookmarkEnd w:id="46"/>
    </w:p>
    <w:tbl>
      <w:tblPr>
        <w:tblStyle w:val="33"/>
        <w:tblW w:w="13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630"/>
        <w:gridCol w:w="1962"/>
        <w:gridCol w:w="1200"/>
        <w:gridCol w:w="1200"/>
        <w:gridCol w:w="71"/>
        <w:gridCol w:w="1128"/>
        <w:gridCol w:w="220"/>
        <w:gridCol w:w="980"/>
        <w:gridCol w:w="58"/>
        <w:gridCol w:w="1142"/>
        <w:gridCol w:w="1186"/>
        <w:gridCol w:w="1213"/>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121" w:type="dxa"/>
            <w:gridSpan w:val="3"/>
            <w:tcBorders>
              <w:top w:val="single" w:color="auto" w:sz="12"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工作内容</w:t>
            </w:r>
          </w:p>
        </w:tc>
        <w:tc>
          <w:tcPr>
            <w:tcW w:w="9604" w:type="dxa"/>
            <w:gridSpan w:val="11"/>
            <w:tcBorders>
              <w:top w:val="single" w:color="auto" w:sz="12"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29" w:type="dxa"/>
            <w:vMerge w:val="restart"/>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风险调查</w:t>
            </w:r>
          </w:p>
        </w:tc>
        <w:tc>
          <w:tcPr>
            <w:tcW w:w="1630"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危险物质</w:t>
            </w:r>
          </w:p>
        </w:tc>
        <w:tc>
          <w:tcPr>
            <w:tcW w:w="196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120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20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20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20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18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21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206" w:type="dxa"/>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529"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630"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96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存在总量/t</w:t>
            </w:r>
          </w:p>
        </w:tc>
        <w:tc>
          <w:tcPr>
            <w:tcW w:w="120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20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20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20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18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21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206" w:type="dxa"/>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9"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630"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环境敏感性</w:t>
            </w:r>
          </w:p>
        </w:tc>
        <w:tc>
          <w:tcPr>
            <w:tcW w:w="196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大气</w:t>
            </w:r>
          </w:p>
        </w:tc>
        <w:tc>
          <w:tcPr>
            <w:tcW w:w="4799" w:type="dxa"/>
            <w:gridSpan w:val="6"/>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500m范围内人口数</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人</w:t>
            </w:r>
          </w:p>
        </w:tc>
        <w:tc>
          <w:tcPr>
            <w:tcW w:w="4805" w:type="dxa"/>
            <w:gridSpan w:val="5"/>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5km范围内人口数</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29"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630"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962"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7185" w:type="dxa"/>
            <w:gridSpan w:val="9"/>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每公里管段周边200m范围内人口数（最大）</w:t>
            </w:r>
          </w:p>
        </w:tc>
        <w:tc>
          <w:tcPr>
            <w:tcW w:w="2419" w:type="dxa"/>
            <w:gridSpan w:val="2"/>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529"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630"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96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w:t>
            </w:r>
          </w:p>
        </w:tc>
        <w:tc>
          <w:tcPr>
            <w:tcW w:w="2471"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地表水功能敏感性</w:t>
            </w:r>
          </w:p>
        </w:tc>
        <w:tc>
          <w:tcPr>
            <w:tcW w:w="2386"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F1 □</w:t>
            </w:r>
          </w:p>
        </w:tc>
        <w:tc>
          <w:tcPr>
            <w:tcW w:w="2328"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F2 □</w:t>
            </w:r>
          </w:p>
        </w:tc>
        <w:tc>
          <w:tcPr>
            <w:tcW w:w="2419" w:type="dxa"/>
            <w:gridSpan w:val="2"/>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F3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529"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630"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962"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2471"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环境敏感目标分级</w:t>
            </w:r>
          </w:p>
        </w:tc>
        <w:tc>
          <w:tcPr>
            <w:tcW w:w="2386"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S1 □</w:t>
            </w:r>
          </w:p>
        </w:tc>
        <w:tc>
          <w:tcPr>
            <w:tcW w:w="2328"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S2 □</w:t>
            </w:r>
          </w:p>
        </w:tc>
        <w:tc>
          <w:tcPr>
            <w:tcW w:w="2419" w:type="dxa"/>
            <w:gridSpan w:val="2"/>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S3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529"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630"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96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地下水</w:t>
            </w:r>
          </w:p>
        </w:tc>
        <w:tc>
          <w:tcPr>
            <w:tcW w:w="2471"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地下水功能敏感性</w:t>
            </w:r>
          </w:p>
        </w:tc>
        <w:tc>
          <w:tcPr>
            <w:tcW w:w="2386"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G1 □</w:t>
            </w:r>
          </w:p>
        </w:tc>
        <w:tc>
          <w:tcPr>
            <w:tcW w:w="2328"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G2 □</w:t>
            </w:r>
          </w:p>
        </w:tc>
        <w:tc>
          <w:tcPr>
            <w:tcW w:w="2419" w:type="dxa"/>
            <w:gridSpan w:val="2"/>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G3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529"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630"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962"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2471"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包气带防污性能</w:t>
            </w:r>
          </w:p>
        </w:tc>
        <w:tc>
          <w:tcPr>
            <w:tcW w:w="2386"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D1 □</w:t>
            </w:r>
          </w:p>
        </w:tc>
        <w:tc>
          <w:tcPr>
            <w:tcW w:w="2328"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D2 □</w:t>
            </w:r>
          </w:p>
        </w:tc>
        <w:tc>
          <w:tcPr>
            <w:tcW w:w="2419" w:type="dxa"/>
            <w:gridSpan w:val="2"/>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D3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2159" w:type="dxa"/>
            <w:gridSpan w:val="2"/>
            <w:vMerge w:val="restart"/>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物质及工艺系统危险性</w:t>
            </w:r>
          </w:p>
        </w:tc>
        <w:tc>
          <w:tcPr>
            <w:tcW w:w="196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Q值</w:t>
            </w:r>
          </w:p>
        </w:tc>
        <w:tc>
          <w:tcPr>
            <w:tcW w:w="2471"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Q&lt;1□</w:t>
            </w:r>
          </w:p>
        </w:tc>
        <w:tc>
          <w:tcPr>
            <w:tcW w:w="2386"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1≤Q&lt;10□☑</w:t>
            </w:r>
          </w:p>
        </w:tc>
        <w:tc>
          <w:tcPr>
            <w:tcW w:w="2328"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10≤Q&lt;100□</w:t>
            </w:r>
          </w:p>
        </w:tc>
        <w:tc>
          <w:tcPr>
            <w:tcW w:w="2419" w:type="dxa"/>
            <w:gridSpan w:val="2"/>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Q&gt;100□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2159" w:type="dxa"/>
            <w:gridSpan w:val="2"/>
            <w:vMerge w:val="continue"/>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96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M值</w:t>
            </w:r>
          </w:p>
        </w:tc>
        <w:tc>
          <w:tcPr>
            <w:tcW w:w="2471"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M1□</w:t>
            </w:r>
          </w:p>
        </w:tc>
        <w:tc>
          <w:tcPr>
            <w:tcW w:w="2386"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M2 □</w:t>
            </w:r>
          </w:p>
        </w:tc>
        <w:tc>
          <w:tcPr>
            <w:tcW w:w="2328"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M3 □</w:t>
            </w:r>
          </w:p>
        </w:tc>
        <w:tc>
          <w:tcPr>
            <w:tcW w:w="2419" w:type="dxa"/>
            <w:gridSpan w:val="2"/>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M4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159" w:type="dxa"/>
            <w:gridSpan w:val="2"/>
            <w:vMerge w:val="continue"/>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96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P值</w:t>
            </w:r>
          </w:p>
        </w:tc>
        <w:tc>
          <w:tcPr>
            <w:tcW w:w="2471"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P1□</w:t>
            </w:r>
          </w:p>
        </w:tc>
        <w:tc>
          <w:tcPr>
            <w:tcW w:w="2386"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P2 □</w:t>
            </w:r>
          </w:p>
        </w:tc>
        <w:tc>
          <w:tcPr>
            <w:tcW w:w="2328"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P3 □</w:t>
            </w:r>
          </w:p>
        </w:tc>
        <w:tc>
          <w:tcPr>
            <w:tcW w:w="2419" w:type="dxa"/>
            <w:gridSpan w:val="2"/>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P4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159" w:type="dxa"/>
            <w:gridSpan w:val="2"/>
            <w:vMerge w:val="restart"/>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环境敏感</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程度</w:t>
            </w:r>
          </w:p>
        </w:tc>
        <w:tc>
          <w:tcPr>
            <w:tcW w:w="196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大气</w:t>
            </w:r>
          </w:p>
        </w:tc>
        <w:tc>
          <w:tcPr>
            <w:tcW w:w="2471"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E1□</w:t>
            </w:r>
          </w:p>
        </w:tc>
        <w:tc>
          <w:tcPr>
            <w:tcW w:w="3528" w:type="dxa"/>
            <w:gridSpan w:val="5"/>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E2 □</w:t>
            </w:r>
          </w:p>
        </w:tc>
        <w:tc>
          <w:tcPr>
            <w:tcW w:w="3605" w:type="dxa"/>
            <w:gridSpan w:val="3"/>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159" w:type="dxa"/>
            <w:gridSpan w:val="2"/>
            <w:vMerge w:val="continue"/>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96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w:t>
            </w:r>
          </w:p>
        </w:tc>
        <w:tc>
          <w:tcPr>
            <w:tcW w:w="2471"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E1□</w:t>
            </w:r>
          </w:p>
        </w:tc>
        <w:tc>
          <w:tcPr>
            <w:tcW w:w="3528" w:type="dxa"/>
            <w:gridSpan w:val="5"/>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E2 □</w:t>
            </w:r>
          </w:p>
        </w:tc>
        <w:tc>
          <w:tcPr>
            <w:tcW w:w="3605" w:type="dxa"/>
            <w:gridSpan w:val="3"/>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159" w:type="dxa"/>
            <w:gridSpan w:val="2"/>
            <w:vMerge w:val="continue"/>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96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地下水</w:t>
            </w:r>
          </w:p>
        </w:tc>
        <w:tc>
          <w:tcPr>
            <w:tcW w:w="2471"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E1□</w:t>
            </w:r>
          </w:p>
        </w:tc>
        <w:tc>
          <w:tcPr>
            <w:tcW w:w="3528" w:type="dxa"/>
            <w:gridSpan w:val="5"/>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E2 □</w:t>
            </w:r>
          </w:p>
        </w:tc>
        <w:tc>
          <w:tcPr>
            <w:tcW w:w="3605" w:type="dxa"/>
            <w:gridSpan w:val="3"/>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159" w:type="dxa"/>
            <w:gridSpan w:val="2"/>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环境风险潜势</w:t>
            </w:r>
          </w:p>
        </w:tc>
        <w:tc>
          <w:tcPr>
            <w:tcW w:w="196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Ⅲ</w:t>
            </w:r>
            <w:r>
              <w:rPr>
                <w:rFonts w:hint="default" w:ascii="Times New Roman" w:hAnsi="Times New Roman" w:cs="Times New Roman"/>
                <w:color w:val="auto"/>
                <w:szCs w:val="21"/>
                <w:vertAlign w:val="superscript"/>
              </w:rPr>
              <w:t>+</w:t>
            </w:r>
            <w:r>
              <w:rPr>
                <w:rFonts w:hint="default" w:ascii="Times New Roman" w:hAnsi="Times New Roman" w:cs="Times New Roman"/>
                <w:color w:val="auto"/>
                <w:szCs w:val="21"/>
              </w:rPr>
              <w:t>□</w:t>
            </w:r>
          </w:p>
        </w:tc>
        <w:tc>
          <w:tcPr>
            <w:tcW w:w="2471"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Ⅲ □</w:t>
            </w:r>
          </w:p>
        </w:tc>
        <w:tc>
          <w:tcPr>
            <w:tcW w:w="2386"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Ⅲ □</w:t>
            </w:r>
          </w:p>
        </w:tc>
        <w:tc>
          <w:tcPr>
            <w:tcW w:w="2328"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Ⅱ ☑</w:t>
            </w:r>
          </w:p>
        </w:tc>
        <w:tc>
          <w:tcPr>
            <w:tcW w:w="2419" w:type="dxa"/>
            <w:gridSpan w:val="2"/>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159" w:type="dxa"/>
            <w:gridSpan w:val="2"/>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评价等级</w:t>
            </w:r>
          </w:p>
        </w:tc>
        <w:tc>
          <w:tcPr>
            <w:tcW w:w="4433"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一级 □</w:t>
            </w:r>
          </w:p>
        </w:tc>
        <w:tc>
          <w:tcPr>
            <w:tcW w:w="2386"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二级 □</w:t>
            </w:r>
          </w:p>
        </w:tc>
        <w:tc>
          <w:tcPr>
            <w:tcW w:w="2328"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三级 ☑</w:t>
            </w:r>
          </w:p>
        </w:tc>
        <w:tc>
          <w:tcPr>
            <w:tcW w:w="2419" w:type="dxa"/>
            <w:gridSpan w:val="2"/>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简单分析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29" w:type="dxa"/>
            <w:vMerge w:val="restart"/>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风险识别</w:t>
            </w:r>
          </w:p>
        </w:tc>
        <w:tc>
          <w:tcPr>
            <w:tcW w:w="163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物质危险性</w:t>
            </w:r>
          </w:p>
        </w:tc>
        <w:tc>
          <w:tcPr>
            <w:tcW w:w="5781" w:type="dxa"/>
            <w:gridSpan w:val="6"/>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有毒有害□</w:t>
            </w:r>
          </w:p>
        </w:tc>
        <w:tc>
          <w:tcPr>
            <w:tcW w:w="5785" w:type="dxa"/>
            <w:gridSpan w:val="6"/>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易燃易爆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529"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63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环境风险</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类型</w:t>
            </w:r>
          </w:p>
        </w:tc>
        <w:tc>
          <w:tcPr>
            <w:tcW w:w="4433"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泄露☑</w:t>
            </w:r>
          </w:p>
        </w:tc>
        <w:tc>
          <w:tcPr>
            <w:tcW w:w="7133" w:type="dxa"/>
            <w:gridSpan w:val="8"/>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火灾、爆炸引发伴生/次生污染物排放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9"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63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影响途径</w:t>
            </w:r>
          </w:p>
        </w:tc>
        <w:tc>
          <w:tcPr>
            <w:tcW w:w="4433"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大气 □</w:t>
            </w:r>
          </w:p>
        </w:tc>
        <w:tc>
          <w:tcPr>
            <w:tcW w:w="3528" w:type="dxa"/>
            <w:gridSpan w:val="5"/>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 □</w:t>
            </w:r>
          </w:p>
        </w:tc>
        <w:tc>
          <w:tcPr>
            <w:tcW w:w="3605" w:type="dxa"/>
            <w:gridSpan w:val="3"/>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地下水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159" w:type="dxa"/>
            <w:gridSpan w:val="2"/>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事故情形分析</w:t>
            </w:r>
          </w:p>
        </w:tc>
        <w:tc>
          <w:tcPr>
            <w:tcW w:w="196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源强设定方法</w:t>
            </w:r>
          </w:p>
        </w:tc>
        <w:tc>
          <w:tcPr>
            <w:tcW w:w="2471"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计算法 □</w:t>
            </w:r>
          </w:p>
        </w:tc>
        <w:tc>
          <w:tcPr>
            <w:tcW w:w="3528" w:type="dxa"/>
            <w:gridSpan w:val="5"/>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经验估算法 □</w:t>
            </w:r>
          </w:p>
        </w:tc>
        <w:tc>
          <w:tcPr>
            <w:tcW w:w="3605" w:type="dxa"/>
            <w:gridSpan w:val="3"/>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其他估算法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29" w:type="dxa"/>
            <w:vMerge w:val="restart"/>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风险预测与评价</w:t>
            </w:r>
          </w:p>
        </w:tc>
        <w:tc>
          <w:tcPr>
            <w:tcW w:w="1630"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大气</w:t>
            </w:r>
          </w:p>
        </w:tc>
        <w:tc>
          <w:tcPr>
            <w:tcW w:w="196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预测模型</w:t>
            </w:r>
          </w:p>
        </w:tc>
        <w:tc>
          <w:tcPr>
            <w:tcW w:w="2471"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SLAB □</w:t>
            </w:r>
          </w:p>
        </w:tc>
        <w:tc>
          <w:tcPr>
            <w:tcW w:w="3528" w:type="dxa"/>
            <w:gridSpan w:val="5"/>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AFTOX □</w:t>
            </w:r>
          </w:p>
        </w:tc>
        <w:tc>
          <w:tcPr>
            <w:tcW w:w="3605" w:type="dxa"/>
            <w:gridSpan w:val="3"/>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29"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630"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96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预测结果</w:t>
            </w:r>
          </w:p>
        </w:tc>
        <w:tc>
          <w:tcPr>
            <w:tcW w:w="9604" w:type="dxa"/>
            <w:gridSpan w:val="11"/>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大气毒性终点浓度-1 最大影响范围</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529"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630"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962"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9604" w:type="dxa"/>
            <w:gridSpan w:val="11"/>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大气毒性终点浓度-2 最大影响范围</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29"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63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w:t>
            </w:r>
          </w:p>
        </w:tc>
        <w:tc>
          <w:tcPr>
            <w:tcW w:w="11566" w:type="dxa"/>
            <w:gridSpan w:val="12"/>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最近环境敏感目标</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，到达时间</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29"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630"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地下水</w:t>
            </w:r>
          </w:p>
        </w:tc>
        <w:tc>
          <w:tcPr>
            <w:tcW w:w="11566" w:type="dxa"/>
            <w:gridSpan w:val="12"/>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下游厂区边界到达时间</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29"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630"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p>
        </w:tc>
        <w:tc>
          <w:tcPr>
            <w:tcW w:w="11566" w:type="dxa"/>
            <w:gridSpan w:val="12"/>
            <w:tcBorders>
              <w:top w:val="single" w:color="auto" w:sz="4" w:space="0"/>
              <w:left w:val="single" w:color="auto" w:sz="4" w:space="0"/>
              <w:bottom w:val="single" w:color="auto" w:sz="4"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最近环境敏感目标</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，到达时间</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2159" w:type="dxa"/>
            <w:gridSpan w:val="2"/>
            <w:tcBorders>
              <w:top w:val="single" w:color="auto" w:sz="4" w:space="0"/>
              <w:left w:val="single" w:color="auto" w:sz="12"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重点风险防范</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措施</w:t>
            </w:r>
          </w:p>
        </w:tc>
        <w:tc>
          <w:tcPr>
            <w:tcW w:w="11566" w:type="dxa"/>
            <w:gridSpan w:val="12"/>
            <w:tcBorders>
              <w:top w:val="single" w:color="auto" w:sz="4" w:space="0"/>
              <w:left w:val="single" w:color="auto" w:sz="4" w:space="0"/>
              <w:bottom w:val="single" w:color="auto" w:sz="4" w:space="0"/>
              <w:right w:val="single" w:color="auto" w:sz="12" w:space="0"/>
            </w:tcBorders>
            <w:vAlign w:val="center"/>
          </w:tcPr>
          <w:p>
            <w:pPr>
              <w:numPr>
                <w:ilvl w:val="0"/>
                <w:numId w:val="4"/>
              </w:numPr>
              <w:spacing w:line="240" w:lineRule="auto"/>
              <w:ind w:firstLine="480"/>
              <w:rPr>
                <w:rFonts w:hint="default" w:ascii="Times New Roman" w:hAnsi="Times New Roman" w:cs="Times New Roman"/>
                <w:color w:val="auto"/>
                <w:szCs w:val="21"/>
              </w:rPr>
            </w:pPr>
            <w:r>
              <w:rPr>
                <w:rFonts w:hint="default" w:ascii="Times New Roman" w:hAnsi="Times New Roman" w:cs="Times New Roman"/>
                <w:color w:val="auto"/>
                <w:szCs w:val="21"/>
              </w:rPr>
              <w:t>加强污水管道、建构筑物、设备的检修和管理，合理安排检修时间；</w:t>
            </w:r>
          </w:p>
          <w:p>
            <w:pPr>
              <w:numPr>
                <w:ilvl w:val="0"/>
                <w:numId w:val="4"/>
              </w:numPr>
              <w:spacing w:line="240" w:lineRule="auto"/>
              <w:ind w:firstLine="480"/>
              <w:rPr>
                <w:rFonts w:hint="default" w:ascii="Times New Roman" w:hAnsi="Times New Roman" w:cs="Times New Roman"/>
                <w:color w:val="auto"/>
                <w:szCs w:val="21"/>
              </w:rPr>
            </w:pPr>
            <w:r>
              <w:rPr>
                <w:rFonts w:hint="default" w:ascii="Times New Roman" w:hAnsi="Times New Roman" w:cs="Times New Roman"/>
                <w:color w:val="auto"/>
                <w:szCs w:val="21"/>
              </w:rPr>
              <w:t>严格控制处理单元水量、水质、停留时间、负荷强度等工艺参数，确保处理效果稳定性，同时，配备水量、水质分析监控设备，定期取样检测。</w:t>
            </w:r>
          </w:p>
          <w:p>
            <w:pPr>
              <w:spacing w:line="240" w:lineRule="auto"/>
              <w:ind w:firstLine="480"/>
              <w:rPr>
                <w:rFonts w:hint="default" w:ascii="Times New Roman" w:hAnsi="Times New Roman" w:cs="Times New Roman"/>
                <w:color w:val="auto"/>
                <w:szCs w:val="21"/>
              </w:rPr>
            </w:pPr>
            <w:r>
              <w:rPr>
                <w:rFonts w:hint="default" w:ascii="Times New Roman" w:hAnsi="Times New Roman" w:cs="Times New Roman"/>
                <w:color w:val="auto"/>
                <w:szCs w:val="21"/>
              </w:rPr>
              <w:t>（3）发生事故时，迅速查清事故原因，启动备用设备等，加强水质监测，合理调整运行参数，将废水事故排放控制在最短时间内。</w:t>
            </w:r>
          </w:p>
          <w:p>
            <w:pPr>
              <w:spacing w:line="240" w:lineRule="auto"/>
              <w:ind w:firstLine="480"/>
              <w:rPr>
                <w:rFonts w:hint="default" w:ascii="Times New Roman" w:hAnsi="Times New Roman" w:cs="Times New Roman"/>
                <w:color w:val="auto"/>
                <w:szCs w:val="21"/>
              </w:rPr>
            </w:pPr>
            <w:r>
              <w:rPr>
                <w:rFonts w:hint="default" w:ascii="Times New Roman" w:hAnsi="Times New Roman" w:cs="Times New Roman"/>
                <w:color w:val="auto"/>
                <w:szCs w:val="21"/>
              </w:rPr>
              <w:t>（4）污水处理厂管理人员加强运行管理，关键设备采用一用一备，确保污水处理厂安全稳定运行，从而尽可能的降低事故排污情况的发生。</w:t>
            </w:r>
          </w:p>
          <w:p>
            <w:pPr>
              <w:spacing w:line="240" w:lineRule="auto"/>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2159" w:type="dxa"/>
            <w:gridSpan w:val="2"/>
            <w:tcBorders>
              <w:top w:val="single" w:color="auto" w:sz="4" w:space="0"/>
              <w:left w:val="single" w:color="auto" w:sz="12" w:space="0"/>
              <w:bottom w:val="single" w:color="auto" w:sz="12" w:space="0"/>
              <w:right w:val="single" w:color="auto" w:sz="4"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评价结论与建议</w:t>
            </w:r>
          </w:p>
        </w:tc>
        <w:tc>
          <w:tcPr>
            <w:tcW w:w="11566" w:type="dxa"/>
            <w:gridSpan w:val="12"/>
            <w:tcBorders>
              <w:top w:val="single" w:color="auto" w:sz="4" w:space="0"/>
              <w:left w:val="single" w:color="auto" w:sz="4" w:space="0"/>
              <w:bottom w:val="single" w:color="auto" w:sz="12" w:space="0"/>
              <w:right w:val="single" w:color="auto" w:sz="12" w:space="0"/>
            </w:tcBorders>
            <w:vAlign w:val="center"/>
          </w:tcPr>
          <w:p>
            <w:pPr>
              <w:spacing w:line="240" w:lineRule="auto"/>
              <w:ind w:firstLine="480"/>
              <w:rPr>
                <w:rFonts w:hint="default" w:ascii="Times New Roman" w:hAnsi="Times New Roman" w:cs="Times New Roman"/>
                <w:color w:val="auto"/>
                <w:szCs w:val="21"/>
              </w:rPr>
            </w:pPr>
            <w:r>
              <w:rPr>
                <w:rFonts w:hint="default" w:ascii="Times New Roman" w:hAnsi="Times New Roman" w:cs="Times New Roman"/>
                <w:color w:val="auto"/>
                <w:szCs w:val="21"/>
              </w:rPr>
              <w:t>本项目不存在重大危险源，项目发生环境风险的类型和几率都很小，通过加强管理、采取有效措施，加强对运管员工防范事故风险能力的培训，制定事故应急预案等，可进一步降低环境风险发生的几率和造成的影响。本项目的环境风险在可接受的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3725" w:type="dxa"/>
            <w:gridSpan w:val="14"/>
            <w:tcBorders>
              <w:top w:val="single" w:color="auto" w:sz="12" w:space="0"/>
              <w:left w:val="single" w:color="auto" w:sz="12" w:space="0"/>
              <w:bottom w:val="single" w:color="auto" w:sz="12" w:space="0"/>
              <w:right w:val="single" w:color="auto" w:sz="12" w:space="0"/>
            </w:tcBorders>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注：“□”为勾选项，“</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”为填写项。</w:t>
            </w:r>
          </w:p>
        </w:tc>
      </w:tr>
    </w:tbl>
    <w:p>
      <w:pPr>
        <w:spacing w:line="240" w:lineRule="auto"/>
        <w:jc w:val="center"/>
        <w:rPr>
          <w:rFonts w:hint="default" w:ascii="Times New Roman" w:hAnsi="Times New Roman" w:cs="Times New Roman"/>
          <w:color w:val="auto"/>
          <w:szCs w:val="21"/>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outlineLvl w:val="0"/>
        <w:rPr>
          <w:rFonts w:hint="default" w:ascii="Times New Roman" w:hAnsi="Times New Roman" w:eastAsia="黑体" w:cs="Times New Roman"/>
          <w:b/>
          <w:color w:val="auto"/>
          <w:sz w:val="28"/>
          <w:szCs w:val="28"/>
        </w:rPr>
      </w:pPr>
      <w:r>
        <w:rPr>
          <w:rFonts w:hint="default" w:ascii="Times New Roman" w:hAnsi="Times New Roman" w:eastAsia="黑体" w:cs="Times New Roman"/>
          <w:b/>
          <w:color w:val="auto"/>
          <w:sz w:val="28"/>
          <w:szCs w:val="28"/>
        </w:rPr>
        <w:t>附件4：排污许可证</w:t>
      </w:r>
    </w:p>
    <w:p>
      <w:pPr>
        <w:pStyle w:val="41"/>
        <w:keepNext w:val="0"/>
        <w:keepLines w:val="0"/>
        <w:pageBreakBefore w:val="0"/>
        <w:widowControl w:val="0"/>
        <w:kinsoku/>
        <w:wordWrap/>
        <w:overflowPunct/>
        <w:topLinePunct w:val="0"/>
        <w:autoSpaceDE w:val="0"/>
        <w:autoSpaceDN w:val="0"/>
        <w:bidi w:val="0"/>
        <w:adjustRightInd w:val="0"/>
        <w:snapToGrid/>
        <w:textAlignment w:val="auto"/>
        <w:outlineLvl w:val="9"/>
        <w:rPr>
          <w:rFonts w:hint="default" w:ascii="Times New Roman" w:hAnsi="Times New Roman" w:eastAsia="黑体" w:cs="Times New Roman"/>
          <w:b/>
          <w:color w:val="auto"/>
          <w:sz w:val="28"/>
          <w:szCs w:val="28"/>
          <w:lang w:eastAsia="zh-CN"/>
        </w:rPr>
      </w:pPr>
      <w:r>
        <w:rPr>
          <w:rFonts w:hint="default" w:ascii="Times New Roman" w:hAnsi="Times New Roman" w:eastAsia="黑体" w:cs="Times New Roman"/>
          <w:b/>
          <w:color w:val="auto"/>
          <w:sz w:val="28"/>
          <w:szCs w:val="28"/>
          <w:lang w:eastAsia="zh-CN"/>
        </w:rPr>
        <w:drawing>
          <wp:inline distT="0" distB="0" distL="114300" distR="114300">
            <wp:extent cx="7454900" cy="4713605"/>
            <wp:effectExtent l="0" t="0" r="12700" b="10795"/>
            <wp:docPr id="4" name="图片 4" descr="排污许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排污许可"/>
                    <pic:cNvPicPr>
                      <a:picLocks noChangeAspect="1"/>
                    </pic:cNvPicPr>
                  </pic:nvPicPr>
                  <pic:blipFill>
                    <a:blip r:embed="rId44"/>
                    <a:stretch>
                      <a:fillRect/>
                    </a:stretch>
                  </pic:blipFill>
                  <pic:spPr>
                    <a:xfrm>
                      <a:off x="0" y="0"/>
                      <a:ext cx="7454900" cy="4713605"/>
                    </a:xfrm>
                    <a:prstGeom prst="rect">
                      <a:avLst/>
                    </a:prstGeom>
                  </pic:spPr>
                </pic:pic>
              </a:graphicData>
            </a:graphic>
          </wp:inline>
        </w:drawing>
      </w:r>
    </w:p>
    <w:p>
      <w:pPr>
        <w:pStyle w:val="41"/>
        <w:jc w:val="center"/>
        <w:rPr>
          <w:rFonts w:hint="default" w:ascii="Times New Roman" w:hAnsi="Times New Roman" w:eastAsia="宋体" w:cs="Times New Roman"/>
          <w:color w:val="auto"/>
          <w:lang w:eastAsia="zh-CN"/>
        </w:rPr>
      </w:pPr>
    </w:p>
    <w:p>
      <w:pPr>
        <w:pStyle w:val="41"/>
        <w:rPr>
          <w:rFonts w:hint="default" w:ascii="Times New Roman" w:hAnsi="Times New Roman" w:cs="Times New Roman"/>
          <w:color w:val="auto"/>
        </w:rPr>
        <w:sectPr>
          <w:pgSz w:w="16839" w:h="11907" w:orient="landscape"/>
          <w:pgMar w:top="1440" w:right="1800" w:bottom="1440" w:left="1800" w:header="851" w:footer="992" w:gutter="0"/>
          <w:pgBorders>
            <w:top w:val="none" w:sz="0" w:space="0"/>
            <w:left w:val="none" w:sz="0" w:space="0"/>
            <w:bottom w:val="none" w:sz="0" w:space="0"/>
            <w:right w:val="none" w:sz="0" w:space="0"/>
          </w:pgBorders>
          <w:cols w:space="720" w:num="1"/>
          <w:docGrid w:type="linesAndChars" w:linePitch="312" w:charSpace="0"/>
        </w:sectPr>
      </w:pPr>
    </w:p>
    <w:p>
      <w:pPr>
        <w:pStyle w:val="41"/>
        <w:rPr>
          <w:rFonts w:hint="default" w:ascii="Times New Roman" w:hAnsi="Times New Roman" w:cs="Times New Roman"/>
          <w:color w:val="auto"/>
        </w:rPr>
      </w:pPr>
    </w:p>
    <w:p>
      <w:pPr>
        <w:pStyle w:val="41"/>
        <w:outlineLvl w:val="0"/>
        <w:rPr>
          <w:rFonts w:hint="default" w:ascii="Times New Roman" w:hAnsi="Times New Roman" w:eastAsia="黑体" w:cs="Times New Roman"/>
          <w:b/>
          <w:color w:val="auto"/>
          <w:sz w:val="28"/>
          <w:szCs w:val="28"/>
        </w:rPr>
      </w:pPr>
      <w:r>
        <w:rPr>
          <w:rFonts w:hint="default" w:ascii="Times New Roman" w:hAnsi="Times New Roman" w:eastAsia="黑体" w:cs="Times New Roman"/>
          <w:b/>
          <w:color w:val="auto"/>
          <w:sz w:val="28"/>
          <w:szCs w:val="28"/>
        </w:rPr>
        <w:t>附件</w:t>
      </w:r>
      <w:r>
        <w:rPr>
          <w:rFonts w:hint="default" w:ascii="Times New Roman" w:hAnsi="Times New Roman" w:eastAsia="黑体" w:cs="Times New Roman"/>
          <w:b/>
          <w:color w:val="auto"/>
          <w:sz w:val="28"/>
          <w:szCs w:val="28"/>
          <w:lang w:val="en-US" w:eastAsia="zh-CN"/>
        </w:rPr>
        <w:t>5：</w:t>
      </w:r>
      <w:r>
        <w:rPr>
          <w:rFonts w:hint="default" w:ascii="Times New Roman" w:hAnsi="Times New Roman" w:eastAsia="黑体" w:cs="Times New Roman"/>
          <w:b/>
          <w:color w:val="auto"/>
          <w:sz w:val="28"/>
          <w:szCs w:val="28"/>
        </w:rPr>
        <w:t>关于同江市城市生活垃圾处理工程环境影响报告书的批复</w:t>
      </w:r>
    </w:p>
    <w:p>
      <w:pPr>
        <w:pStyle w:val="41"/>
        <w:keepNext w:val="0"/>
        <w:keepLines w:val="0"/>
        <w:pageBreakBefore w:val="0"/>
        <w:widowControl w:val="0"/>
        <w:kinsoku/>
        <w:wordWrap/>
        <w:overflowPunct/>
        <w:topLinePunct w:val="0"/>
        <w:autoSpaceDE w:val="0"/>
        <w:autoSpaceDN w:val="0"/>
        <w:bidi w:val="0"/>
        <w:adjustRightInd w:val="0"/>
        <w:snapToGrid/>
        <w:textAlignment w:val="auto"/>
        <w:outlineLvl w:val="9"/>
        <w:rPr>
          <w:rFonts w:hint="default" w:ascii="Times New Roman" w:hAnsi="Times New Roman" w:eastAsia="黑体" w:cs="Times New Roman"/>
          <w:b/>
          <w:color w:val="auto"/>
          <w:sz w:val="28"/>
          <w:szCs w:val="28"/>
          <w:lang w:eastAsia="zh-CN"/>
        </w:rPr>
      </w:pPr>
      <w:r>
        <w:rPr>
          <w:rFonts w:hint="default" w:ascii="Times New Roman" w:hAnsi="Times New Roman" w:eastAsia="黑体" w:cs="Times New Roman"/>
          <w:b/>
          <w:color w:val="auto"/>
          <w:sz w:val="28"/>
          <w:szCs w:val="28"/>
          <w:lang w:eastAsia="zh-CN"/>
        </w:rPr>
        <w:drawing>
          <wp:inline distT="0" distB="0" distL="114300" distR="114300">
            <wp:extent cx="5319395" cy="7289800"/>
            <wp:effectExtent l="0" t="0" r="14605" b="6350"/>
            <wp:docPr id="8" name="图片 8" descr="环评批复（佳）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环评批复（佳）01"/>
                    <pic:cNvPicPr>
                      <a:picLocks noChangeAspect="1"/>
                    </pic:cNvPicPr>
                  </pic:nvPicPr>
                  <pic:blipFill>
                    <a:blip r:embed="rId45"/>
                    <a:stretch>
                      <a:fillRect/>
                    </a:stretch>
                  </pic:blipFill>
                  <pic:spPr>
                    <a:xfrm>
                      <a:off x="0" y="0"/>
                      <a:ext cx="5319395" cy="7289800"/>
                    </a:xfrm>
                    <a:prstGeom prst="rect">
                      <a:avLst/>
                    </a:prstGeom>
                  </pic:spPr>
                </pic:pic>
              </a:graphicData>
            </a:graphic>
          </wp:inline>
        </w:drawing>
      </w:r>
      <w:r>
        <w:rPr>
          <w:rFonts w:hint="default" w:ascii="Times New Roman" w:hAnsi="Times New Roman" w:eastAsia="黑体" w:cs="Times New Roman"/>
          <w:b/>
          <w:color w:val="auto"/>
          <w:sz w:val="28"/>
          <w:szCs w:val="28"/>
          <w:lang w:eastAsia="zh-CN"/>
        </w:rPr>
        <w:drawing>
          <wp:inline distT="0" distB="0" distL="114300" distR="114300">
            <wp:extent cx="5720715" cy="7787640"/>
            <wp:effectExtent l="0" t="0" r="13335" b="3810"/>
            <wp:docPr id="7" name="图片 7" descr="环评批复（佳）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环评批复（佳）02"/>
                    <pic:cNvPicPr>
                      <a:picLocks noChangeAspect="1"/>
                    </pic:cNvPicPr>
                  </pic:nvPicPr>
                  <pic:blipFill>
                    <a:blip r:embed="rId46"/>
                    <a:stretch>
                      <a:fillRect/>
                    </a:stretch>
                  </pic:blipFill>
                  <pic:spPr>
                    <a:xfrm>
                      <a:off x="0" y="0"/>
                      <a:ext cx="5720715" cy="7787640"/>
                    </a:xfrm>
                    <a:prstGeom prst="rect">
                      <a:avLst/>
                    </a:prstGeom>
                  </pic:spPr>
                </pic:pic>
              </a:graphicData>
            </a:graphic>
          </wp:inline>
        </w:drawing>
      </w:r>
      <w:r>
        <w:rPr>
          <w:rFonts w:hint="default" w:ascii="Times New Roman" w:hAnsi="Times New Roman" w:eastAsia="黑体" w:cs="Times New Roman"/>
          <w:b/>
          <w:color w:val="auto"/>
          <w:sz w:val="28"/>
          <w:szCs w:val="28"/>
          <w:lang w:eastAsia="zh-CN"/>
        </w:rPr>
        <w:drawing>
          <wp:inline distT="0" distB="0" distL="114300" distR="114300">
            <wp:extent cx="5714365" cy="7707630"/>
            <wp:effectExtent l="0" t="0" r="635" b="7620"/>
            <wp:docPr id="6" name="图片 6" descr="环评批复（佳）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环评批复（佳）03"/>
                    <pic:cNvPicPr>
                      <a:picLocks noChangeAspect="1"/>
                    </pic:cNvPicPr>
                  </pic:nvPicPr>
                  <pic:blipFill>
                    <a:blip r:embed="rId47"/>
                    <a:stretch>
                      <a:fillRect/>
                    </a:stretch>
                  </pic:blipFill>
                  <pic:spPr>
                    <a:xfrm>
                      <a:off x="0" y="0"/>
                      <a:ext cx="5714365" cy="7707630"/>
                    </a:xfrm>
                    <a:prstGeom prst="rect">
                      <a:avLst/>
                    </a:prstGeom>
                  </pic:spPr>
                </pic:pic>
              </a:graphicData>
            </a:graphic>
          </wp:inline>
        </w:drawing>
      </w:r>
      <w:r>
        <w:rPr>
          <w:rFonts w:hint="default" w:ascii="Times New Roman" w:hAnsi="Times New Roman" w:eastAsia="黑体" w:cs="Times New Roman"/>
          <w:b/>
          <w:color w:val="auto"/>
          <w:sz w:val="28"/>
          <w:szCs w:val="28"/>
          <w:lang w:eastAsia="zh-CN"/>
        </w:rPr>
        <w:drawing>
          <wp:inline distT="0" distB="0" distL="114300" distR="114300">
            <wp:extent cx="5714365" cy="7654290"/>
            <wp:effectExtent l="0" t="0" r="635" b="3810"/>
            <wp:docPr id="5" name="图片 5" descr="环评批复（佳）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环评批复（佳）04"/>
                    <pic:cNvPicPr>
                      <a:picLocks noChangeAspect="1"/>
                    </pic:cNvPicPr>
                  </pic:nvPicPr>
                  <pic:blipFill>
                    <a:blip r:embed="rId48"/>
                    <a:stretch>
                      <a:fillRect/>
                    </a:stretch>
                  </pic:blipFill>
                  <pic:spPr>
                    <a:xfrm>
                      <a:off x="0" y="0"/>
                      <a:ext cx="5714365" cy="7654290"/>
                    </a:xfrm>
                    <a:prstGeom prst="rect">
                      <a:avLst/>
                    </a:prstGeom>
                  </pic:spPr>
                </pic:pic>
              </a:graphicData>
            </a:graphic>
          </wp:inline>
        </w:drawing>
      </w: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rPr>
          <w:rFonts w:hint="default" w:ascii="Times New Roman" w:hAnsi="Times New Roman" w:cs="Times New Roman"/>
          <w:color w:val="auto"/>
        </w:rPr>
      </w:pPr>
    </w:p>
    <w:p>
      <w:pPr>
        <w:pStyle w:val="41"/>
        <w:outlineLvl w:val="0"/>
        <w:rPr>
          <w:rFonts w:hint="default" w:ascii="Times New Roman" w:hAnsi="Times New Roman" w:eastAsia="黑体" w:cs="Times New Roman"/>
          <w:b/>
          <w:color w:val="auto"/>
          <w:sz w:val="28"/>
          <w:szCs w:val="28"/>
        </w:rPr>
      </w:pPr>
      <w:r>
        <w:rPr>
          <w:rFonts w:hint="default" w:ascii="Times New Roman" w:hAnsi="Times New Roman" w:eastAsia="黑体" w:cs="Times New Roman"/>
          <w:b/>
          <w:color w:val="auto"/>
          <w:sz w:val="28"/>
          <w:szCs w:val="28"/>
        </w:rPr>
        <w:t>附件</w:t>
      </w:r>
      <w:r>
        <w:rPr>
          <w:rFonts w:hint="default" w:ascii="Times New Roman" w:hAnsi="Times New Roman" w:eastAsia="黑体" w:cs="Times New Roman"/>
          <w:b/>
          <w:color w:val="auto"/>
          <w:sz w:val="28"/>
          <w:szCs w:val="28"/>
          <w:lang w:val="en-US" w:eastAsia="zh-CN"/>
        </w:rPr>
        <w:t>6：</w:t>
      </w:r>
      <w:r>
        <w:rPr>
          <w:rFonts w:hint="default" w:ascii="Times New Roman" w:hAnsi="Times New Roman" w:eastAsia="黑体" w:cs="Times New Roman"/>
          <w:b/>
          <w:color w:val="auto"/>
          <w:sz w:val="28"/>
          <w:szCs w:val="28"/>
        </w:rPr>
        <w:t>关于同江市城市生活垃圾处理工程竣工环境保护验收意见的函</w:t>
      </w:r>
    </w:p>
    <w:p>
      <w:pPr>
        <w:pStyle w:val="41"/>
        <w:keepNext w:val="0"/>
        <w:keepLines w:val="0"/>
        <w:pageBreakBefore w:val="0"/>
        <w:widowControl w:val="0"/>
        <w:kinsoku/>
        <w:wordWrap/>
        <w:overflowPunct/>
        <w:topLinePunct w:val="0"/>
        <w:autoSpaceDE w:val="0"/>
        <w:autoSpaceDN w:val="0"/>
        <w:bidi w:val="0"/>
        <w:adjustRightInd w:val="0"/>
        <w:snapToGrid/>
        <w:ind w:left="0" w:firstLine="0" w:firstLineChars="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5332095" cy="7163435"/>
            <wp:effectExtent l="0" t="0" r="1905" b="18415"/>
            <wp:docPr id="10" name="图片 10" descr="环保验收意见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环保验收意见01"/>
                    <pic:cNvPicPr>
                      <a:picLocks noChangeAspect="1"/>
                    </pic:cNvPicPr>
                  </pic:nvPicPr>
                  <pic:blipFill>
                    <a:blip r:embed="rId49"/>
                    <a:stretch>
                      <a:fillRect/>
                    </a:stretch>
                  </pic:blipFill>
                  <pic:spPr>
                    <a:xfrm>
                      <a:off x="0" y="0"/>
                      <a:ext cx="5332095" cy="7163435"/>
                    </a:xfrm>
                    <a:prstGeom prst="rect">
                      <a:avLst/>
                    </a:prstGeom>
                  </pic:spPr>
                </pic:pic>
              </a:graphicData>
            </a:graphic>
          </wp:inline>
        </w:drawing>
      </w:r>
      <w:r>
        <w:rPr>
          <w:rFonts w:hint="default" w:ascii="Times New Roman" w:hAnsi="Times New Roman" w:eastAsia="宋体" w:cs="Times New Roman"/>
          <w:color w:val="auto"/>
          <w:lang w:eastAsia="zh-CN"/>
        </w:rPr>
        <w:drawing>
          <wp:inline distT="0" distB="0" distL="114300" distR="114300">
            <wp:extent cx="5710555" cy="7758430"/>
            <wp:effectExtent l="0" t="0" r="4445" b="13970"/>
            <wp:docPr id="9" name="图片 9" descr="环保验收意见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环保验收意见02"/>
                    <pic:cNvPicPr>
                      <a:picLocks noChangeAspect="1"/>
                    </pic:cNvPicPr>
                  </pic:nvPicPr>
                  <pic:blipFill>
                    <a:blip r:embed="rId50"/>
                    <a:stretch>
                      <a:fillRect/>
                    </a:stretch>
                  </pic:blipFill>
                  <pic:spPr>
                    <a:xfrm>
                      <a:off x="0" y="0"/>
                      <a:ext cx="5710555" cy="7758430"/>
                    </a:xfrm>
                    <a:prstGeom prst="rect">
                      <a:avLst/>
                    </a:prstGeom>
                  </pic:spPr>
                </pic:pic>
              </a:graphicData>
            </a:graphic>
          </wp:inline>
        </w:drawing>
      </w:r>
    </w:p>
    <w:p>
      <w:pPr>
        <w:pStyle w:val="41"/>
        <w:ind w:left="480" w:hanging="480" w:hangingChars="200"/>
        <w:rPr>
          <w:rFonts w:hint="default" w:ascii="Times New Roman" w:hAnsi="Times New Roman" w:cs="Times New Roman"/>
          <w:color w:val="auto"/>
        </w:rPr>
      </w:pPr>
    </w:p>
    <w:p>
      <w:pPr>
        <w:pStyle w:val="41"/>
        <w:ind w:left="480" w:hanging="480" w:hangingChars="200"/>
        <w:rPr>
          <w:rFonts w:hint="default" w:ascii="Times New Roman" w:hAnsi="Times New Roman" w:cs="Times New Roman"/>
          <w:color w:val="auto"/>
        </w:rPr>
      </w:pPr>
    </w:p>
    <w:p>
      <w:pPr>
        <w:pStyle w:val="41"/>
        <w:outlineLvl w:val="0"/>
        <w:rPr>
          <w:rFonts w:hint="default" w:ascii="Times New Roman" w:hAnsi="Times New Roman" w:eastAsia="黑体" w:cs="Times New Roman"/>
          <w:b/>
          <w:color w:val="auto"/>
          <w:sz w:val="28"/>
          <w:szCs w:val="28"/>
          <w:lang w:val="en-US" w:eastAsia="zh-CN"/>
        </w:rPr>
      </w:pPr>
      <w:r>
        <w:rPr>
          <w:rFonts w:hint="default" w:ascii="Times New Roman" w:hAnsi="Times New Roman" w:eastAsia="黑体" w:cs="Times New Roman"/>
          <w:b/>
          <w:color w:val="auto"/>
          <w:sz w:val="28"/>
          <w:szCs w:val="28"/>
        </w:rPr>
        <w:t>附件</w:t>
      </w:r>
      <w:r>
        <w:rPr>
          <w:rFonts w:hint="default" w:ascii="Times New Roman" w:hAnsi="Times New Roman" w:eastAsia="黑体" w:cs="Times New Roman"/>
          <w:b/>
          <w:color w:val="auto"/>
          <w:sz w:val="28"/>
          <w:szCs w:val="28"/>
          <w:lang w:val="en-US" w:eastAsia="zh-CN"/>
        </w:rPr>
        <w:t>7：</w:t>
      </w:r>
      <w:r>
        <w:rPr>
          <w:rFonts w:hint="default" w:ascii="Times New Roman" w:hAnsi="Times New Roman" w:eastAsia="黑体" w:cs="Times New Roman"/>
          <w:b/>
          <w:color w:val="auto"/>
          <w:sz w:val="28"/>
          <w:szCs w:val="28"/>
        </w:rPr>
        <w:t>关于同江市城市</w:t>
      </w:r>
      <w:r>
        <w:rPr>
          <w:rFonts w:hint="default" w:ascii="Times New Roman" w:hAnsi="Times New Roman" w:eastAsia="黑体" w:cs="Times New Roman"/>
          <w:b/>
          <w:color w:val="auto"/>
          <w:sz w:val="28"/>
          <w:szCs w:val="28"/>
          <w:lang w:val="en-US" w:eastAsia="zh-CN"/>
        </w:rPr>
        <w:t>医疗废物集中处置中心建设项目环境影响报告书的批复</w:t>
      </w:r>
    </w:p>
    <w:p>
      <w:pPr>
        <w:pStyle w:val="41"/>
        <w:keepNext w:val="0"/>
        <w:keepLines w:val="0"/>
        <w:pageBreakBefore w:val="0"/>
        <w:widowControl w:val="0"/>
        <w:kinsoku/>
        <w:wordWrap/>
        <w:overflowPunct/>
        <w:topLinePunct w:val="0"/>
        <w:autoSpaceDE w:val="0"/>
        <w:autoSpaceDN w:val="0"/>
        <w:bidi w:val="0"/>
        <w:adjustRightInd w:val="0"/>
        <w:snapToGrid/>
        <w:ind w:left="0" w:firstLine="0" w:firstLineChars="0"/>
        <w:textAlignment w:val="auto"/>
        <w:rPr>
          <w:rFonts w:hint="default" w:ascii="Times New Roman" w:hAnsi="Times New Roman" w:eastAsia="宋体" w:cs="Times New Roman"/>
          <w:color w:val="auto"/>
          <w:lang w:eastAsia="zh-CN"/>
        </w:rPr>
      </w:pPr>
      <w:bookmarkStart w:id="47" w:name="_GoBack"/>
      <w:r>
        <w:rPr>
          <w:rFonts w:hint="default" w:ascii="Times New Roman" w:hAnsi="Times New Roman" w:eastAsia="宋体" w:cs="Times New Roman"/>
          <w:color w:val="auto"/>
          <w:lang w:eastAsia="zh-CN"/>
        </w:rPr>
        <w:drawing>
          <wp:inline distT="0" distB="0" distL="114300" distR="114300">
            <wp:extent cx="4994275" cy="7457440"/>
            <wp:effectExtent l="0" t="0" r="15875" b="10160"/>
            <wp:docPr id="57" name="图片 57" descr="微信图片_2020111714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微信图片_20201117144716"/>
                    <pic:cNvPicPr>
                      <a:picLocks noChangeAspect="1"/>
                    </pic:cNvPicPr>
                  </pic:nvPicPr>
                  <pic:blipFill>
                    <a:blip r:embed="rId51"/>
                    <a:stretch>
                      <a:fillRect/>
                    </a:stretch>
                  </pic:blipFill>
                  <pic:spPr>
                    <a:xfrm>
                      <a:off x="0" y="0"/>
                      <a:ext cx="4994275" cy="7457440"/>
                    </a:xfrm>
                    <a:prstGeom prst="rect">
                      <a:avLst/>
                    </a:prstGeom>
                  </pic:spPr>
                </pic:pic>
              </a:graphicData>
            </a:graphic>
          </wp:inline>
        </w:drawing>
      </w:r>
      <w:bookmarkEnd w:id="47"/>
      <w:r>
        <w:rPr>
          <w:rFonts w:hint="default" w:ascii="Times New Roman" w:hAnsi="Times New Roman" w:eastAsia="宋体" w:cs="Times New Roman"/>
          <w:color w:val="auto"/>
          <w:lang w:eastAsia="zh-CN"/>
        </w:rPr>
        <w:drawing>
          <wp:inline distT="0" distB="0" distL="114300" distR="114300">
            <wp:extent cx="5098415" cy="8397875"/>
            <wp:effectExtent l="0" t="0" r="6985" b="3175"/>
            <wp:docPr id="56" name="图片 56" descr="微信图片_2020111714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微信图片_20201117144720"/>
                    <pic:cNvPicPr>
                      <a:picLocks noChangeAspect="1"/>
                    </pic:cNvPicPr>
                  </pic:nvPicPr>
                  <pic:blipFill>
                    <a:blip r:embed="rId52"/>
                    <a:stretch>
                      <a:fillRect/>
                    </a:stretch>
                  </pic:blipFill>
                  <pic:spPr>
                    <a:xfrm>
                      <a:off x="0" y="0"/>
                      <a:ext cx="5098415" cy="8397875"/>
                    </a:xfrm>
                    <a:prstGeom prst="rect">
                      <a:avLst/>
                    </a:prstGeom>
                  </pic:spPr>
                </pic:pic>
              </a:graphicData>
            </a:graphic>
          </wp:inline>
        </w:drawing>
      </w:r>
      <w:r>
        <w:rPr>
          <w:rFonts w:hint="default" w:ascii="Times New Roman" w:hAnsi="Times New Roman" w:eastAsia="宋体" w:cs="Times New Roman"/>
          <w:color w:val="auto"/>
          <w:lang w:eastAsia="zh-CN"/>
        </w:rPr>
        <w:drawing>
          <wp:inline distT="0" distB="0" distL="114300" distR="114300">
            <wp:extent cx="5098415" cy="8397875"/>
            <wp:effectExtent l="0" t="0" r="6985" b="3175"/>
            <wp:docPr id="51" name="图片 51" descr="微信图片_2020111714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微信图片_20201117144723"/>
                    <pic:cNvPicPr>
                      <a:picLocks noChangeAspect="1"/>
                    </pic:cNvPicPr>
                  </pic:nvPicPr>
                  <pic:blipFill>
                    <a:blip r:embed="rId53"/>
                    <a:stretch>
                      <a:fillRect/>
                    </a:stretch>
                  </pic:blipFill>
                  <pic:spPr>
                    <a:xfrm>
                      <a:off x="0" y="0"/>
                      <a:ext cx="5098415" cy="8397875"/>
                    </a:xfrm>
                    <a:prstGeom prst="rect">
                      <a:avLst/>
                    </a:prstGeom>
                  </pic:spPr>
                </pic:pic>
              </a:graphicData>
            </a:graphic>
          </wp:inline>
        </w:drawing>
      </w:r>
      <w:r>
        <w:rPr>
          <w:rFonts w:hint="default" w:ascii="Times New Roman" w:hAnsi="Times New Roman" w:eastAsia="宋体" w:cs="Times New Roman"/>
          <w:color w:val="auto"/>
          <w:lang w:eastAsia="zh-CN"/>
        </w:rPr>
        <w:drawing>
          <wp:inline distT="0" distB="0" distL="114300" distR="114300">
            <wp:extent cx="5098415" cy="8397875"/>
            <wp:effectExtent l="0" t="0" r="6985" b="3175"/>
            <wp:docPr id="46" name="图片 46" descr="微信图片_2020111714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201117144726"/>
                    <pic:cNvPicPr>
                      <a:picLocks noChangeAspect="1"/>
                    </pic:cNvPicPr>
                  </pic:nvPicPr>
                  <pic:blipFill>
                    <a:blip r:embed="rId54"/>
                    <a:stretch>
                      <a:fillRect/>
                    </a:stretch>
                  </pic:blipFill>
                  <pic:spPr>
                    <a:xfrm>
                      <a:off x="0" y="0"/>
                      <a:ext cx="5098415" cy="8397875"/>
                    </a:xfrm>
                    <a:prstGeom prst="rect">
                      <a:avLst/>
                    </a:prstGeom>
                  </pic:spPr>
                </pic:pic>
              </a:graphicData>
            </a:graphic>
          </wp:inline>
        </w:drawing>
      </w:r>
    </w:p>
    <w:p>
      <w:pPr>
        <w:pStyle w:val="41"/>
        <w:outlineLvl w:val="0"/>
        <w:rPr>
          <w:rFonts w:hint="default" w:ascii="Times New Roman" w:hAnsi="Times New Roman" w:eastAsia="黑体" w:cs="Times New Roman"/>
          <w:b/>
          <w:color w:val="auto"/>
          <w:sz w:val="28"/>
          <w:szCs w:val="28"/>
          <w:lang w:val="en-US" w:eastAsia="zh-CN"/>
        </w:rPr>
      </w:pPr>
      <w:r>
        <w:rPr>
          <w:rFonts w:hint="default" w:ascii="Times New Roman" w:hAnsi="Times New Roman" w:eastAsia="黑体" w:cs="Times New Roman"/>
          <w:b/>
          <w:color w:val="auto"/>
          <w:sz w:val="28"/>
          <w:szCs w:val="28"/>
          <w:lang w:val="en-US" w:eastAsia="zh-CN"/>
        </w:rPr>
        <w:t>附件8</w:t>
      </w:r>
      <w:r>
        <w:rPr>
          <w:rFonts w:hint="eastAsia" w:ascii="Times New Roman" w:eastAsia="黑体" w:cs="Times New Roman"/>
          <w:b/>
          <w:color w:val="auto"/>
          <w:sz w:val="28"/>
          <w:szCs w:val="28"/>
          <w:lang w:val="en-US" w:eastAsia="zh-CN"/>
        </w:rPr>
        <w:t>：</w:t>
      </w:r>
      <w:r>
        <w:rPr>
          <w:rFonts w:hint="default" w:ascii="Times New Roman" w:hAnsi="Times New Roman" w:eastAsia="黑体" w:cs="Times New Roman"/>
          <w:b/>
          <w:color w:val="auto"/>
          <w:sz w:val="28"/>
          <w:szCs w:val="28"/>
          <w:lang w:val="en-US" w:eastAsia="zh-CN"/>
        </w:rPr>
        <w:t>同江市医疗废物集中处置中心建设项目竣工环境保护验收意见</w:t>
      </w:r>
    </w:p>
    <w:p>
      <w:pPr>
        <w:pStyle w:val="41"/>
        <w:keepNext w:val="0"/>
        <w:keepLines w:val="0"/>
        <w:pageBreakBefore w:val="0"/>
        <w:widowControl w:val="0"/>
        <w:kinsoku/>
        <w:wordWrap/>
        <w:overflowPunct/>
        <w:topLinePunct w:val="0"/>
        <w:autoSpaceDE w:val="0"/>
        <w:autoSpaceDN w:val="0"/>
        <w:bidi w:val="0"/>
        <w:adjustRightInd w:val="0"/>
        <w:snapToGrid/>
        <w:ind w:left="0" w:firstLine="0" w:firstLine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5074920" cy="7177405"/>
            <wp:effectExtent l="0" t="0" r="11430" b="4445"/>
            <wp:docPr id="63" name="图片 63" descr="同江医疗废物集中处置中心建设项目竣工环境保护验收意见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同江医疗废物集中处置中心建设项目竣工环境保护验收意见_页面_1"/>
                    <pic:cNvPicPr>
                      <a:picLocks noChangeAspect="1"/>
                    </pic:cNvPicPr>
                  </pic:nvPicPr>
                  <pic:blipFill>
                    <a:blip r:embed="rId55"/>
                    <a:stretch>
                      <a:fillRect/>
                    </a:stretch>
                  </pic:blipFill>
                  <pic:spPr>
                    <a:xfrm>
                      <a:off x="0" y="0"/>
                      <a:ext cx="5074920" cy="7177405"/>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31510" cy="8108950"/>
            <wp:effectExtent l="0" t="0" r="2540" b="6350"/>
            <wp:docPr id="62" name="图片 62" descr="同江医疗废物集中处置中心建设项目竣工环境保护验收意见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同江医疗废物集中处置中心建设项目竣工环境保护验收意见_页面_2"/>
                    <pic:cNvPicPr>
                      <a:picLocks noChangeAspect="1"/>
                    </pic:cNvPicPr>
                  </pic:nvPicPr>
                  <pic:blipFill>
                    <a:blip r:embed="rId56"/>
                    <a:stretch>
                      <a:fillRect/>
                    </a:stretch>
                  </pic:blipFill>
                  <pic:spPr>
                    <a:xfrm>
                      <a:off x="0" y="0"/>
                      <a:ext cx="5731510" cy="8108950"/>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31510" cy="8104505"/>
            <wp:effectExtent l="0" t="0" r="2540" b="10795"/>
            <wp:docPr id="61" name="图片 61" descr="同江医疗废物集中处置中心建设项目竣工环境保护验收意见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同江医疗废物集中处置中心建设项目竣工环境保护验收意见_页面_3"/>
                    <pic:cNvPicPr>
                      <a:picLocks noChangeAspect="1"/>
                    </pic:cNvPicPr>
                  </pic:nvPicPr>
                  <pic:blipFill>
                    <a:blip r:embed="rId57"/>
                    <a:stretch>
                      <a:fillRect/>
                    </a:stretch>
                  </pic:blipFill>
                  <pic:spPr>
                    <a:xfrm>
                      <a:off x="0" y="0"/>
                      <a:ext cx="5731510" cy="8104505"/>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30875" cy="8107680"/>
            <wp:effectExtent l="0" t="0" r="3175" b="7620"/>
            <wp:docPr id="60" name="图片 60" descr="同江医疗废物集中处置中心建设项目竣工环境保护验收意见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同江医疗废物集中处置中心建设项目竣工环境保护验收意见_页面_4"/>
                    <pic:cNvPicPr>
                      <a:picLocks noChangeAspect="1"/>
                    </pic:cNvPicPr>
                  </pic:nvPicPr>
                  <pic:blipFill>
                    <a:blip r:embed="rId58"/>
                    <a:stretch>
                      <a:fillRect/>
                    </a:stretch>
                  </pic:blipFill>
                  <pic:spPr>
                    <a:xfrm>
                      <a:off x="0" y="0"/>
                      <a:ext cx="5730875" cy="8107680"/>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30875" cy="8105775"/>
            <wp:effectExtent l="0" t="0" r="3175" b="9525"/>
            <wp:docPr id="59" name="图片 59" descr="同江医疗废物集中处置中心建设项目竣工环境保护验收意见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同江医疗废物集中处置中心建设项目竣工环境保护验收意见_页面_5"/>
                    <pic:cNvPicPr>
                      <a:picLocks noChangeAspect="1"/>
                    </pic:cNvPicPr>
                  </pic:nvPicPr>
                  <pic:blipFill>
                    <a:blip r:embed="rId59"/>
                    <a:stretch>
                      <a:fillRect/>
                    </a:stretch>
                  </pic:blipFill>
                  <pic:spPr>
                    <a:xfrm>
                      <a:off x="0" y="0"/>
                      <a:ext cx="5730875" cy="8105775"/>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6430" cy="8096885"/>
            <wp:effectExtent l="0" t="0" r="7620" b="18415"/>
            <wp:docPr id="58" name="图片 58" descr="同江医疗废物集中处置中心建设项目竣工环境保护验收意见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同江医疗废物集中处置中心建设项目竣工环境保护验收意见_页面_6"/>
                    <pic:cNvPicPr>
                      <a:picLocks noChangeAspect="1"/>
                    </pic:cNvPicPr>
                  </pic:nvPicPr>
                  <pic:blipFill>
                    <a:blip r:embed="rId60"/>
                    <a:stretch>
                      <a:fillRect/>
                    </a:stretch>
                  </pic:blipFill>
                  <pic:spPr>
                    <a:xfrm>
                      <a:off x="0" y="0"/>
                      <a:ext cx="5726430" cy="8096885"/>
                    </a:xfrm>
                    <a:prstGeom prst="rect">
                      <a:avLst/>
                    </a:prstGeom>
                  </pic:spPr>
                </pic:pic>
              </a:graphicData>
            </a:graphic>
          </wp:inline>
        </w:drawing>
      </w:r>
    </w:p>
    <w:p>
      <w:pPr>
        <w:pStyle w:val="41"/>
        <w:keepNext w:val="0"/>
        <w:keepLines w:val="0"/>
        <w:pageBreakBefore w:val="0"/>
        <w:widowControl w:val="0"/>
        <w:kinsoku/>
        <w:wordWrap/>
        <w:overflowPunct/>
        <w:topLinePunct w:val="0"/>
        <w:autoSpaceDE w:val="0"/>
        <w:autoSpaceDN w:val="0"/>
        <w:bidi w:val="0"/>
        <w:adjustRightInd w:val="0"/>
        <w:snapToGrid/>
        <w:ind w:left="0" w:firstLine="0" w:firstLineChars="0"/>
        <w:textAlignment w:val="auto"/>
        <w:rPr>
          <w:rFonts w:hint="default" w:ascii="Times New Roman" w:hAnsi="Times New Roman" w:cs="Times New Roman"/>
          <w:color w:val="auto"/>
          <w:lang w:val="en-US" w:eastAsia="zh-CN"/>
        </w:rPr>
      </w:pPr>
    </w:p>
    <w:p>
      <w:pPr>
        <w:pStyle w:val="41"/>
        <w:outlineLvl w:val="0"/>
        <w:rPr>
          <w:rFonts w:hint="default" w:ascii="Times New Roman" w:hAnsi="Times New Roman" w:eastAsia="黑体" w:cs="Times New Roman"/>
          <w:b/>
          <w:color w:val="auto"/>
          <w:sz w:val="28"/>
          <w:szCs w:val="28"/>
          <w:lang w:val="en-US" w:eastAsia="zh-CN"/>
        </w:rPr>
      </w:pPr>
      <w:r>
        <w:rPr>
          <w:rFonts w:hint="default" w:ascii="Times New Roman" w:hAnsi="Times New Roman" w:eastAsia="黑体" w:cs="Times New Roman"/>
          <w:b/>
          <w:color w:val="auto"/>
          <w:sz w:val="28"/>
          <w:szCs w:val="28"/>
          <w:lang w:val="en-US" w:eastAsia="zh-CN"/>
        </w:rPr>
        <w:t>附件9：环境质量监测报告</w:t>
      </w:r>
    </w:p>
    <w:p>
      <w:pPr>
        <w:pStyle w:val="41"/>
        <w:keepNext w:val="0"/>
        <w:keepLines w:val="0"/>
        <w:pageBreakBefore w:val="0"/>
        <w:widowControl w:val="0"/>
        <w:kinsoku/>
        <w:wordWrap/>
        <w:overflowPunct/>
        <w:topLinePunct w:val="0"/>
        <w:autoSpaceDE w:val="0"/>
        <w:autoSpaceDN w:val="0"/>
        <w:bidi w:val="0"/>
        <w:adjustRightInd w:val="0"/>
        <w:snapToGrid/>
        <w:ind w:left="0" w:firstLine="0" w:firstLine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5728335" cy="7851775"/>
            <wp:effectExtent l="0" t="0" r="5715" b="15875"/>
            <wp:docPr id="74" name="图片 74" descr="202011-035检测报告-同江市城市生活垃圾处理场渗沥液站改造工程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202011-035检测报告-同江市城市生活垃圾处理场渗沥液站改造工程_页面_01"/>
                    <pic:cNvPicPr>
                      <a:picLocks noChangeAspect="1"/>
                    </pic:cNvPicPr>
                  </pic:nvPicPr>
                  <pic:blipFill>
                    <a:blip r:embed="rId61"/>
                    <a:stretch>
                      <a:fillRect/>
                    </a:stretch>
                  </pic:blipFill>
                  <pic:spPr>
                    <a:xfrm>
                      <a:off x="0" y="0"/>
                      <a:ext cx="5728335" cy="7851775"/>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8335" cy="7851775"/>
            <wp:effectExtent l="0" t="0" r="5715" b="15875"/>
            <wp:docPr id="73" name="图片 73" descr="202011-035检测报告-同江市城市生活垃圾处理场渗沥液站改造工程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202011-035检测报告-同江市城市生活垃圾处理场渗沥液站改造工程_页面_02"/>
                    <pic:cNvPicPr>
                      <a:picLocks noChangeAspect="1"/>
                    </pic:cNvPicPr>
                  </pic:nvPicPr>
                  <pic:blipFill>
                    <a:blip r:embed="rId62"/>
                    <a:stretch>
                      <a:fillRect/>
                    </a:stretch>
                  </pic:blipFill>
                  <pic:spPr>
                    <a:xfrm>
                      <a:off x="0" y="0"/>
                      <a:ext cx="5728335" cy="7851775"/>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8335" cy="7851775"/>
            <wp:effectExtent l="0" t="0" r="5715" b="15875"/>
            <wp:docPr id="72" name="图片 72" descr="202011-035检测报告-同江市城市生活垃圾处理场渗沥液站改造工程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202011-035检测报告-同江市城市生活垃圾处理场渗沥液站改造工程_页面_03"/>
                    <pic:cNvPicPr>
                      <a:picLocks noChangeAspect="1"/>
                    </pic:cNvPicPr>
                  </pic:nvPicPr>
                  <pic:blipFill>
                    <a:blip r:embed="rId63"/>
                    <a:stretch>
                      <a:fillRect/>
                    </a:stretch>
                  </pic:blipFill>
                  <pic:spPr>
                    <a:xfrm>
                      <a:off x="0" y="0"/>
                      <a:ext cx="5728335" cy="7851775"/>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8335" cy="7851775"/>
            <wp:effectExtent l="0" t="0" r="5715" b="15875"/>
            <wp:docPr id="71" name="图片 71" descr="202011-035检测报告-同江市城市生活垃圾处理场渗沥液站改造工程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202011-035检测报告-同江市城市生活垃圾处理场渗沥液站改造工程_页面_04"/>
                    <pic:cNvPicPr>
                      <a:picLocks noChangeAspect="1"/>
                    </pic:cNvPicPr>
                  </pic:nvPicPr>
                  <pic:blipFill>
                    <a:blip r:embed="rId64"/>
                    <a:stretch>
                      <a:fillRect/>
                    </a:stretch>
                  </pic:blipFill>
                  <pic:spPr>
                    <a:xfrm>
                      <a:off x="0" y="0"/>
                      <a:ext cx="5728335" cy="7851775"/>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8335" cy="7851775"/>
            <wp:effectExtent l="0" t="0" r="5715" b="15875"/>
            <wp:docPr id="70" name="图片 70" descr="202011-035检测报告-同江市城市生活垃圾处理场渗沥液站改造工程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202011-035检测报告-同江市城市生活垃圾处理场渗沥液站改造工程_页面_05"/>
                    <pic:cNvPicPr>
                      <a:picLocks noChangeAspect="1"/>
                    </pic:cNvPicPr>
                  </pic:nvPicPr>
                  <pic:blipFill>
                    <a:blip r:embed="rId65"/>
                    <a:stretch>
                      <a:fillRect/>
                    </a:stretch>
                  </pic:blipFill>
                  <pic:spPr>
                    <a:xfrm>
                      <a:off x="0" y="0"/>
                      <a:ext cx="5728335" cy="7851775"/>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8335" cy="7851775"/>
            <wp:effectExtent l="0" t="0" r="5715" b="15875"/>
            <wp:docPr id="69" name="图片 69" descr="202011-035检测报告-同江市城市生活垃圾处理场渗沥液站改造工程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202011-035检测报告-同江市城市生活垃圾处理场渗沥液站改造工程_页面_06"/>
                    <pic:cNvPicPr>
                      <a:picLocks noChangeAspect="1"/>
                    </pic:cNvPicPr>
                  </pic:nvPicPr>
                  <pic:blipFill>
                    <a:blip r:embed="rId66"/>
                    <a:stretch>
                      <a:fillRect/>
                    </a:stretch>
                  </pic:blipFill>
                  <pic:spPr>
                    <a:xfrm>
                      <a:off x="0" y="0"/>
                      <a:ext cx="5728335" cy="7851775"/>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8335" cy="7851775"/>
            <wp:effectExtent l="0" t="0" r="5715" b="15875"/>
            <wp:docPr id="68" name="图片 68" descr="202011-035检测报告-同江市城市生活垃圾处理场渗沥液站改造工程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202011-035检测报告-同江市城市生活垃圾处理场渗沥液站改造工程_页面_07"/>
                    <pic:cNvPicPr>
                      <a:picLocks noChangeAspect="1"/>
                    </pic:cNvPicPr>
                  </pic:nvPicPr>
                  <pic:blipFill>
                    <a:blip r:embed="rId67"/>
                    <a:stretch>
                      <a:fillRect/>
                    </a:stretch>
                  </pic:blipFill>
                  <pic:spPr>
                    <a:xfrm>
                      <a:off x="0" y="0"/>
                      <a:ext cx="5728335" cy="7851775"/>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8335" cy="7851775"/>
            <wp:effectExtent l="0" t="0" r="5715" b="15875"/>
            <wp:docPr id="67" name="图片 67" descr="202011-035检测报告-同江市城市生活垃圾处理场渗沥液站改造工程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202011-035检测报告-同江市城市生活垃圾处理场渗沥液站改造工程_页面_08"/>
                    <pic:cNvPicPr>
                      <a:picLocks noChangeAspect="1"/>
                    </pic:cNvPicPr>
                  </pic:nvPicPr>
                  <pic:blipFill>
                    <a:blip r:embed="rId68"/>
                    <a:stretch>
                      <a:fillRect/>
                    </a:stretch>
                  </pic:blipFill>
                  <pic:spPr>
                    <a:xfrm>
                      <a:off x="0" y="0"/>
                      <a:ext cx="5728335" cy="7851775"/>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8335" cy="7851775"/>
            <wp:effectExtent l="0" t="0" r="5715" b="15875"/>
            <wp:docPr id="66" name="图片 66" descr="202011-035检测报告-同江市城市生活垃圾处理场渗沥液站改造工程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202011-035检测报告-同江市城市生活垃圾处理场渗沥液站改造工程_页面_09"/>
                    <pic:cNvPicPr>
                      <a:picLocks noChangeAspect="1"/>
                    </pic:cNvPicPr>
                  </pic:nvPicPr>
                  <pic:blipFill>
                    <a:blip r:embed="rId69"/>
                    <a:stretch>
                      <a:fillRect/>
                    </a:stretch>
                  </pic:blipFill>
                  <pic:spPr>
                    <a:xfrm>
                      <a:off x="0" y="0"/>
                      <a:ext cx="5728335" cy="7851775"/>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8335" cy="7851775"/>
            <wp:effectExtent l="0" t="0" r="5715" b="15875"/>
            <wp:docPr id="65" name="图片 65" descr="202011-035检测报告-同江市城市生活垃圾处理场渗沥液站改造工程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202011-035检测报告-同江市城市生活垃圾处理场渗沥液站改造工程_页面_10"/>
                    <pic:cNvPicPr>
                      <a:picLocks noChangeAspect="1"/>
                    </pic:cNvPicPr>
                  </pic:nvPicPr>
                  <pic:blipFill>
                    <a:blip r:embed="rId70"/>
                    <a:stretch>
                      <a:fillRect/>
                    </a:stretch>
                  </pic:blipFill>
                  <pic:spPr>
                    <a:xfrm>
                      <a:off x="0" y="0"/>
                      <a:ext cx="5728335" cy="7851775"/>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8335" cy="7851775"/>
            <wp:effectExtent l="0" t="0" r="5715" b="15875"/>
            <wp:docPr id="64" name="图片 64" descr="202011-035检测报告-同江市城市生活垃圾处理场渗沥液站改造工程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02011-035检测报告-同江市城市生活垃圾处理场渗沥液站改造工程_页面_11"/>
                    <pic:cNvPicPr>
                      <a:picLocks noChangeAspect="1"/>
                    </pic:cNvPicPr>
                  </pic:nvPicPr>
                  <pic:blipFill>
                    <a:blip r:embed="rId71"/>
                    <a:stretch>
                      <a:fillRect/>
                    </a:stretch>
                  </pic:blipFill>
                  <pic:spPr>
                    <a:xfrm>
                      <a:off x="0" y="0"/>
                      <a:ext cx="5728335" cy="7851775"/>
                    </a:xfrm>
                    <a:prstGeom prst="rect">
                      <a:avLst/>
                    </a:prstGeom>
                  </pic:spPr>
                </pic:pic>
              </a:graphicData>
            </a:graphic>
          </wp:inline>
        </w:drawing>
      </w:r>
    </w:p>
    <w:p>
      <w:pPr>
        <w:pStyle w:val="41"/>
        <w:keepNext w:val="0"/>
        <w:keepLines w:val="0"/>
        <w:pageBreakBefore w:val="0"/>
        <w:widowControl w:val="0"/>
        <w:kinsoku/>
        <w:wordWrap/>
        <w:overflowPunct/>
        <w:topLinePunct w:val="0"/>
        <w:autoSpaceDE w:val="0"/>
        <w:autoSpaceDN w:val="0"/>
        <w:bidi w:val="0"/>
        <w:adjustRightInd w:val="0"/>
        <w:snapToGrid/>
        <w:ind w:left="0" w:firstLine="0" w:firstLineChars="0"/>
        <w:textAlignment w:val="auto"/>
        <w:rPr>
          <w:rFonts w:hint="default" w:ascii="Times New Roman" w:hAnsi="Times New Roman" w:cs="Times New Roman"/>
          <w:color w:val="auto"/>
          <w:lang w:val="en-US" w:eastAsia="zh-CN"/>
        </w:rPr>
      </w:pPr>
    </w:p>
    <w:p>
      <w:pPr>
        <w:pStyle w:val="41"/>
        <w:keepNext w:val="0"/>
        <w:keepLines w:val="0"/>
        <w:pageBreakBefore w:val="0"/>
        <w:widowControl w:val="0"/>
        <w:kinsoku/>
        <w:wordWrap/>
        <w:overflowPunct/>
        <w:topLinePunct w:val="0"/>
        <w:autoSpaceDE w:val="0"/>
        <w:autoSpaceDN w:val="0"/>
        <w:bidi w:val="0"/>
        <w:adjustRightInd w:val="0"/>
        <w:snapToGrid/>
        <w:ind w:left="0" w:firstLine="0" w:firstLineChars="0"/>
        <w:textAlignment w:val="auto"/>
        <w:rPr>
          <w:rFonts w:hint="default" w:ascii="Times New Roman" w:hAnsi="Times New Roman" w:cs="Times New Roman"/>
          <w:color w:val="auto"/>
          <w:lang w:val="en-US" w:eastAsia="zh-CN"/>
        </w:rPr>
      </w:pPr>
    </w:p>
    <w:p>
      <w:pPr>
        <w:pStyle w:val="41"/>
        <w:outlineLvl w:val="0"/>
        <w:rPr>
          <w:rFonts w:hint="default" w:ascii="Times New Roman" w:hAnsi="Times New Roman" w:eastAsia="黑体" w:cs="Times New Roman"/>
          <w:b/>
          <w:color w:val="auto"/>
          <w:sz w:val="28"/>
          <w:szCs w:val="28"/>
          <w:lang w:val="en-US" w:eastAsia="zh-CN"/>
        </w:rPr>
      </w:pPr>
      <w:r>
        <w:rPr>
          <w:rFonts w:hint="default" w:ascii="Times New Roman" w:hAnsi="Times New Roman" w:eastAsia="黑体" w:cs="Times New Roman"/>
          <w:b/>
          <w:color w:val="auto"/>
          <w:sz w:val="28"/>
          <w:szCs w:val="28"/>
          <w:lang w:val="en-US" w:eastAsia="zh-CN"/>
        </w:rPr>
        <w:t>附件10</w:t>
      </w:r>
      <w:r>
        <w:rPr>
          <w:rFonts w:hint="eastAsia" w:ascii="Times New Roman" w:eastAsia="黑体" w:cs="Times New Roman"/>
          <w:b/>
          <w:color w:val="auto"/>
          <w:sz w:val="28"/>
          <w:szCs w:val="28"/>
          <w:lang w:val="en-US" w:eastAsia="zh-CN"/>
        </w:rPr>
        <w:t>:</w:t>
      </w:r>
      <w:r>
        <w:rPr>
          <w:rFonts w:hint="default" w:ascii="Times New Roman" w:hAnsi="Times New Roman" w:eastAsia="黑体" w:cs="Times New Roman"/>
          <w:b/>
          <w:color w:val="auto"/>
          <w:sz w:val="28"/>
          <w:szCs w:val="28"/>
          <w:lang w:val="en-US" w:eastAsia="zh-CN"/>
        </w:rPr>
        <w:t>土壤监测报告</w:t>
      </w:r>
    </w:p>
    <w:p>
      <w:pPr>
        <w:pStyle w:val="41"/>
        <w:keepNext w:val="0"/>
        <w:keepLines w:val="0"/>
        <w:pageBreakBefore w:val="0"/>
        <w:widowControl w:val="0"/>
        <w:kinsoku/>
        <w:wordWrap/>
        <w:overflowPunct/>
        <w:topLinePunct w:val="0"/>
        <w:autoSpaceDE w:val="0"/>
        <w:autoSpaceDN w:val="0"/>
        <w:bidi w:val="0"/>
        <w:adjustRightInd w:val="0"/>
        <w:snapToGrid/>
        <w:ind w:left="0" w:firstLine="0" w:firstLine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5334635" cy="7512050"/>
            <wp:effectExtent l="0" t="0" r="18415" b="12700"/>
            <wp:docPr id="101" name="图片 101" descr="土壤8月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土壤8月_页面_01"/>
                    <pic:cNvPicPr>
                      <a:picLocks noChangeAspect="1"/>
                    </pic:cNvPicPr>
                  </pic:nvPicPr>
                  <pic:blipFill>
                    <a:blip r:embed="rId72"/>
                    <a:stretch>
                      <a:fillRect/>
                    </a:stretch>
                  </pic:blipFill>
                  <pic:spPr>
                    <a:xfrm>
                      <a:off x="0" y="0"/>
                      <a:ext cx="5334635" cy="7512050"/>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5160" cy="8061960"/>
            <wp:effectExtent l="0" t="0" r="8890" b="15240"/>
            <wp:docPr id="100" name="图片 100" descr="土壤8月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土壤8月_页面_02"/>
                    <pic:cNvPicPr>
                      <a:picLocks noChangeAspect="1"/>
                    </pic:cNvPicPr>
                  </pic:nvPicPr>
                  <pic:blipFill>
                    <a:blip r:embed="rId73"/>
                    <a:stretch>
                      <a:fillRect/>
                    </a:stretch>
                  </pic:blipFill>
                  <pic:spPr>
                    <a:xfrm>
                      <a:off x="0" y="0"/>
                      <a:ext cx="5725160" cy="8061960"/>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5160" cy="8061960"/>
            <wp:effectExtent l="0" t="0" r="8890" b="15240"/>
            <wp:docPr id="99" name="图片 99" descr="土壤8月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土壤8月_页面_03"/>
                    <pic:cNvPicPr>
                      <a:picLocks noChangeAspect="1"/>
                    </pic:cNvPicPr>
                  </pic:nvPicPr>
                  <pic:blipFill>
                    <a:blip r:embed="rId74"/>
                    <a:stretch>
                      <a:fillRect/>
                    </a:stretch>
                  </pic:blipFill>
                  <pic:spPr>
                    <a:xfrm>
                      <a:off x="0" y="0"/>
                      <a:ext cx="5725160" cy="8061960"/>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5160" cy="8061960"/>
            <wp:effectExtent l="0" t="0" r="8890" b="15240"/>
            <wp:docPr id="98" name="图片 98" descr="土壤8月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土壤8月_页面_04"/>
                    <pic:cNvPicPr>
                      <a:picLocks noChangeAspect="1"/>
                    </pic:cNvPicPr>
                  </pic:nvPicPr>
                  <pic:blipFill>
                    <a:blip r:embed="rId75"/>
                    <a:stretch>
                      <a:fillRect/>
                    </a:stretch>
                  </pic:blipFill>
                  <pic:spPr>
                    <a:xfrm>
                      <a:off x="0" y="0"/>
                      <a:ext cx="5725160" cy="8061960"/>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5160" cy="8061960"/>
            <wp:effectExtent l="0" t="0" r="8890" b="15240"/>
            <wp:docPr id="97" name="图片 97" descr="土壤8月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土壤8月_页面_05"/>
                    <pic:cNvPicPr>
                      <a:picLocks noChangeAspect="1"/>
                    </pic:cNvPicPr>
                  </pic:nvPicPr>
                  <pic:blipFill>
                    <a:blip r:embed="rId76"/>
                    <a:stretch>
                      <a:fillRect/>
                    </a:stretch>
                  </pic:blipFill>
                  <pic:spPr>
                    <a:xfrm>
                      <a:off x="0" y="0"/>
                      <a:ext cx="5725160" cy="8061960"/>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5160" cy="8061960"/>
            <wp:effectExtent l="0" t="0" r="8890" b="15240"/>
            <wp:docPr id="96" name="图片 96" descr="土壤8月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土壤8月_页面_06"/>
                    <pic:cNvPicPr>
                      <a:picLocks noChangeAspect="1"/>
                    </pic:cNvPicPr>
                  </pic:nvPicPr>
                  <pic:blipFill>
                    <a:blip r:embed="rId77"/>
                    <a:stretch>
                      <a:fillRect/>
                    </a:stretch>
                  </pic:blipFill>
                  <pic:spPr>
                    <a:xfrm>
                      <a:off x="0" y="0"/>
                      <a:ext cx="5725160" cy="8061960"/>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5160" cy="8061960"/>
            <wp:effectExtent l="0" t="0" r="8890" b="15240"/>
            <wp:docPr id="95" name="图片 95" descr="土壤8月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土壤8月_页面_07"/>
                    <pic:cNvPicPr>
                      <a:picLocks noChangeAspect="1"/>
                    </pic:cNvPicPr>
                  </pic:nvPicPr>
                  <pic:blipFill>
                    <a:blip r:embed="rId78"/>
                    <a:stretch>
                      <a:fillRect/>
                    </a:stretch>
                  </pic:blipFill>
                  <pic:spPr>
                    <a:xfrm>
                      <a:off x="0" y="0"/>
                      <a:ext cx="5725160" cy="8061960"/>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5160" cy="8061960"/>
            <wp:effectExtent l="0" t="0" r="8890" b="15240"/>
            <wp:docPr id="94" name="图片 94" descr="土壤8月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土壤8月_页面_08"/>
                    <pic:cNvPicPr>
                      <a:picLocks noChangeAspect="1"/>
                    </pic:cNvPicPr>
                  </pic:nvPicPr>
                  <pic:blipFill>
                    <a:blip r:embed="rId79"/>
                    <a:stretch>
                      <a:fillRect/>
                    </a:stretch>
                  </pic:blipFill>
                  <pic:spPr>
                    <a:xfrm>
                      <a:off x="0" y="0"/>
                      <a:ext cx="5725160" cy="8061960"/>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5160" cy="8061960"/>
            <wp:effectExtent l="0" t="0" r="8890" b="15240"/>
            <wp:docPr id="93" name="图片 93" descr="土壤8月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土壤8月_页面_09"/>
                    <pic:cNvPicPr>
                      <a:picLocks noChangeAspect="1"/>
                    </pic:cNvPicPr>
                  </pic:nvPicPr>
                  <pic:blipFill>
                    <a:blip r:embed="rId80"/>
                    <a:stretch>
                      <a:fillRect/>
                    </a:stretch>
                  </pic:blipFill>
                  <pic:spPr>
                    <a:xfrm>
                      <a:off x="0" y="0"/>
                      <a:ext cx="5725160" cy="8061960"/>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5160" cy="8061960"/>
            <wp:effectExtent l="0" t="0" r="8890" b="15240"/>
            <wp:docPr id="92" name="图片 92" descr="土壤8月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土壤8月_页面_10"/>
                    <pic:cNvPicPr>
                      <a:picLocks noChangeAspect="1"/>
                    </pic:cNvPicPr>
                  </pic:nvPicPr>
                  <pic:blipFill>
                    <a:blip r:embed="rId81"/>
                    <a:stretch>
                      <a:fillRect/>
                    </a:stretch>
                  </pic:blipFill>
                  <pic:spPr>
                    <a:xfrm>
                      <a:off x="0" y="0"/>
                      <a:ext cx="5725160" cy="8061960"/>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5160" cy="8061960"/>
            <wp:effectExtent l="0" t="0" r="8890" b="15240"/>
            <wp:docPr id="91" name="图片 91" descr="土壤8月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土壤8月_页面_11"/>
                    <pic:cNvPicPr>
                      <a:picLocks noChangeAspect="1"/>
                    </pic:cNvPicPr>
                  </pic:nvPicPr>
                  <pic:blipFill>
                    <a:blip r:embed="rId82"/>
                    <a:stretch>
                      <a:fillRect/>
                    </a:stretch>
                  </pic:blipFill>
                  <pic:spPr>
                    <a:xfrm>
                      <a:off x="0" y="0"/>
                      <a:ext cx="5725160" cy="8061960"/>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5160" cy="8061960"/>
            <wp:effectExtent l="0" t="0" r="8890" b="15240"/>
            <wp:docPr id="90" name="图片 90" descr="土壤8月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土壤8月_页面_12"/>
                    <pic:cNvPicPr>
                      <a:picLocks noChangeAspect="1"/>
                    </pic:cNvPicPr>
                  </pic:nvPicPr>
                  <pic:blipFill>
                    <a:blip r:embed="rId83"/>
                    <a:stretch>
                      <a:fillRect/>
                    </a:stretch>
                  </pic:blipFill>
                  <pic:spPr>
                    <a:xfrm>
                      <a:off x="0" y="0"/>
                      <a:ext cx="5725160" cy="8061960"/>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5160" cy="8061960"/>
            <wp:effectExtent l="0" t="0" r="8890" b="15240"/>
            <wp:docPr id="89" name="图片 89" descr="土壤8月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土壤8月_页面_13"/>
                    <pic:cNvPicPr>
                      <a:picLocks noChangeAspect="1"/>
                    </pic:cNvPicPr>
                  </pic:nvPicPr>
                  <pic:blipFill>
                    <a:blip r:embed="rId84"/>
                    <a:stretch>
                      <a:fillRect/>
                    </a:stretch>
                  </pic:blipFill>
                  <pic:spPr>
                    <a:xfrm>
                      <a:off x="0" y="0"/>
                      <a:ext cx="5725160" cy="8061960"/>
                    </a:xfrm>
                    <a:prstGeom prst="rect">
                      <a:avLst/>
                    </a:prstGeom>
                  </pic:spPr>
                </pic:pic>
              </a:graphicData>
            </a:graphic>
          </wp:inline>
        </w:drawing>
      </w:r>
    </w:p>
    <w:p>
      <w:pPr>
        <w:pStyle w:val="41"/>
        <w:keepNext w:val="0"/>
        <w:keepLines w:val="0"/>
        <w:pageBreakBefore w:val="0"/>
        <w:widowControl w:val="0"/>
        <w:kinsoku/>
        <w:wordWrap/>
        <w:overflowPunct/>
        <w:topLinePunct w:val="0"/>
        <w:autoSpaceDE w:val="0"/>
        <w:autoSpaceDN w:val="0"/>
        <w:bidi w:val="0"/>
        <w:adjustRightInd w:val="0"/>
        <w:snapToGrid/>
        <w:ind w:left="0" w:firstLine="0" w:firstLineChars="0"/>
        <w:textAlignment w:val="auto"/>
        <w:rPr>
          <w:rFonts w:hint="default" w:ascii="Times New Roman" w:hAnsi="Times New Roman" w:cs="Times New Roman"/>
          <w:color w:val="auto"/>
          <w:lang w:val="en-US" w:eastAsia="zh-CN"/>
        </w:rPr>
      </w:pPr>
    </w:p>
    <w:p>
      <w:pPr>
        <w:pStyle w:val="41"/>
        <w:outlineLvl w:val="0"/>
        <w:rPr>
          <w:rFonts w:hint="default" w:ascii="Times New Roman" w:hAnsi="Times New Roman" w:eastAsia="黑体" w:cs="Times New Roman"/>
          <w:b/>
          <w:color w:val="auto"/>
          <w:sz w:val="28"/>
          <w:szCs w:val="28"/>
          <w:lang w:val="en-US" w:eastAsia="zh-CN"/>
        </w:rPr>
      </w:pPr>
      <w:r>
        <w:rPr>
          <w:rFonts w:hint="default" w:ascii="Times New Roman" w:hAnsi="Times New Roman" w:eastAsia="黑体" w:cs="Times New Roman"/>
          <w:b/>
          <w:color w:val="auto"/>
          <w:sz w:val="28"/>
          <w:szCs w:val="28"/>
          <w:lang w:val="en-US" w:eastAsia="zh-CN"/>
        </w:rPr>
        <w:t>附件11：废水监测报告</w:t>
      </w:r>
    </w:p>
    <w:p>
      <w:pPr>
        <w:pStyle w:val="41"/>
        <w:keepNext w:val="0"/>
        <w:keepLines w:val="0"/>
        <w:pageBreakBefore w:val="0"/>
        <w:widowControl w:val="0"/>
        <w:kinsoku/>
        <w:wordWrap/>
        <w:overflowPunct/>
        <w:topLinePunct w:val="0"/>
        <w:autoSpaceDE w:val="0"/>
        <w:autoSpaceDN w:val="0"/>
        <w:bidi w:val="0"/>
        <w:adjustRightInd w:val="0"/>
        <w:snapToGrid/>
        <w:ind w:left="0" w:firstLine="0" w:firstLine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5268595" cy="7419340"/>
            <wp:effectExtent l="0" t="0" r="8255" b="10160"/>
            <wp:docPr id="106" name="图片 106" descr="废水7月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废水7月_页面_1"/>
                    <pic:cNvPicPr>
                      <a:picLocks noChangeAspect="1"/>
                    </pic:cNvPicPr>
                  </pic:nvPicPr>
                  <pic:blipFill>
                    <a:blip r:embed="rId85"/>
                    <a:stretch>
                      <a:fillRect/>
                    </a:stretch>
                  </pic:blipFill>
                  <pic:spPr>
                    <a:xfrm>
                      <a:off x="0" y="0"/>
                      <a:ext cx="5268595" cy="7419340"/>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5160" cy="8061960"/>
            <wp:effectExtent l="0" t="0" r="8890" b="15240"/>
            <wp:docPr id="105" name="图片 105" descr="废水7月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废水7月_页面_2"/>
                    <pic:cNvPicPr>
                      <a:picLocks noChangeAspect="1"/>
                    </pic:cNvPicPr>
                  </pic:nvPicPr>
                  <pic:blipFill>
                    <a:blip r:embed="rId86"/>
                    <a:stretch>
                      <a:fillRect/>
                    </a:stretch>
                  </pic:blipFill>
                  <pic:spPr>
                    <a:xfrm>
                      <a:off x="0" y="0"/>
                      <a:ext cx="5725160" cy="8061960"/>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5160" cy="8061960"/>
            <wp:effectExtent l="0" t="0" r="8890" b="15240"/>
            <wp:docPr id="104" name="图片 104" descr="废水7月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废水7月_页面_3"/>
                    <pic:cNvPicPr>
                      <a:picLocks noChangeAspect="1"/>
                    </pic:cNvPicPr>
                  </pic:nvPicPr>
                  <pic:blipFill>
                    <a:blip r:embed="rId87"/>
                    <a:stretch>
                      <a:fillRect/>
                    </a:stretch>
                  </pic:blipFill>
                  <pic:spPr>
                    <a:xfrm>
                      <a:off x="0" y="0"/>
                      <a:ext cx="5725160" cy="8061960"/>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5160" cy="8061960"/>
            <wp:effectExtent l="0" t="0" r="8890" b="15240"/>
            <wp:docPr id="103" name="图片 103" descr="废水7月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废水7月_页面_4"/>
                    <pic:cNvPicPr>
                      <a:picLocks noChangeAspect="1"/>
                    </pic:cNvPicPr>
                  </pic:nvPicPr>
                  <pic:blipFill>
                    <a:blip r:embed="rId88"/>
                    <a:stretch>
                      <a:fillRect/>
                    </a:stretch>
                  </pic:blipFill>
                  <pic:spPr>
                    <a:xfrm>
                      <a:off x="0" y="0"/>
                      <a:ext cx="5725160" cy="8061960"/>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725160" cy="8061960"/>
            <wp:effectExtent l="0" t="0" r="8890" b="15240"/>
            <wp:docPr id="102" name="图片 102" descr="废水7月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废水7月_页面_5"/>
                    <pic:cNvPicPr>
                      <a:picLocks noChangeAspect="1"/>
                    </pic:cNvPicPr>
                  </pic:nvPicPr>
                  <pic:blipFill>
                    <a:blip r:embed="rId89"/>
                    <a:stretch>
                      <a:fillRect/>
                    </a:stretch>
                  </pic:blipFill>
                  <pic:spPr>
                    <a:xfrm>
                      <a:off x="0" y="0"/>
                      <a:ext cx="5725160" cy="8061960"/>
                    </a:xfrm>
                    <a:prstGeom prst="rect">
                      <a:avLst/>
                    </a:prstGeom>
                  </pic:spPr>
                </pic:pic>
              </a:graphicData>
            </a:graphic>
          </wp:inline>
        </w:drawing>
      </w:r>
    </w:p>
    <w:p>
      <w:pPr>
        <w:pStyle w:val="41"/>
        <w:keepNext w:val="0"/>
        <w:keepLines w:val="0"/>
        <w:pageBreakBefore w:val="0"/>
        <w:widowControl w:val="0"/>
        <w:kinsoku/>
        <w:wordWrap/>
        <w:overflowPunct/>
        <w:topLinePunct w:val="0"/>
        <w:autoSpaceDE w:val="0"/>
        <w:autoSpaceDN w:val="0"/>
        <w:bidi w:val="0"/>
        <w:adjustRightInd w:val="0"/>
        <w:snapToGrid/>
        <w:ind w:left="0" w:firstLine="0" w:firstLineChars="0"/>
        <w:textAlignment w:val="auto"/>
        <w:rPr>
          <w:rFonts w:hint="default" w:ascii="Times New Roman" w:hAnsi="Times New Roman" w:cs="Times New Roman"/>
          <w:color w:val="auto"/>
          <w:lang w:val="en-US" w:eastAsia="zh-CN"/>
        </w:rPr>
      </w:pPr>
    </w:p>
    <w:sectPr>
      <w:pgSz w:w="11907" w:h="16839"/>
      <w:pgMar w:top="1800" w:right="1440" w:bottom="1800" w:left="1440" w:header="851" w:footer="992" w:gutter="0"/>
      <w:pgBorders>
        <w:top w:val="none" w:sz="0" w:space="0"/>
        <w:left w:val="none" w:sz="0" w:space="0"/>
        <w:bottom w:val="none" w:sz="0" w:space="0"/>
        <w:right w:val="none" w:sz="0" w:space="0"/>
      </w:pgBorders>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楷体_GB2312">
    <w:altName w:val="楷体"/>
    <w:panose1 w:val="00000000000000000000"/>
    <w:charset w:val="86"/>
    <w:family w:val="modern"/>
    <w:pitch w:val="default"/>
    <w:sig w:usb0="00000000" w:usb1="00000000" w:usb2="00000010" w:usb3="00000000" w:csb0="00040000" w:csb1="00000000"/>
  </w:font>
  <w:font w:name="@宋体">
    <w:panose1 w:val="02010600030101010101"/>
    <w:charset w:val="86"/>
    <w:family w:val="auto"/>
    <w:pitch w:val="default"/>
    <w:sig w:usb0="00000003" w:usb1="288F0000" w:usb2="00000006" w:usb3="00000000" w:csb0="00040001" w:csb1="00000000"/>
  </w:font>
  <w:font w:name="等线 Light">
    <w:altName w:val="宋体"/>
    <w:panose1 w:val="00000000000000000000"/>
    <w:charset w:val="86"/>
    <w:family w:val="roman"/>
    <w:pitch w:val="default"/>
    <w:sig w:usb0="00000000" w:usb1="00000000" w:usb2="00000000" w:usb3="00000000" w:csb0="00000000" w:csb1="00000000"/>
  </w:font>
  <w:font w:name="Arial Black">
    <w:panose1 w:val="020B0A04020102020204"/>
    <w:charset w:val="00"/>
    <w:family w:val="swiss"/>
    <w:pitch w:val="default"/>
    <w:sig w:usb0="00000287" w:usb1="00000000" w:usb2="00000000" w:usb3="00000000" w:csb0="2000009F" w:csb1="DFD70000"/>
  </w:font>
  <w:font w:name="PMingLiU">
    <w:panose1 w:val="02020500000000000000"/>
    <w:charset w:val="88"/>
    <w:family w:val="auto"/>
    <w:pitch w:val="default"/>
    <w:sig w:usb0="A00002FF" w:usb1="28CFFCFA" w:usb2="00000016" w:usb3="00000000" w:csb0="00100001"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ascii="宋体" w:hAnsi="宋体"/>
      </w:rPr>
    </w:pPr>
  </w:p>
  <w:p>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38"/>
      </w:rPr>
    </w:pPr>
    <w:r>
      <w:fldChar w:fldCharType="begin"/>
    </w:r>
    <w:r>
      <w:rPr>
        <w:rStyle w:val="38"/>
      </w:rPr>
      <w:instrText xml:space="preserve">PAGE  </w:instrText>
    </w:r>
    <w:r>
      <w:fldChar w:fldCharType="end"/>
    </w:r>
  </w:p>
  <w:p>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ascii="宋体" w:hAnsi="宋体"/>
        <w:sz w:val="21"/>
      </w:rPr>
    </w:pPr>
    <w:r>
      <w:rPr>
        <w:rFonts w:ascii="宋体" w:hAnsi="宋体"/>
        <w:sz w:val="21"/>
      </w:rPr>
      <w:fldChar w:fldCharType="begin"/>
    </w:r>
    <w:r>
      <w:rPr>
        <w:rFonts w:ascii="宋体" w:hAnsi="宋体"/>
        <w:sz w:val="21"/>
      </w:rPr>
      <w:instrText xml:space="preserve">PAGE   \* MERGEFORMAT</w:instrText>
    </w:r>
    <w:r>
      <w:rPr>
        <w:rFonts w:ascii="宋体" w:hAnsi="宋体"/>
        <w:sz w:val="21"/>
      </w:rPr>
      <w:fldChar w:fldCharType="separate"/>
    </w:r>
    <w:r>
      <w:rPr>
        <w:rFonts w:ascii="宋体" w:hAnsi="宋体"/>
        <w:sz w:val="21"/>
        <w:lang w:val="zh-CN"/>
      </w:rPr>
      <w:t>37</w:t>
    </w:r>
    <w:r>
      <w:rPr>
        <w:rFonts w:ascii="宋体" w:hAnsi="宋体"/>
        <w:sz w:val="21"/>
      </w:rPr>
      <w:fldChar w:fldCharType="end"/>
    </w:r>
  </w:p>
  <w:p>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sz w:val="21"/>
        <w:lang w:val="zh-CN"/>
      </w:rPr>
    </w:pPr>
    <w:r>
      <w:rPr>
        <w:sz w:val="21"/>
        <w:lang w:val="zh-CN"/>
      </w:rPr>
      <w:fldChar w:fldCharType="begin"/>
    </w:r>
    <w:r>
      <w:rPr>
        <w:sz w:val="21"/>
        <w:lang w:val="zh-CN"/>
      </w:rPr>
      <w:instrText xml:space="preserve">PAGE   \* MERGEFORMAT</w:instrText>
    </w:r>
    <w:r>
      <w:rPr>
        <w:sz w:val="21"/>
        <w:lang w:val="zh-CN"/>
      </w:rPr>
      <w:fldChar w:fldCharType="separate"/>
    </w:r>
    <w:r>
      <w:rPr>
        <w:sz w:val="21"/>
        <w:lang w:val="zh-CN"/>
      </w:rPr>
      <w:t>1</w:t>
    </w:r>
    <w:r>
      <w:rPr>
        <w:sz w:val="21"/>
        <w:lang w:val="zh-CN"/>
      </w:rPr>
      <w:fldChar w:fldCharType="end"/>
    </w:r>
  </w:p>
  <w:p>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ascii="宋体" w:hAnsi="宋体"/>
        <w:sz w:val="21"/>
      </w:rPr>
    </w:pPr>
    <w:r>
      <w:rPr>
        <w:rFonts w:ascii="宋体" w:hAnsi="宋体"/>
        <w:sz w:val="21"/>
      </w:rPr>
      <w:fldChar w:fldCharType="begin"/>
    </w:r>
    <w:r>
      <w:rPr>
        <w:rFonts w:ascii="宋体" w:hAnsi="宋体"/>
        <w:sz w:val="21"/>
      </w:rPr>
      <w:instrText xml:space="preserve">PAGE   \* MERGEFORMAT</w:instrText>
    </w:r>
    <w:r>
      <w:rPr>
        <w:rFonts w:ascii="宋体" w:hAnsi="宋体"/>
        <w:sz w:val="21"/>
      </w:rPr>
      <w:fldChar w:fldCharType="separate"/>
    </w:r>
    <w:r>
      <w:rPr>
        <w:rFonts w:ascii="宋体" w:hAnsi="宋体"/>
        <w:sz w:val="21"/>
        <w:lang w:val="zh-CN"/>
      </w:rPr>
      <w:t>61</w:t>
    </w:r>
    <w:r>
      <w:rPr>
        <w:rFonts w:ascii="宋体" w:hAnsi="宋体"/>
        <w:sz w:val="21"/>
      </w:rPr>
      <w:fldChar w:fldCharType="end"/>
    </w:r>
  </w:p>
  <w:p>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rPr>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0D2074"/>
    <w:multiLevelType w:val="singleLevel"/>
    <w:tmpl w:val="830D2074"/>
    <w:lvl w:ilvl="0" w:tentative="0">
      <w:start w:val="1"/>
      <w:numFmt w:val="chineseCounting"/>
      <w:suff w:val="nothing"/>
      <w:lvlText w:val="（%1）"/>
      <w:lvlJc w:val="left"/>
      <w:pPr>
        <w:widowControl/>
        <w:textAlignment w:val="baseline"/>
      </w:pPr>
      <w:rPr>
        <w:rStyle w:val="137"/>
      </w:rPr>
    </w:lvl>
  </w:abstractNum>
  <w:abstractNum w:abstractNumId="1">
    <w:nsid w:val="F9BFECEA"/>
    <w:multiLevelType w:val="singleLevel"/>
    <w:tmpl w:val="F9BFECEA"/>
    <w:lvl w:ilvl="0" w:tentative="0">
      <w:start w:val="1"/>
      <w:numFmt w:val="decimal"/>
      <w:suff w:val="nothing"/>
      <w:lvlText w:val="（%1）"/>
      <w:lvlJc w:val="left"/>
    </w:lvl>
  </w:abstractNum>
  <w:abstractNum w:abstractNumId="2">
    <w:nsid w:val="250526D4"/>
    <w:multiLevelType w:val="singleLevel"/>
    <w:tmpl w:val="250526D4"/>
    <w:lvl w:ilvl="0" w:tentative="0">
      <w:start w:val="4"/>
      <w:numFmt w:val="decimal"/>
      <w:suff w:val="nothing"/>
      <w:lvlText w:val="%1、"/>
      <w:lvlJc w:val="left"/>
    </w:lvl>
  </w:abstractNum>
  <w:abstractNum w:abstractNumId="3">
    <w:nsid w:val="55589142"/>
    <w:multiLevelType w:val="singleLevel"/>
    <w:tmpl w:val="55589142"/>
    <w:lvl w:ilvl="0" w:tentative="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832"/>
    <w:rsid w:val="00000D32"/>
    <w:rsid w:val="00000DEC"/>
    <w:rsid w:val="00001ECE"/>
    <w:rsid w:val="0000348D"/>
    <w:rsid w:val="00003DF6"/>
    <w:rsid w:val="00005BB9"/>
    <w:rsid w:val="00007DE3"/>
    <w:rsid w:val="0001053D"/>
    <w:rsid w:val="000115E2"/>
    <w:rsid w:val="000135A6"/>
    <w:rsid w:val="000145A2"/>
    <w:rsid w:val="000147D5"/>
    <w:rsid w:val="00015E06"/>
    <w:rsid w:val="000162EA"/>
    <w:rsid w:val="0001732B"/>
    <w:rsid w:val="000179DA"/>
    <w:rsid w:val="00021042"/>
    <w:rsid w:val="00021B0F"/>
    <w:rsid w:val="00021E04"/>
    <w:rsid w:val="000227E2"/>
    <w:rsid w:val="00022A18"/>
    <w:rsid w:val="00022DD5"/>
    <w:rsid w:val="00023412"/>
    <w:rsid w:val="00023511"/>
    <w:rsid w:val="000239AC"/>
    <w:rsid w:val="000250E6"/>
    <w:rsid w:val="000253DC"/>
    <w:rsid w:val="00026171"/>
    <w:rsid w:val="00031CA6"/>
    <w:rsid w:val="00031D05"/>
    <w:rsid w:val="00032A59"/>
    <w:rsid w:val="000336F0"/>
    <w:rsid w:val="00033FCE"/>
    <w:rsid w:val="0003440F"/>
    <w:rsid w:val="000358A5"/>
    <w:rsid w:val="00035994"/>
    <w:rsid w:val="00035EE7"/>
    <w:rsid w:val="00036758"/>
    <w:rsid w:val="00037594"/>
    <w:rsid w:val="00037C8F"/>
    <w:rsid w:val="00037CD4"/>
    <w:rsid w:val="000409B7"/>
    <w:rsid w:val="00040C8C"/>
    <w:rsid w:val="00040DC8"/>
    <w:rsid w:val="000414D4"/>
    <w:rsid w:val="00041E73"/>
    <w:rsid w:val="00042189"/>
    <w:rsid w:val="00042C1A"/>
    <w:rsid w:val="000439A3"/>
    <w:rsid w:val="00046E36"/>
    <w:rsid w:val="0005056C"/>
    <w:rsid w:val="000506DC"/>
    <w:rsid w:val="0005312C"/>
    <w:rsid w:val="000536A1"/>
    <w:rsid w:val="00053CC2"/>
    <w:rsid w:val="00053F5E"/>
    <w:rsid w:val="0005472B"/>
    <w:rsid w:val="000557C5"/>
    <w:rsid w:val="00055C5D"/>
    <w:rsid w:val="00055FA3"/>
    <w:rsid w:val="00056E78"/>
    <w:rsid w:val="00057396"/>
    <w:rsid w:val="00057551"/>
    <w:rsid w:val="00060386"/>
    <w:rsid w:val="00061F6C"/>
    <w:rsid w:val="00062E88"/>
    <w:rsid w:val="00063210"/>
    <w:rsid w:val="00063634"/>
    <w:rsid w:val="000645AB"/>
    <w:rsid w:val="00064743"/>
    <w:rsid w:val="00064C3F"/>
    <w:rsid w:val="0006739B"/>
    <w:rsid w:val="000678C3"/>
    <w:rsid w:val="000701C9"/>
    <w:rsid w:val="00070D93"/>
    <w:rsid w:val="00071728"/>
    <w:rsid w:val="00072774"/>
    <w:rsid w:val="00073218"/>
    <w:rsid w:val="00073B07"/>
    <w:rsid w:val="00073F25"/>
    <w:rsid w:val="000744FD"/>
    <w:rsid w:val="0007456E"/>
    <w:rsid w:val="0007717D"/>
    <w:rsid w:val="000779E4"/>
    <w:rsid w:val="00077BA4"/>
    <w:rsid w:val="000802AE"/>
    <w:rsid w:val="00080D8A"/>
    <w:rsid w:val="00081D79"/>
    <w:rsid w:val="000821DD"/>
    <w:rsid w:val="000822B9"/>
    <w:rsid w:val="00082485"/>
    <w:rsid w:val="000828BE"/>
    <w:rsid w:val="00082CF9"/>
    <w:rsid w:val="000830B5"/>
    <w:rsid w:val="000830CB"/>
    <w:rsid w:val="00083662"/>
    <w:rsid w:val="00084162"/>
    <w:rsid w:val="0008438B"/>
    <w:rsid w:val="0008449D"/>
    <w:rsid w:val="000857AB"/>
    <w:rsid w:val="00085BE6"/>
    <w:rsid w:val="00085D09"/>
    <w:rsid w:val="00085DF5"/>
    <w:rsid w:val="0008613B"/>
    <w:rsid w:val="00086272"/>
    <w:rsid w:val="00086C7E"/>
    <w:rsid w:val="00086D98"/>
    <w:rsid w:val="000877AA"/>
    <w:rsid w:val="00091450"/>
    <w:rsid w:val="000937B3"/>
    <w:rsid w:val="00093F0E"/>
    <w:rsid w:val="000949E9"/>
    <w:rsid w:val="00094ABE"/>
    <w:rsid w:val="0009502F"/>
    <w:rsid w:val="0009638B"/>
    <w:rsid w:val="000966A0"/>
    <w:rsid w:val="00096D52"/>
    <w:rsid w:val="00096DE4"/>
    <w:rsid w:val="000970EE"/>
    <w:rsid w:val="00097620"/>
    <w:rsid w:val="00097C72"/>
    <w:rsid w:val="00097ED0"/>
    <w:rsid w:val="000A07E8"/>
    <w:rsid w:val="000A278B"/>
    <w:rsid w:val="000A2808"/>
    <w:rsid w:val="000A29B4"/>
    <w:rsid w:val="000A3705"/>
    <w:rsid w:val="000A3C34"/>
    <w:rsid w:val="000A414C"/>
    <w:rsid w:val="000A5610"/>
    <w:rsid w:val="000A5616"/>
    <w:rsid w:val="000A6EB2"/>
    <w:rsid w:val="000A758E"/>
    <w:rsid w:val="000B0466"/>
    <w:rsid w:val="000B1DD2"/>
    <w:rsid w:val="000B1FC4"/>
    <w:rsid w:val="000B28E3"/>
    <w:rsid w:val="000B2DBB"/>
    <w:rsid w:val="000B4067"/>
    <w:rsid w:val="000B4628"/>
    <w:rsid w:val="000B4F81"/>
    <w:rsid w:val="000B521A"/>
    <w:rsid w:val="000B5DBE"/>
    <w:rsid w:val="000B736A"/>
    <w:rsid w:val="000B7FA2"/>
    <w:rsid w:val="000C1B07"/>
    <w:rsid w:val="000C2809"/>
    <w:rsid w:val="000C35CF"/>
    <w:rsid w:val="000C5795"/>
    <w:rsid w:val="000C5817"/>
    <w:rsid w:val="000C5FC1"/>
    <w:rsid w:val="000C6AF7"/>
    <w:rsid w:val="000C795E"/>
    <w:rsid w:val="000D2099"/>
    <w:rsid w:val="000D36A5"/>
    <w:rsid w:val="000D3FFE"/>
    <w:rsid w:val="000D5822"/>
    <w:rsid w:val="000D668F"/>
    <w:rsid w:val="000D7E92"/>
    <w:rsid w:val="000E0138"/>
    <w:rsid w:val="000E0991"/>
    <w:rsid w:val="000E0E4C"/>
    <w:rsid w:val="000E258D"/>
    <w:rsid w:val="000E302A"/>
    <w:rsid w:val="000E39E2"/>
    <w:rsid w:val="000E4ED5"/>
    <w:rsid w:val="000E5FD3"/>
    <w:rsid w:val="000E686C"/>
    <w:rsid w:val="000E6F0D"/>
    <w:rsid w:val="000E71C2"/>
    <w:rsid w:val="000F0E03"/>
    <w:rsid w:val="000F2D37"/>
    <w:rsid w:val="000F3E5F"/>
    <w:rsid w:val="000F46C0"/>
    <w:rsid w:val="000F55ED"/>
    <w:rsid w:val="000F6B05"/>
    <w:rsid w:val="000F6C63"/>
    <w:rsid w:val="000F7E68"/>
    <w:rsid w:val="00100595"/>
    <w:rsid w:val="00102023"/>
    <w:rsid w:val="00104116"/>
    <w:rsid w:val="00104620"/>
    <w:rsid w:val="001046F6"/>
    <w:rsid w:val="001047F3"/>
    <w:rsid w:val="001064D8"/>
    <w:rsid w:val="001069D7"/>
    <w:rsid w:val="001079CA"/>
    <w:rsid w:val="0011093D"/>
    <w:rsid w:val="00110954"/>
    <w:rsid w:val="00110F26"/>
    <w:rsid w:val="001122C1"/>
    <w:rsid w:val="00114023"/>
    <w:rsid w:val="001154F5"/>
    <w:rsid w:val="0011562D"/>
    <w:rsid w:val="00115C4C"/>
    <w:rsid w:val="00115CA4"/>
    <w:rsid w:val="0011765C"/>
    <w:rsid w:val="00120669"/>
    <w:rsid w:val="00120A0C"/>
    <w:rsid w:val="00120AF7"/>
    <w:rsid w:val="00120C2F"/>
    <w:rsid w:val="0012153B"/>
    <w:rsid w:val="00121D7A"/>
    <w:rsid w:val="00121F93"/>
    <w:rsid w:val="00121FE2"/>
    <w:rsid w:val="00122151"/>
    <w:rsid w:val="00123710"/>
    <w:rsid w:val="0012398D"/>
    <w:rsid w:val="00124824"/>
    <w:rsid w:val="0012627C"/>
    <w:rsid w:val="00130152"/>
    <w:rsid w:val="00130310"/>
    <w:rsid w:val="00131209"/>
    <w:rsid w:val="00131625"/>
    <w:rsid w:val="00131FC3"/>
    <w:rsid w:val="0013325C"/>
    <w:rsid w:val="00134D71"/>
    <w:rsid w:val="00135272"/>
    <w:rsid w:val="00135BB9"/>
    <w:rsid w:val="001365A6"/>
    <w:rsid w:val="00137797"/>
    <w:rsid w:val="00137A9A"/>
    <w:rsid w:val="00141B1C"/>
    <w:rsid w:val="00141B66"/>
    <w:rsid w:val="00141B81"/>
    <w:rsid w:val="00141BC1"/>
    <w:rsid w:val="00142004"/>
    <w:rsid w:val="00144769"/>
    <w:rsid w:val="001459E0"/>
    <w:rsid w:val="00146215"/>
    <w:rsid w:val="00146D28"/>
    <w:rsid w:val="00147041"/>
    <w:rsid w:val="00151218"/>
    <w:rsid w:val="0015223F"/>
    <w:rsid w:val="001524A3"/>
    <w:rsid w:val="001524D8"/>
    <w:rsid w:val="00152D77"/>
    <w:rsid w:val="001534D7"/>
    <w:rsid w:val="0015419C"/>
    <w:rsid w:val="00154A7E"/>
    <w:rsid w:val="0015567A"/>
    <w:rsid w:val="00155A7F"/>
    <w:rsid w:val="00155BDD"/>
    <w:rsid w:val="0015641E"/>
    <w:rsid w:val="001569F7"/>
    <w:rsid w:val="00156EA3"/>
    <w:rsid w:val="00157905"/>
    <w:rsid w:val="00157A9D"/>
    <w:rsid w:val="00160031"/>
    <w:rsid w:val="001614A6"/>
    <w:rsid w:val="00161934"/>
    <w:rsid w:val="00162B51"/>
    <w:rsid w:val="001636FF"/>
    <w:rsid w:val="00163ED8"/>
    <w:rsid w:val="00164244"/>
    <w:rsid w:val="00164848"/>
    <w:rsid w:val="00165750"/>
    <w:rsid w:val="001662A2"/>
    <w:rsid w:val="00166323"/>
    <w:rsid w:val="001667EB"/>
    <w:rsid w:val="00166CF8"/>
    <w:rsid w:val="00166EC3"/>
    <w:rsid w:val="00167DFE"/>
    <w:rsid w:val="0017243E"/>
    <w:rsid w:val="00173E1F"/>
    <w:rsid w:val="00174014"/>
    <w:rsid w:val="00174CD7"/>
    <w:rsid w:val="00177575"/>
    <w:rsid w:val="00180524"/>
    <w:rsid w:val="001811E3"/>
    <w:rsid w:val="0018220C"/>
    <w:rsid w:val="00182B2A"/>
    <w:rsid w:val="00182D91"/>
    <w:rsid w:val="0018335A"/>
    <w:rsid w:val="001837ED"/>
    <w:rsid w:val="00183CC3"/>
    <w:rsid w:val="00187368"/>
    <w:rsid w:val="0019066E"/>
    <w:rsid w:val="001919D0"/>
    <w:rsid w:val="00191A31"/>
    <w:rsid w:val="00191D63"/>
    <w:rsid w:val="00191DEA"/>
    <w:rsid w:val="0019331C"/>
    <w:rsid w:val="0019531C"/>
    <w:rsid w:val="001964CD"/>
    <w:rsid w:val="001967A7"/>
    <w:rsid w:val="00197509"/>
    <w:rsid w:val="00197877"/>
    <w:rsid w:val="001A044B"/>
    <w:rsid w:val="001A2EE9"/>
    <w:rsid w:val="001A3D75"/>
    <w:rsid w:val="001A519B"/>
    <w:rsid w:val="001A57C1"/>
    <w:rsid w:val="001A58BB"/>
    <w:rsid w:val="001A7F6B"/>
    <w:rsid w:val="001B0B9B"/>
    <w:rsid w:val="001B1123"/>
    <w:rsid w:val="001B1BBD"/>
    <w:rsid w:val="001B1D70"/>
    <w:rsid w:val="001B28F1"/>
    <w:rsid w:val="001B3B70"/>
    <w:rsid w:val="001B466D"/>
    <w:rsid w:val="001B5A5E"/>
    <w:rsid w:val="001B642A"/>
    <w:rsid w:val="001B7244"/>
    <w:rsid w:val="001B7E6B"/>
    <w:rsid w:val="001C083A"/>
    <w:rsid w:val="001C3D20"/>
    <w:rsid w:val="001C3FB2"/>
    <w:rsid w:val="001C4D8B"/>
    <w:rsid w:val="001C5593"/>
    <w:rsid w:val="001C5CD0"/>
    <w:rsid w:val="001C5D1F"/>
    <w:rsid w:val="001C6688"/>
    <w:rsid w:val="001D0569"/>
    <w:rsid w:val="001D071A"/>
    <w:rsid w:val="001D097E"/>
    <w:rsid w:val="001D176D"/>
    <w:rsid w:val="001D1A70"/>
    <w:rsid w:val="001D2383"/>
    <w:rsid w:val="001D2D43"/>
    <w:rsid w:val="001D53A0"/>
    <w:rsid w:val="001D588C"/>
    <w:rsid w:val="001D5D55"/>
    <w:rsid w:val="001D600E"/>
    <w:rsid w:val="001D63BC"/>
    <w:rsid w:val="001E37BA"/>
    <w:rsid w:val="001E3899"/>
    <w:rsid w:val="001E444F"/>
    <w:rsid w:val="001E660D"/>
    <w:rsid w:val="001E6A11"/>
    <w:rsid w:val="001E793C"/>
    <w:rsid w:val="001E798D"/>
    <w:rsid w:val="001E7B84"/>
    <w:rsid w:val="001F007E"/>
    <w:rsid w:val="001F0399"/>
    <w:rsid w:val="001F06F2"/>
    <w:rsid w:val="001F09E2"/>
    <w:rsid w:val="001F0AF7"/>
    <w:rsid w:val="001F16B7"/>
    <w:rsid w:val="001F2205"/>
    <w:rsid w:val="001F51AC"/>
    <w:rsid w:val="001F704A"/>
    <w:rsid w:val="00201050"/>
    <w:rsid w:val="0020149B"/>
    <w:rsid w:val="002033BF"/>
    <w:rsid w:val="002041C0"/>
    <w:rsid w:val="002043B6"/>
    <w:rsid w:val="0020528E"/>
    <w:rsid w:val="00206BA6"/>
    <w:rsid w:val="00206BB5"/>
    <w:rsid w:val="00207485"/>
    <w:rsid w:val="00207D51"/>
    <w:rsid w:val="00210326"/>
    <w:rsid w:val="0021063C"/>
    <w:rsid w:val="00210E78"/>
    <w:rsid w:val="00212B68"/>
    <w:rsid w:val="00213743"/>
    <w:rsid w:val="00213805"/>
    <w:rsid w:val="0021406A"/>
    <w:rsid w:val="0021410D"/>
    <w:rsid w:val="00214606"/>
    <w:rsid w:val="002153C2"/>
    <w:rsid w:val="00215FE3"/>
    <w:rsid w:val="002172BA"/>
    <w:rsid w:val="002215E2"/>
    <w:rsid w:val="00222821"/>
    <w:rsid w:val="002244F6"/>
    <w:rsid w:val="00225A71"/>
    <w:rsid w:val="00225BC0"/>
    <w:rsid w:val="00227474"/>
    <w:rsid w:val="00227D41"/>
    <w:rsid w:val="0023054A"/>
    <w:rsid w:val="00231441"/>
    <w:rsid w:val="00232EC5"/>
    <w:rsid w:val="002331D2"/>
    <w:rsid w:val="00235A95"/>
    <w:rsid w:val="002371DD"/>
    <w:rsid w:val="00237C1C"/>
    <w:rsid w:val="00240439"/>
    <w:rsid w:val="002406C0"/>
    <w:rsid w:val="002416B4"/>
    <w:rsid w:val="00241986"/>
    <w:rsid w:val="0024314C"/>
    <w:rsid w:val="002434D1"/>
    <w:rsid w:val="002439D1"/>
    <w:rsid w:val="00243BBD"/>
    <w:rsid w:val="00244A4E"/>
    <w:rsid w:val="0024686E"/>
    <w:rsid w:val="002476BA"/>
    <w:rsid w:val="002476F4"/>
    <w:rsid w:val="00250680"/>
    <w:rsid w:val="002514A4"/>
    <w:rsid w:val="002514F8"/>
    <w:rsid w:val="002515B0"/>
    <w:rsid w:val="00254481"/>
    <w:rsid w:val="002554C9"/>
    <w:rsid w:val="002577B0"/>
    <w:rsid w:val="00257B67"/>
    <w:rsid w:val="002601FA"/>
    <w:rsid w:val="00260B79"/>
    <w:rsid w:val="002610E6"/>
    <w:rsid w:val="00261B3E"/>
    <w:rsid w:val="002624F4"/>
    <w:rsid w:val="00263454"/>
    <w:rsid w:val="00263BC8"/>
    <w:rsid w:val="0026510B"/>
    <w:rsid w:val="002655A1"/>
    <w:rsid w:val="0026644E"/>
    <w:rsid w:val="00266621"/>
    <w:rsid w:val="002707CE"/>
    <w:rsid w:val="00270D0B"/>
    <w:rsid w:val="002715F0"/>
    <w:rsid w:val="0027203C"/>
    <w:rsid w:val="00272BC9"/>
    <w:rsid w:val="00272FCE"/>
    <w:rsid w:val="00273248"/>
    <w:rsid w:val="00273543"/>
    <w:rsid w:val="002736CD"/>
    <w:rsid w:val="00273B15"/>
    <w:rsid w:val="00273E09"/>
    <w:rsid w:val="00274702"/>
    <w:rsid w:val="00274B12"/>
    <w:rsid w:val="00274C22"/>
    <w:rsid w:val="002767FB"/>
    <w:rsid w:val="00276C02"/>
    <w:rsid w:val="00276D6F"/>
    <w:rsid w:val="0027773E"/>
    <w:rsid w:val="00277971"/>
    <w:rsid w:val="00281631"/>
    <w:rsid w:val="00281BC7"/>
    <w:rsid w:val="00281CEC"/>
    <w:rsid w:val="00282C10"/>
    <w:rsid w:val="002842C7"/>
    <w:rsid w:val="00284B9D"/>
    <w:rsid w:val="00285080"/>
    <w:rsid w:val="002854A4"/>
    <w:rsid w:val="00285B6B"/>
    <w:rsid w:val="00286424"/>
    <w:rsid w:val="002869ED"/>
    <w:rsid w:val="00286D39"/>
    <w:rsid w:val="00287BA2"/>
    <w:rsid w:val="0029046B"/>
    <w:rsid w:val="00290E5F"/>
    <w:rsid w:val="002917D7"/>
    <w:rsid w:val="0029186D"/>
    <w:rsid w:val="0029205B"/>
    <w:rsid w:val="002927BF"/>
    <w:rsid w:val="00293527"/>
    <w:rsid w:val="002941CF"/>
    <w:rsid w:val="00294FF8"/>
    <w:rsid w:val="00295BD5"/>
    <w:rsid w:val="0029652F"/>
    <w:rsid w:val="00296EDF"/>
    <w:rsid w:val="002A0FB1"/>
    <w:rsid w:val="002A28BC"/>
    <w:rsid w:val="002A2CD8"/>
    <w:rsid w:val="002A3261"/>
    <w:rsid w:val="002A3585"/>
    <w:rsid w:val="002A494F"/>
    <w:rsid w:val="002A58E5"/>
    <w:rsid w:val="002A6A1E"/>
    <w:rsid w:val="002A7843"/>
    <w:rsid w:val="002B0C31"/>
    <w:rsid w:val="002B0F9D"/>
    <w:rsid w:val="002B12E3"/>
    <w:rsid w:val="002B1422"/>
    <w:rsid w:val="002B1443"/>
    <w:rsid w:val="002B18FC"/>
    <w:rsid w:val="002B1CFC"/>
    <w:rsid w:val="002B2952"/>
    <w:rsid w:val="002B3122"/>
    <w:rsid w:val="002B4B23"/>
    <w:rsid w:val="002B53B5"/>
    <w:rsid w:val="002B58AD"/>
    <w:rsid w:val="002B60D6"/>
    <w:rsid w:val="002B6D9A"/>
    <w:rsid w:val="002B7190"/>
    <w:rsid w:val="002B7F18"/>
    <w:rsid w:val="002C04E2"/>
    <w:rsid w:val="002C08D6"/>
    <w:rsid w:val="002C0F36"/>
    <w:rsid w:val="002C147C"/>
    <w:rsid w:val="002C2BE0"/>
    <w:rsid w:val="002C34EE"/>
    <w:rsid w:val="002C3943"/>
    <w:rsid w:val="002C459F"/>
    <w:rsid w:val="002C4FBE"/>
    <w:rsid w:val="002C650A"/>
    <w:rsid w:val="002C6F38"/>
    <w:rsid w:val="002C7826"/>
    <w:rsid w:val="002D3E8C"/>
    <w:rsid w:val="002D3E8E"/>
    <w:rsid w:val="002D440E"/>
    <w:rsid w:val="002D5010"/>
    <w:rsid w:val="002D66C1"/>
    <w:rsid w:val="002D7340"/>
    <w:rsid w:val="002E14A6"/>
    <w:rsid w:val="002E211B"/>
    <w:rsid w:val="002E2C04"/>
    <w:rsid w:val="002E3793"/>
    <w:rsid w:val="002E4848"/>
    <w:rsid w:val="002E7832"/>
    <w:rsid w:val="002F0AA6"/>
    <w:rsid w:val="002F115A"/>
    <w:rsid w:val="002F45B0"/>
    <w:rsid w:val="002F5E59"/>
    <w:rsid w:val="002F714C"/>
    <w:rsid w:val="002F7777"/>
    <w:rsid w:val="002F79C4"/>
    <w:rsid w:val="00300024"/>
    <w:rsid w:val="00300963"/>
    <w:rsid w:val="00301A1F"/>
    <w:rsid w:val="00301E98"/>
    <w:rsid w:val="00301FEF"/>
    <w:rsid w:val="00302FA9"/>
    <w:rsid w:val="00306794"/>
    <w:rsid w:val="003070B7"/>
    <w:rsid w:val="0031039A"/>
    <w:rsid w:val="00310972"/>
    <w:rsid w:val="00310B7E"/>
    <w:rsid w:val="003117BC"/>
    <w:rsid w:val="00312B81"/>
    <w:rsid w:val="00313395"/>
    <w:rsid w:val="00313586"/>
    <w:rsid w:val="00314516"/>
    <w:rsid w:val="00315E9C"/>
    <w:rsid w:val="00316E28"/>
    <w:rsid w:val="00320193"/>
    <w:rsid w:val="0032036F"/>
    <w:rsid w:val="00320819"/>
    <w:rsid w:val="00321CC1"/>
    <w:rsid w:val="0032514B"/>
    <w:rsid w:val="00325884"/>
    <w:rsid w:val="00327FF7"/>
    <w:rsid w:val="00330EE7"/>
    <w:rsid w:val="003313D5"/>
    <w:rsid w:val="003316B7"/>
    <w:rsid w:val="00332032"/>
    <w:rsid w:val="0033360C"/>
    <w:rsid w:val="00334600"/>
    <w:rsid w:val="00334EE8"/>
    <w:rsid w:val="003374C0"/>
    <w:rsid w:val="00340487"/>
    <w:rsid w:val="003413EB"/>
    <w:rsid w:val="003418B7"/>
    <w:rsid w:val="00341BF0"/>
    <w:rsid w:val="003420B6"/>
    <w:rsid w:val="00343411"/>
    <w:rsid w:val="0034379D"/>
    <w:rsid w:val="00343973"/>
    <w:rsid w:val="00346102"/>
    <w:rsid w:val="0034610A"/>
    <w:rsid w:val="00347049"/>
    <w:rsid w:val="00347207"/>
    <w:rsid w:val="003474D7"/>
    <w:rsid w:val="003477C5"/>
    <w:rsid w:val="00350367"/>
    <w:rsid w:val="00351516"/>
    <w:rsid w:val="00352BAD"/>
    <w:rsid w:val="003539EC"/>
    <w:rsid w:val="00354EE8"/>
    <w:rsid w:val="00354FCC"/>
    <w:rsid w:val="00355AE5"/>
    <w:rsid w:val="00355EF3"/>
    <w:rsid w:val="00356675"/>
    <w:rsid w:val="003568AC"/>
    <w:rsid w:val="00356A91"/>
    <w:rsid w:val="003579F4"/>
    <w:rsid w:val="0036014C"/>
    <w:rsid w:val="003603FC"/>
    <w:rsid w:val="003617C3"/>
    <w:rsid w:val="00361DCF"/>
    <w:rsid w:val="003645AF"/>
    <w:rsid w:val="003646FC"/>
    <w:rsid w:val="0036508A"/>
    <w:rsid w:val="00367602"/>
    <w:rsid w:val="003708FF"/>
    <w:rsid w:val="003709DF"/>
    <w:rsid w:val="00372601"/>
    <w:rsid w:val="0037358C"/>
    <w:rsid w:val="00373BFC"/>
    <w:rsid w:val="003747F6"/>
    <w:rsid w:val="00375FC9"/>
    <w:rsid w:val="00376079"/>
    <w:rsid w:val="00376384"/>
    <w:rsid w:val="003772B3"/>
    <w:rsid w:val="00377556"/>
    <w:rsid w:val="00377DCF"/>
    <w:rsid w:val="00381233"/>
    <w:rsid w:val="0038164C"/>
    <w:rsid w:val="003817DC"/>
    <w:rsid w:val="003817EE"/>
    <w:rsid w:val="00382B6C"/>
    <w:rsid w:val="0038315B"/>
    <w:rsid w:val="00384104"/>
    <w:rsid w:val="00384B79"/>
    <w:rsid w:val="00384C37"/>
    <w:rsid w:val="00384E85"/>
    <w:rsid w:val="003854A3"/>
    <w:rsid w:val="00385E55"/>
    <w:rsid w:val="00385E82"/>
    <w:rsid w:val="00386D42"/>
    <w:rsid w:val="00387A36"/>
    <w:rsid w:val="0039026A"/>
    <w:rsid w:val="003904F0"/>
    <w:rsid w:val="00390E8F"/>
    <w:rsid w:val="00393DD6"/>
    <w:rsid w:val="00393ECA"/>
    <w:rsid w:val="00394113"/>
    <w:rsid w:val="00394271"/>
    <w:rsid w:val="00397B0D"/>
    <w:rsid w:val="003A1798"/>
    <w:rsid w:val="003A189A"/>
    <w:rsid w:val="003A1C02"/>
    <w:rsid w:val="003A1F50"/>
    <w:rsid w:val="003A3F8B"/>
    <w:rsid w:val="003A4051"/>
    <w:rsid w:val="003A433D"/>
    <w:rsid w:val="003A6E50"/>
    <w:rsid w:val="003A798C"/>
    <w:rsid w:val="003A79E4"/>
    <w:rsid w:val="003B0B71"/>
    <w:rsid w:val="003B1B47"/>
    <w:rsid w:val="003B1B7E"/>
    <w:rsid w:val="003B23E6"/>
    <w:rsid w:val="003B2403"/>
    <w:rsid w:val="003B323E"/>
    <w:rsid w:val="003B3560"/>
    <w:rsid w:val="003B38B0"/>
    <w:rsid w:val="003B49B0"/>
    <w:rsid w:val="003B763F"/>
    <w:rsid w:val="003C0308"/>
    <w:rsid w:val="003C0F10"/>
    <w:rsid w:val="003C10B8"/>
    <w:rsid w:val="003C2FA1"/>
    <w:rsid w:val="003C3014"/>
    <w:rsid w:val="003C32B1"/>
    <w:rsid w:val="003C3DA1"/>
    <w:rsid w:val="003C60B4"/>
    <w:rsid w:val="003C7617"/>
    <w:rsid w:val="003C7E01"/>
    <w:rsid w:val="003D07B1"/>
    <w:rsid w:val="003D0887"/>
    <w:rsid w:val="003D0C29"/>
    <w:rsid w:val="003D1ACD"/>
    <w:rsid w:val="003D2816"/>
    <w:rsid w:val="003D55F7"/>
    <w:rsid w:val="003D5FF7"/>
    <w:rsid w:val="003D638A"/>
    <w:rsid w:val="003D6975"/>
    <w:rsid w:val="003D7191"/>
    <w:rsid w:val="003D74AF"/>
    <w:rsid w:val="003D7546"/>
    <w:rsid w:val="003D789B"/>
    <w:rsid w:val="003D7AC0"/>
    <w:rsid w:val="003D7BA0"/>
    <w:rsid w:val="003E1498"/>
    <w:rsid w:val="003E1D9A"/>
    <w:rsid w:val="003E20F5"/>
    <w:rsid w:val="003E2476"/>
    <w:rsid w:val="003E2C74"/>
    <w:rsid w:val="003E3E58"/>
    <w:rsid w:val="003E4D26"/>
    <w:rsid w:val="003E541D"/>
    <w:rsid w:val="003E5BDA"/>
    <w:rsid w:val="003E6D76"/>
    <w:rsid w:val="003E6DB2"/>
    <w:rsid w:val="003E6E61"/>
    <w:rsid w:val="003E7174"/>
    <w:rsid w:val="003E72E6"/>
    <w:rsid w:val="003F0049"/>
    <w:rsid w:val="003F0591"/>
    <w:rsid w:val="003F0C62"/>
    <w:rsid w:val="003F1B0D"/>
    <w:rsid w:val="003F2074"/>
    <w:rsid w:val="003F23C2"/>
    <w:rsid w:val="003F2CD2"/>
    <w:rsid w:val="003F3263"/>
    <w:rsid w:val="003F33DB"/>
    <w:rsid w:val="003F3719"/>
    <w:rsid w:val="003F3AD8"/>
    <w:rsid w:val="003F454C"/>
    <w:rsid w:val="003F48D1"/>
    <w:rsid w:val="003F51E4"/>
    <w:rsid w:val="003F57D0"/>
    <w:rsid w:val="004003DC"/>
    <w:rsid w:val="00400ABC"/>
    <w:rsid w:val="00400E19"/>
    <w:rsid w:val="004018D8"/>
    <w:rsid w:val="00401960"/>
    <w:rsid w:val="004022E6"/>
    <w:rsid w:val="00402E1D"/>
    <w:rsid w:val="00403203"/>
    <w:rsid w:val="004033B2"/>
    <w:rsid w:val="00404BD6"/>
    <w:rsid w:val="00404D3D"/>
    <w:rsid w:val="004076C9"/>
    <w:rsid w:val="004108CA"/>
    <w:rsid w:val="00411ECB"/>
    <w:rsid w:val="0041291D"/>
    <w:rsid w:val="0041386D"/>
    <w:rsid w:val="00413958"/>
    <w:rsid w:val="00413ABE"/>
    <w:rsid w:val="00413FFE"/>
    <w:rsid w:val="00414264"/>
    <w:rsid w:val="00414701"/>
    <w:rsid w:val="00414B18"/>
    <w:rsid w:val="0041644E"/>
    <w:rsid w:val="00416FF2"/>
    <w:rsid w:val="00417EED"/>
    <w:rsid w:val="004201E6"/>
    <w:rsid w:val="00420E6C"/>
    <w:rsid w:val="00421AA7"/>
    <w:rsid w:val="00421E58"/>
    <w:rsid w:val="00424105"/>
    <w:rsid w:val="004241C0"/>
    <w:rsid w:val="00424813"/>
    <w:rsid w:val="00424EB4"/>
    <w:rsid w:val="0042510D"/>
    <w:rsid w:val="00425F42"/>
    <w:rsid w:val="00426EF2"/>
    <w:rsid w:val="00427E7B"/>
    <w:rsid w:val="004304AB"/>
    <w:rsid w:val="00430A9C"/>
    <w:rsid w:val="00432D23"/>
    <w:rsid w:val="00432DD9"/>
    <w:rsid w:val="00432E6D"/>
    <w:rsid w:val="00433FBA"/>
    <w:rsid w:val="0043513C"/>
    <w:rsid w:val="004368A8"/>
    <w:rsid w:val="00436BA7"/>
    <w:rsid w:val="00441B1E"/>
    <w:rsid w:val="00441B24"/>
    <w:rsid w:val="00441DE1"/>
    <w:rsid w:val="0044373A"/>
    <w:rsid w:val="00443ECA"/>
    <w:rsid w:val="00447C32"/>
    <w:rsid w:val="00450873"/>
    <w:rsid w:val="00451588"/>
    <w:rsid w:val="004516DD"/>
    <w:rsid w:val="0045196D"/>
    <w:rsid w:val="00451C46"/>
    <w:rsid w:val="00452D8F"/>
    <w:rsid w:val="00453C52"/>
    <w:rsid w:val="0045550D"/>
    <w:rsid w:val="0045655D"/>
    <w:rsid w:val="00456A64"/>
    <w:rsid w:val="00456C39"/>
    <w:rsid w:val="004577A6"/>
    <w:rsid w:val="00457B61"/>
    <w:rsid w:val="0046205C"/>
    <w:rsid w:val="00462063"/>
    <w:rsid w:val="004625E0"/>
    <w:rsid w:val="00462AA2"/>
    <w:rsid w:val="00462AA7"/>
    <w:rsid w:val="00464230"/>
    <w:rsid w:val="00464D68"/>
    <w:rsid w:val="00465CE8"/>
    <w:rsid w:val="00466503"/>
    <w:rsid w:val="00466A74"/>
    <w:rsid w:val="00467883"/>
    <w:rsid w:val="004712B5"/>
    <w:rsid w:val="00471D36"/>
    <w:rsid w:val="00471EBF"/>
    <w:rsid w:val="00473497"/>
    <w:rsid w:val="00473CEE"/>
    <w:rsid w:val="00473CF0"/>
    <w:rsid w:val="00473DDB"/>
    <w:rsid w:val="00475D19"/>
    <w:rsid w:val="00476641"/>
    <w:rsid w:val="004771DE"/>
    <w:rsid w:val="00480A56"/>
    <w:rsid w:val="004813CF"/>
    <w:rsid w:val="00481A77"/>
    <w:rsid w:val="00481D3E"/>
    <w:rsid w:val="00482D89"/>
    <w:rsid w:val="0048365F"/>
    <w:rsid w:val="00483A54"/>
    <w:rsid w:val="00483F42"/>
    <w:rsid w:val="00484276"/>
    <w:rsid w:val="00484390"/>
    <w:rsid w:val="00485240"/>
    <w:rsid w:val="00485FC3"/>
    <w:rsid w:val="00487F29"/>
    <w:rsid w:val="00490734"/>
    <w:rsid w:val="0049192E"/>
    <w:rsid w:val="00491F28"/>
    <w:rsid w:val="004920F5"/>
    <w:rsid w:val="00492129"/>
    <w:rsid w:val="0049269E"/>
    <w:rsid w:val="004926E1"/>
    <w:rsid w:val="00493956"/>
    <w:rsid w:val="00493A3A"/>
    <w:rsid w:val="00494D37"/>
    <w:rsid w:val="00494F7D"/>
    <w:rsid w:val="004962E9"/>
    <w:rsid w:val="00497CB5"/>
    <w:rsid w:val="004A113B"/>
    <w:rsid w:val="004A118D"/>
    <w:rsid w:val="004A1857"/>
    <w:rsid w:val="004A1B6F"/>
    <w:rsid w:val="004A1D6C"/>
    <w:rsid w:val="004A4231"/>
    <w:rsid w:val="004A4F91"/>
    <w:rsid w:val="004A6515"/>
    <w:rsid w:val="004A6C4B"/>
    <w:rsid w:val="004A6E27"/>
    <w:rsid w:val="004A76C9"/>
    <w:rsid w:val="004A7C16"/>
    <w:rsid w:val="004B0DF6"/>
    <w:rsid w:val="004B211D"/>
    <w:rsid w:val="004B243C"/>
    <w:rsid w:val="004B2CF4"/>
    <w:rsid w:val="004B3359"/>
    <w:rsid w:val="004B444D"/>
    <w:rsid w:val="004B450D"/>
    <w:rsid w:val="004B5019"/>
    <w:rsid w:val="004B564E"/>
    <w:rsid w:val="004B62DA"/>
    <w:rsid w:val="004B66F1"/>
    <w:rsid w:val="004C0245"/>
    <w:rsid w:val="004C148B"/>
    <w:rsid w:val="004C1576"/>
    <w:rsid w:val="004C1DC4"/>
    <w:rsid w:val="004C2A92"/>
    <w:rsid w:val="004C2B8B"/>
    <w:rsid w:val="004C3CBF"/>
    <w:rsid w:val="004C3D68"/>
    <w:rsid w:val="004C4C1D"/>
    <w:rsid w:val="004C505C"/>
    <w:rsid w:val="004C7E72"/>
    <w:rsid w:val="004D17FF"/>
    <w:rsid w:val="004D1A77"/>
    <w:rsid w:val="004D1C97"/>
    <w:rsid w:val="004D1DE3"/>
    <w:rsid w:val="004D29FF"/>
    <w:rsid w:val="004D2F74"/>
    <w:rsid w:val="004D4BE4"/>
    <w:rsid w:val="004D5222"/>
    <w:rsid w:val="004D53C1"/>
    <w:rsid w:val="004E07F1"/>
    <w:rsid w:val="004E0EB5"/>
    <w:rsid w:val="004E19AF"/>
    <w:rsid w:val="004E1FD6"/>
    <w:rsid w:val="004E3E06"/>
    <w:rsid w:val="004E42B0"/>
    <w:rsid w:val="004E4302"/>
    <w:rsid w:val="004E59A5"/>
    <w:rsid w:val="004E59A9"/>
    <w:rsid w:val="004E5A8D"/>
    <w:rsid w:val="004E5F94"/>
    <w:rsid w:val="004E7C8C"/>
    <w:rsid w:val="004F2D1E"/>
    <w:rsid w:val="004F5314"/>
    <w:rsid w:val="004F5FB0"/>
    <w:rsid w:val="004F66F8"/>
    <w:rsid w:val="004F73DD"/>
    <w:rsid w:val="004F75A5"/>
    <w:rsid w:val="004F782A"/>
    <w:rsid w:val="004F7F93"/>
    <w:rsid w:val="00500355"/>
    <w:rsid w:val="00500B47"/>
    <w:rsid w:val="00500F39"/>
    <w:rsid w:val="00501600"/>
    <w:rsid w:val="00502682"/>
    <w:rsid w:val="0050289C"/>
    <w:rsid w:val="00502AEC"/>
    <w:rsid w:val="005041E3"/>
    <w:rsid w:val="00504D9B"/>
    <w:rsid w:val="00505169"/>
    <w:rsid w:val="005051BF"/>
    <w:rsid w:val="0050619A"/>
    <w:rsid w:val="005065F2"/>
    <w:rsid w:val="00506610"/>
    <w:rsid w:val="00506634"/>
    <w:rsid w:val="005066EE"/>
    <w:rsid w:val="00506778"/>
    <w:rsid w:val="005068F6"/>
    <w:rsid w:val="00506FF7"/>
    <w:rsid w:val="00507A1B"/>
    <w:rsid w:val="005107EA"/>
    <w:rsid w:val="00510B60"/>
    <w:rsid w:val="005113CC"/>
    <w:rsid w:val="005141D0"/>
    <w:rsid w:val="005145F9"/>
    <w:rsid w:val="00515271"/>
    <w:rsid w:val="00517B20"/>
    <w:rsid w:val="0052083D"/>
    <w:rsid w:val="00522912"/>
    <w:rsid w:val="00523499"/>
    <w:rsid w:val="0052478C"/>
    <w:rsid w:val="0052564D"/>
    <w:rsid w:val="00525898"/>
    <w:rsid w:val="00525B55"/>
    <w:rsid w:val="00525D28"/>
    <w:rsid w:val="005262B9"/>
    <w:rsid w:val="00526BE3"/>
    <w:rsid w:val="00526CD0"/>
    <w:rsid w:val="00526D96"/>
    <w:rsid w:val="00527987"/>
    <w:rsid w:val="0053007D"/>
    <w:rsid w:val="00530196"/>
    <w:rsid w:val="00531C22"/>
    <w:rsid w:val="00532E1E"/>
    <w:rsid w:val="00534C1B"/>
    <w:rsid w:val="00535C66"/>
    <w:rsid w:val="00536C99"/>
    <w:rsid w:val="00536D56"/>
    <w:rsid w:val="00537156"/>
    <w:rsid w:val="0054002E"/>
    <w:rsid w:val="00540D4C"/>
    <w:rsid w:val="00542559"/>
    <w:rsid w:val="00543943"/>
    <w:rsid w:val="00543A5A"/>
    <w:rsid w:val="00545DF9"/>
    <w:rsid w:val="00550097"/>
    <w:rsid w:val="0055261F"/>
    <w:rsid w:val="00552862"/>
    <w:rsid w:val="00552FD1"/>
    <w:rsid w:val="00554865"/>
    <w:rsid w:val="00554945"/>
    <w:rsid w:val="00555326"/>
    <w:rsid w:val="00556784"/>
    <w:rsid w:val="00557899"/>
    <w:rsid w:val="0055793A"/>
    <w:rsid w:val="005632A8"/>
    <w:rsid w:val="00564FAD"/>
    <w:rsid w:val="00565217"/>
    <w:rsid w:val="00565386"/>
    <w:rsid w:val="005655C8"/>
    <w:rsid w:val="005657A8"/>
    <w:rsid w:val="00565D93"/>
    <w:rsid w:val="00566AAB"/>
    <w:rsid w:val="00567017"/>
    <w:rsid w:val="00567210"/>
    <w:rsid w:val="00567FAF"/>
    <w:rsid w:val="005707CC"/>
    <w:rsid w:val="005718F9"/>
    <w:rsid w:val="00572046"/>
    <w:rsid w:val="0057255B"/>
    <w:rsid w:val="005728A9"/>
    <w:rsid w:val="00572FCE"/>
    <w:rsid w:val="00573523"/>
    <w:rsid w:val="00573BB0"/>
    <w:rsid w:val="005744AE"/>
    <w:rsid w:val="005744FB"/>
    <w:rsid w:val="0057604C"/>
    <w:rsid w:val="00576B08"/>
    <w:rsid w:val="00576D94"/>
    <w:rsid w:val="00576E93"/>
    <w:rsid w:val="005777C9"/>
    <w:rsid w:val="00577DE4"/>
    <w:rsid w:val="005803BD"/>
    <w:rsid w:val="005814EF"/>
    <w:rsid w:val="00581658"/>
    <w:rsid w:val="00581862"/>
    <w:rsid w:val="00581A90"/>
    <w:rsid w:val="00581FCB"/>
    <w:rsid w:val="0058229A"/>
    <w:rsid w:val="005825FB"/>
    <w:rsid w:val="00582E50"/>
    <w:rsid w:val="00583F27"/>
    <w:rsid w:val="005846B1"/>
    <w:rsid w:val="00584F7A"/>
    <w:rsid w:val="00585815"/>
    <w:rsid w:val="00585C70"/>
    <w:rsid w:val="00586DE9"/>
    <w:rsid w:val="00586E71"/>
    <w:rsid w:val="00586F87"/>
    <w:rsid w:val="0058726A"/>
    <w:rsid w:val="00587944"/>
    <w:rsid w:val="0059093E"/>
    <w:rsid w:val="00590D8F"/>
    <w:rsid w:val="00591121"/>
    <w:rsid w:val="00591ABC"/>
    <w:rsid w:val="0059207C"/>
    <w:rsid w:val="00592234"/>
    <w:rsid w:val="00593661"/>
    <w:rsid w:val="00594A6F"/>
    <w:rsid w:val="0059518A"/>
    <w:rsid w:val="00595EC9"/>
    <w:rsid w:val="00596751"/>
    <w:rsid w:val="0059677E"/>
    <w:rsid w:val="005976F5"/>
    <w:rsid w:val="005A33CC"/>
    <w:rsid w:val="005A40EB"/>
    <w:rsid w:val="005A4A53"/>
    <w:rsid w:val="005A599C"/>
    <w:rsid w:val="005A670D"/>
    <w:rsid w:val="005A73AE"/>
    <w:rsid w:val="005A7563"/>
    <w:rsid w:val="005B1C3E"/>
    <w:rsid w:val="005B2A83"/>
    <w:rsid w:val="005B3C83"/>
    <w:rsid w:val="005B4E3C"/>
    <w:rsid w:val="005B56FC"/>
    <w:rsid w:val="005B6474"/>
    <w:rsid w:val="005B6C04"/>
    <w:rsid w:val="005B6EAC"/>
    <w:rsid w:val="005B6FA5"/>
    <w:rsid w:val="005B77AE"/>
    <w:rsid w:val="005C1DB2"/>
    <w:rsid w:val="005C2886"/>
    <w:rsid w:val="005C3012"/>
    <w:rsid w:val="005C340E"/>
    <w:rsid w:val="005C4537"/>
    <w:rsid w:val="005C47AF"/>
    <w:rsid w:val="005C60FE"/>
    <w:rsid w:val="005C6EA9"/>
    <w:rsid w:val="005C7093"/>
    <w:rsid w:val="005C7A46"/>
    <w:rsid w:val="005D003D"/>
    <w:rsid w:val="005D068D"/>
    <w:rsid w:val="005D1463"/>
    <w:rsid w:val="005D336B"/>
    <w:rsid w:val="005D355C"/>
    <w:rsid w:val="005D46BB"/>
    <w:rsid w:val="005D4C9B"/>
    <w:rsid w:val="005D4DDB"/>
    <w:rsid w:val="005D5BA3"/>
    <w:rsid w:val="005E161C"/>
    <w:rsid w:val="005E1635"/>
    <w:rsid w:val="005E1D16"/>
    <w:rsid w:val="005E3A1A"/>
    <w:rsid w:val="005E3EE5"/>
    <w:rsid w:val="005E47B2"/>
    <w:rsid w:val="005E4DC9"/>
    <w:rsid w:val="005E5FB4"/>
    <w:rsid w:val="005E7966"/>
    <w:rsid w:val="005F1F18"/>
    <w:rsid w:val="005F20AD"/>
    <w:rsid w:val="005F39C0"/>
    <w:rsid w:val="005F39CC"/>
    <w:rsid w:val="005F4123"/>
    <w:rsid w:val="005F59C3"/>
    <w:rsid w:val="005F5D75"/>
    <w:rsid w:val="005F6A5D"/>
    <w:rsid w:val="005F6C96"/>
    <w:rsid w:val="005F7692"/>
    <w:rsid w:val="005F76D6"/>
    <w:rsid w:val="005F7C61"/>
    <w:rsid w:val="006005CE"/>
    <w:rsid w:val="00602C33"/>
    <w:rsid w:val="00604445"/>
    <w:rsid w:val="00604FDA"/>
    <w:rsid w:val="006064FA"/>
    <w:rsid w:val="00607941"/>
    <w:rsid w:val="00611EED"/>
    <w:rsid w:val="006130C2"/>
    <w:rsid w:val="00613CB5"/>
    <w:rsid w:val="0061456E"/>
    <w:rsid w:val="00614A80"/>
    <w:rsid w:val="0061577A"/>
    <w:rsid w:val="00615C7B"/>
    <w:rsid w:val="00615C8E"/>
    <w:rsid w:val="0061639A"/>
    <w:rsid w:val="00616D31"/>
    <w:rsid w:val="00617FC8"/>
    <w:rsid w:val="00620F6B"/>
    <w:rsid w:val="00622833"/>
    <w:rsid w:val="00622F37"/>
    <w:rsid w:val="00624937"/>
    <w:rsid w:val="00625A44"/>
    <w:rsid w:val="006268F4"/>
    <w:rsid w:val="006275B0"/>
    <w:rsid w:val="00627DD4"/>
    <w:rsid w:val="006309B7"/>
    <w:rsid w:val="006309E1"/>
    <w:rsid w:val="0063155B"/>
    <w:rsid w:val="006317BB"/>
    <w:rsid w:val="00631DB8"/>
    <w:rsid w:val="00632532"/>
    <w:rsid w:val="00632C5C"/>
    <w:rsid w:val="00633656"/>
    <w:rsid w:val="0063558C"/>
    <w:rsid w:val="006358AA"/>
    <w:rsid w:val="00635D43"/>
    <w:rsid w:val="0063673F"/>
    <w:rsid w:val="00637299"/>
    <w:rsid w:val="00637445"/>
    <w:rsid w:val="00640C01"/>
    <w:rsid w:val="006410CC"/>
    <w:rsid w:val="00641181"/>
    <w:rsid w:val="00642EDC"/>
    <w:rsid w:val="00643054"/>
    <w:rsid w:val="00643C4A"/>
    <w:rsid w:val="00645F01"/>
    <w:rsid w:val="006460E2"/>
    <w:rsid w:val="0064642C"/>
    <w:rsid w:val="00646D70"/>
    <w:rsid w:val="00647DB5"/>
    <w:rsid w:val="006502F2"/>
    <w:rsid w:val="00650C19"/>
    <w:rsid w:val="00650C59"/>
    <w:rsid w:val="00651491"/>
    <w:rsid w:val="006514CF"/>
    <w:rsid w:val="006521B9"/>
    <w:rsid w:val="00652C68"/>
    <w:rsid w:val="00652F85"/>
    <w:rsid w:val="00653891"/>
    <w:rsid w:val="00653D34"/>
    <w:rsid w:val="00654BF8"/>
    <w:rsid w:val="00656063"/>
    <w:rsid w:val="00656EB3"/>
    <w:rsid w:val="00657505"/>
    <w:rsid w:val="00657ACF"/>
    <w:rsid w:val="00660A25"/>
    <w:rsid w:val="00661C54"/>
    <w:rsid w:val="00661C62"/>
    <w:rsid w:val="00662563"/>
    <w:rsid w:val="00662626"/>
    <w:rsid w:val="006632DC"/>
    <w:rsid w:val="00663916"/>
    <w:rsid w:val="00663AED"/>
    <w:rsid w:val="00664A62"/>
    <w:rsid w:val="00664C4A"/>
    <w:rsid w:val="00665A92"/>
    <w:rsid w:val="006668AE"/>
    <w:rsid w:val="00666D5F"/>
    <w:rsid w:val="006671FB"/>
    <w:rsid w:val="00670CF8"/>
    <w:rsid w:val="00671256"/>
    <w:rsid w:val="00671725"/>
    <w:rsid w:val="00671B20"/>
    <w:rsid w:val="00671D85"/>
    <w:rsid w:val="00672150"/>
    <w:rsid w:val="00672534"/>
    <w:rsid w:val="0067361B"/>
    <w:rsid w:val="00674298"/>
    <w:rsid w:val="0067481C"/>
    <w:rsid w:val="00674DE9"/>
    <w:rsid w:val="00675E5B"/>
    <w:rsid w:val="00677255"/>
    <w:rsid w:val="0067733F"/>
    <w:rsid w:val="00677399"/>
    <w:rsid w:val="0068011F"/>
    <w:rsid w:val="006803FB"/>
    <w:rsid w:val="006815B3"/>
    <w:rsid w:val="0068192F"/>
    <w:rsid w:val="00681ECD"/>
    <w:rsid w:val="006838E7"/>
    <w:rsid w:val="00683DD7"/>
    <w:rsid w:val="00684CDF"/>
    <w:rsid w:val="00687017"/>
    <w:rsid w:val="00687713"/>
    <w:rsid w:val="00687801"/>
    <w:rsid w:val="00687A0F"/>
    <w:rsid w:val="00690A19"/>
    <w:rsid w:val="00691F58"/>
    <w:rsid w:val="00692021"/>
    <w:rsid w:val="00692201"/>
    <w:rsid w:val="0069309B"/>
    <w:rsid w:val="00693E14"/>
    <w:rsid w:val="0069466E"/>
    <w:rsid w:val="006947F8"/>
    <w:rsid w:val="006948FA"/>
    <w:rsid w:val="00695486"/>
    <w:rsid w:val="00696646"/>
    <w:rsid w:val="00697425"/>
    <w:rsid w:val="00697811"/>
    <w:rsid w:val="00697D70"/>
    <w:rsid w:val="006A0489"/>
    <w:rsid w:val="006A072F"/>
    <w:rsid w:val="006A0B26"/>
    <w:rsid w:val="006A285D"/>
    <w:rsid w:val="006A44C9"/>
    <w:rsid w:val="006A5771"/>
    <w:rsid w:val="006B0230"/>
    <w:rsid w:val="006B05AF"/>
    <w:rsid w:val="006B1192"/>
    <w:rsid w:val="006B1E98"/>
    <w:rsid w:val="006B209C"/>
    <w:rsid w:val="006B261D"/>
    <w:rsid w:val="006B4619"/>
    <w:rsid w:val="006B466B"/>
    <w:rsid w:val="006B5B1D"/>
    <w:rsid w:val="006B67F6"/>
    <w:rsid w:val="006B6831"/>
    <w:rsid w:val="006B6A80"/>
    <w:rsid w:val="006C3CDA"/>
    <w:rsid w:val="006C43AD"/>
    <w:rsid w:val="006C6595"/>
    <w:rsid w:val="006C65B6"/>
    <w:rsid w:val="006C69D7"/>
    <w:rsid w:val="006C717B"/>
    <w:rsid w:val="006D0010"/>
    <w:rsid w:val="006D02FD"/>
    <w:rsid w:val="006D031E"/>
    <w:rsid w:val="006D0830"/>
    <w:rsid w:val="006D0A21"/>
    <w:rsid w:val="006D0A6C"/>
    <w:rsid w:val="006D1A7F"/>
    <w:rsid w:val="006D3398"/>
    <w:rsid w:val="006D4980"/>
    <w:rsid w:val="006D5D9F"/>
    <w:rsid w:val="006D7580"/>
    <w:rsid w:val="006E0577"/>
    <w:rsid w:val="006E0DFC"/>
    <w:rsid w:val="006E2D6B"/>
    <w:rsid w:val="006E3DF6"/>
    <w:rsid w:val="006E4423"/>
    <w:rsid w:val="006E5257"/>
    <w:rsid w:val="006E59EF"/>
    <w:rsid w:val="006E6523"/>
    <w:rsid w:val="006E6F45"/>
    <w:rsid w:val="006E7738"/>
    <w:rsid w:val="006E7B09"/>
    <w:rsid w:val="006F0AC4"/>
    <w:rsid w:val="006F0C44"/>
    <w:rsid w:val="006F1579"/>
    <w:rsid w:val="006F192C"/>
    <w:rsid w:val="006F230E"/>
    <w:rsid w:val="006F362A"/>
    <w:rsid w:val="006F42CE"/>
    <w:rsid w:val="006F6EF3"/>
    <w:rsid w:val="006F736D"/>
    <w:rsid w:val="006F77A9"/>
    <w:rsid w:val="00701C5B"/>
    <w:rsid w:val="00703115"/>
    <w:rsid w:val="0070434F"/>
    <w:rsid w:val="00704361"/>
    <w:rsid w:val="0070453C"/>
    <w:rsid w:val="00705063"/>
    <w:rsid w:val="00705336"/>
    <w:rsid w:val="0070640E"/>
    <w:rsid w:val="0070695D"/>
    <w:rsid w:val="00706D25"/>
    <w:rsid w:val="0070738C"/>
    <w:rsid w:val="00707D14"/>
    <w:rsid w:val="00710190"/>
    <w:rsid w:val="007108C8"/>
    <w:rsid w:val="00710921"/>
    <w:rsid w:val="00710AEC"/>
    <w:rsid w:val="00711885"/>
    <w:rsid w:val="007118AA"/>
    <w:rsid w:val="0071335A"/>
    <w:rsid w:val="0071361F"/>
    <w:rsid w:val="0071417F"/>
    <w:rsid w:val="00714A4B"/>
    <w:rsid w:val="007201F0"/>
    <w:rsid w:val="00720BAB"/>
    <w:rsid w:val="007227D1"/>
    <w:rsid w:val="007228CB"/>
    <w:rsid w:val="00723DEC"/>
    <w:rsid w:val="007262F2"/>
    <w:rsid w:val="00726720"/>
    <w:rsid w:val="007309DE"/>
    <w:rsid w:val="00731B3F"/>
    <w:rsid w:val="00731DAF"/>
    <w:rsid w:val="00731EDA"/>
    <w:rsid w:val="00734414"/>
    <w:rsid w:val="007345CC"/>
    <w:rsid w:val="007347FD"/>
    <w:rsid w:val="007367C5"/>
    <w:rsid w:val="0073700A"/>
    <w:rsid w:val="0073763E"/>
    <w:rsid w:val="00741B76"/>
    <w:rsid w:val="00742AE2"/>
    <w:rsid w:val="0074331A"/>
    <w:rsid w:val="0074572B"/>
    <w:rsid w:val="00747C79"/>
    <w:rsid w:val="00750F42"/>
    <w:rsid w:val="00752595"/>
    <w:rsid w:val="00753115"/>
    <w:rsid w:val="00753363"/>
    <w:rsid w:val="00754367"/>
    <w:rsid w:val="00755549"/>
    <w:rsid w:val="00755A59"/>
    <w:rsid w:val="0075765F"/>
    <w:rsid w:val="007611CC"/>
    <w:rsid w:val="00761EE9"/>
    <w:rsid w:val="00762411"/>
    <w:rsid w:val="00763B11"/>
    <w:rsid w:val="007640F1"/>
    <w:rsid w:val="007644FE"/>
    <w:rsid w:val="00764F4A"/>
    <w:rsid w:val="00765237"/>
    <w:rsid w:val="00765EE8"/>
    <w:rsid w:val="00766025"/>
    <w:rsid w:val="007661A0"/>
    <w:rsid w:val="00766A19"/>
    <w:rsid w:val="0076792F"/>
    <w:rsid w:val="00770928"/>
    <w:rsid w:val="00770A40"/>
    <w:rsid w:val="00771FA2"/>
    <w:rsid w:val="0077285D"/>
    <w:rsid w:val="00773CE9"/>
    <w:rsid w:val="00775A40"/>
    <w:rsid w:val="0077693C"/>
    <w:rsid w:val="00776C3A"/>
    <w:rsid w:val="00776F13"/>
    <w:rsid w:val="0078243A"/>
    <w:rsid w:val="007827C7"/>
    <w:rsid w:val="00783168"/>
    <w:rsid w:val="00783CE9"/>
    <w:rsid w:val="00783DDA"/>
    <w:rsid w:val="007858A0"/>
    <w:rsid w:val="00785F1D"/>
    <w:rsid w:val="00786F4D"/>
    <w:rsid w:val="00787BB4"/>
    <w:rsid w:val="0079244A"/>
    <w:rsid w:val="00794278"/>
    <w:rsid w:val="007942B7"/>
    <w:rsid w:val="00796673"/>
    <w:rsid w:val="007A021B"/>
    <w:rsid w:val="007A329D"/>
    <w:rsid w:val="007A3B56"/>
    <w:rsid w:val="007A5314"/>
    <w:rsid w:val="007A5BB7"/>
    <w:rsid w:val="007A5D02"/>
    <w:rsid w:val="007A5FD9"/>
    <w:rsid w:val="007A61FD"/>
    <w:rsid w:val="007A6498"/>
    <w:rsid w:val="007A71E5"/>
    <w:rsid w:val="007B0389"/>
    <w:rsid w:val="007B1306"/>
    <w:rsid w:val="007B3277"/>
    <w:rsid w:val="007B3949"/>
    <w:rsid w:val="007B3B86"/>
    <w:rsid w:val="007B3EF1"/>
    <w:rsid w:val="007B5D07"/>
    <w:rsid w:val="007B643A"/>
    <w:rsid w:val="007B7449"/>
    <w:rsid w:val="007B7A3E"/>
    <w:rsid w:val="007B7BFF"/>
    <w:rsid w:val="007C0DDF"/>
    <w:rsid w:val="007C267B"/>
    <w:rsid w:val="007C3D70"/>
    <w:rsid w:val="007C518F"/>
    <w:rsid w:val="007C5273"/>
    <w:rsid w:val="007C7F1C"/>
    <w:rsid w:val="007D061C"/>
    <w:rsid w:val="007D1916"/>
    <w:rsid w:val="007D257A"/>
    <w:rsid w:val="007D2C48"/>
    <w:rsid w:val="007D4EFE"/>
    <w:rsid w:val="007D5672"/>
    <w:rsid w:val="007D615C"/>
    <w:rsid w:val="007D7173"/>
    <w:rsid w:val="007D718E"/>
    <w:rsid w:val="007E04D9"/>
    <w:rsid w:val="007E07AB"/>
    <w:rsid w:val="007E214E"/>
    <w:rsid w:val="007E274A"/>
    <w:rsid w:val="007E303D"/>
    <w:rsid w:val="007E32EE"/>
    <w:rsid w:val="007E33C8"/>
    <w:rsid w:val="007E436E"/>
    <w:rsid w:val="007E4916"/>
    <w:rsid w:val="007E6508"/>
    <w:rsid w:val="007E6C20"/>
    <w:rsid w:val="007E6F8F"/>
    <w:rsid w:val="007E7CD9"/>
    <w:rsid w:val="007F1048"/>
    <w:rsid w:val="007F15E8"/>
    <w:rsid w:val="007F2297"/>
    <w:rsid w:val="007F246F"/>
    <w:rsid w:val="007F3054"/>
    <w:rsid w:val="007F33EE"/>
    <w:rsid w:val="007F354D"/>
    <w:rsid w:val="007F4B2C"/>
    <w:rsid w:val="007F4DE5"/>
    <w:rsid w:val="007F4F64"/>
    <w:rsid w:val="007F51D8"/>
    <w:rsid w:val="007F5B4E"/>
    <w:rsid w:val="008002A6"/>
    <w:rsid w:val="0080171D"/>
    <w:rsid w:val="00801A6B"/>
    <w:rsid w:val="00801B43"/>
    <w:rsid w:val="00802568"/>
    <w:rsid w:val="00802A13"/>
    <w:rsid w:val="00802A7D"/>
    <w:rsid w:val="00802F5E"/>
    <w:rsid w:val="008035D5"/>
    <w:rsid w:val="00803B12"/>
    <w:rsid w:val="00804135"/>
    <w:rsid w:val="00807379"/>
    <w:rsid w:val="00807EE8"/>
    <w:rsid w:val="00810719"/>
    <w:rsid w:val="00810885"/>
    <w:rsid w:val="00811614"/>
    <w:rsid w:val="00812640"/>
    <w:rsid w:val="00812C92"/>
    <w:rsid w:val="00813308"/>
    <w:rsid w:val="00815CF7"/>
    <w:rsid w:val="00816904"/>
    <w:rsid w:val="0082261F"/>
    <w:rsid w:val="0082343C"/>
    <w:rsid w:val="00824023"/>
    <w:rsid w:val="00824999"/>
    <w:rsid w:val="00825571"/>
    <w:rsid w:val="008266C0"/>
    <w:rsid w:val="0083114D"/>
    <w:rsid w:val="00831E7E"/>
    <w:rsid w:val="008325F2"/>
    <w:rsid w:val="00833740"/>
    <w:rsid w:val="008354E9"/>
    <w:rsid w:val="008363F2"/>
    <w:rsid w:val="008367BE"/>
    <w:rsid w:val="00836BFD"/>
    <w:rsid w:val="00840369"/>
    <w:rsid w:val="00840B1B"/>
    <w:rsid w:val="00840D6E"/>
    <w:rsid w:val="00841177"/>
    <w:rsid w:val="00843FD9"/>
    <w:rsid w:val="008451D3"/>
    <w:rsid w:val="0084540A"/>
    <w:rsid w:val="00845CAD"/>
    <w:rsid w:val="00846EA0"/>
    <w:rsid w:val="00847FBA"/>
    <w:rsid w:val="0085048F"/>
    <w:rsid w:val="008509AA"/>
    <w:rsid w:val="0085118F"/>
    <w:rsid w:val="00851CDE"/>
    <w:rsid w:val="00852467"/>
    <w:rsid w:val="00852CD3"/>
    <w:rsid w:val="008531CE"/>
    <w:rsid w:val="00853273"/>
    <w:rsid w:val="00855037"/>
    <w:rsid w:val="0085509F"/>
    <w:rsid w:val="0085519B"/>
    <w:rsid w:val="00855239"/>
    <w:rsid w:val="00856518"/>
    <w:rsid w:val="00860219"/>
    <w:rsid w:val="0086030F"/>
    <w:rsid w:val="00860D18"/>
    <w:rsid w:val="00860FC4"/>
    <w:rsid w:val="0086156F"/>
    <w:rsid w:val="00861B28"/>
    <w:rsid w:val="00861F55"/>
    <w:rsid w:val="00862664"/>
    <w:rsid w:val="00862681"/>
    <w:rsid w:val="008643EA"/>
    <w:rsid w:val="00865DF1"/>
    <w:rsid w:val="00866D24"/>
    <w:rsid w:val="00870238"/>
    <w:rsid w:val="008706CE"/>
    <w:rsid w:val="008719D5"/>
    <w:rsid w:val="00871D78"/>
    <w:rsid w:val="008730FE"/>
    <w:rsid w:val="0087384B"/>
    <w:rsid w:val="00875717"/>
    <w:rsid w:val="00875AFA"/>
    <w:rsid w:val="0087645D"/>
    <w:rsid w:val="00876611"/>
    <w:rsid w:val="008769BA"/>
    <w:rsid w:val="0088022C"/>
    <w:rsid w:val="00881B55"/>
    <w:rsid w:val="0088207E"/>
    <w:rsid w:val="00883992"/>
    <w:rsid w:val="00883DF6"/>
    <w:rsid w:val="00883EB7"/>
    <w:rsid w:val="008840B4"/>
    <w:rsid w:val="00884439"/>
    <w:rsid w:val="0088467F"/>
    <w:rsid w:val="00884B70"/>
    <w:rsid w:val="00885E0D"/>
    <w:rsid w:val="0088613C"/>
    <w:rsid w:val="008861A7"/>
    <w:rsid w:val="00887249"/>
    <w:rsid w:val="008875BE"/>
    <w:rsid w:val="00887B96"/>
    <w:rsid w:val="00891C9E"/>
    <w:rsid w:val="00894AD7"/>
    <w:rsid w:val="00895316"/>
    <w:rsid w:val="008A0ADF"/>
    <w:rsid w:val="008A1A4D"/>
    <w:rsid w:val="008A2B92"/>
    <w:rsid w:val="008A2E8A"/>
    <w:rsid w:val="008A2FB2"/>
    <w:rsid w:val="008A3484"/>
    <w:rsid w:val="008A3835"/>
    <w:rsid w:val="008A4A87"/>
    <w:rsid w:val="008A4B3C"/>
    <w:rsid w:val="008A675D"/>
    <w:rsid w:val="008A6CBA"/>
    <w:rsid w:val="008A75C9"/>
    <w:rsid w:val="008A7B1C"/>
    <w:rsid w:val="008B063F"/>
    <w:rsid w:val="008B0689"/>
    <w:rsid w:val="008B1063"/>
    <w:rsid w:val="008B189C"/>
    <w:rsid w:val="008B1BD5"/>
    <w:rsid w:val="008B21F2"/>
    <w:rsid w:val="008B2D69"/>
    <w:rsid w:val="008B33C5"/>
    <w:rsid w:val="008B3833"/>
    <w:rsid w:val="008B4FC0"/>
    <w:rsid w:val="008B503D"/>
    <w:rsid w:val="008B6859"/>
    <w:rsid w:val="008B75BF"/>
    <w:rsid w:val="008C009B"/>
    <w:rsid w:val="008C0306"/>
    <w:rsid w:val="008C1009"/>
    <w:rsid w:val="008C1531"/>
    <w:rsid w:val="008C29B4"/>
    <w:rsid w:val="008C3201"/>
    <w:rsid w:val="008C3E4E"/>
    <w:rsid w:val="008C5967"/>
    <w:rsid w:val="008C5B3A"/>
    <w:rsid w:val="008C6317"/>
    <w:rsid w:val="008C6509"/>
    <w:rsid w:val="008D0832"/>
    <w:rsid w:val="008D161C"/>
    <w:rsid w:val="008D164D"/>
    <w:rsid w:val="008D1651"/>
    <w:rsid w:val="008D18E6"/>
    <w:rsid w:val="008D230C"/>
    <w:rsid w:val="008D26ED"/>
    <w:rsid w:val="008D2BB7"/>
    <w:rsid w:val="008D3489"/>
    <w:rsid w:val="008D6B2A"/>
    <w:rsid w:val="008D6CB5"/>
    <w:rsid w:val="008D7898"/>
    <w:rsid w:val="008E0B68"/>
    <w:rsid w:val="008E0BC9"/>
    <w:rsid w:val="008E19D2"/>
    <w:rsid w:val="008E2EC8"/>
    <w:rsid w:val="008E31AA"/>
    <w:rsid w:val="008E4959"/>
    <w:rsid w:val="008E5557"/>
    <w:rsid w:val="008E60D2"/>
    <w:rsid w:val="008E7F1B"/>
    <w:rsid w:val="008F0C37"/>
    <w:rsid w:val="008F1E2F"/>
    <w:rsid w:val="008F25E1"/>
    <w:rsid w:val="008F2964"/>
    <w:rsid w:val="008F3B11"/>
    <w:rsid w:val="008F45FF"/>
    <w:rsid w:val="008F5CEF"/>
    <w:rsid w:val="008F652F"/>
    <w:rsid w:val="008F7358"/>
    <w:rsid w:val="009011D2"/>
    <w:rsid w:val="009019AD"/>
    <w:rsid w:val="00902976"/>
    <w:rsid w:val="00902E4D"/>
    <w:rsid w:val="009036FB"/>
    <w:rsid w:val="009038BB"/>
    <w:rsid w:val="00904276"/>
    <w:rsid w:val="009053E5"/>
    <w:rsid w:val="00905815"/>
    <w:rsid w:val="0090644B"/>
    <w:rsid w:val="0090660A"/>
    <w:rsid w:val="00906A84"/>
    <w:rsid w:val="0090789D"/>
    <w:rsid w:val="00907D50"/>
    <w:rsid w:val="00907D84"/>
    <w:rsid w:val="00910330"/>
    <w:rsid w:val="00911937"/>
    <w:rsid w:val="00912A02"/>
    <w:rsid w:val="00912E9F"/>
    <w:rsid w:val="0091560C"/>
    <w:rsid w:val="0091613A"/>
    <w:rsid w:val="0091675C"/>
    <w:rsid w:val="00917200"/>
    <w:rsid w:val="009173EE"/>
    <w:rsid w:val="009204ED"/>
    <w:rsid w:val="00921B19"/>
    <w:rsid w:val="00922DC5"/>
    <w:rsid w:val="009239D8"/>
    <w:rsid w:val="00923D90"/>
    <w:rsid w:val="00926F6D"/>
    <w:rsid w:val="0093013E"/>
    <w:rsid w:val="00930DE3"/>
    <w:rsid w:val="00930EB1"/>
    <w:rsid w:val="009331E8"/>
    <w:rsid w:val="0093441E"/>
    <w:rsid w:val="009362ED"/>
    <w:rsid w:val="00936C43"/>
    <w:rsid w:val="00937272"/>
    <w:rsid w:val="00940828"/>
    <w:rsid w:val="00941D85"/>
    <w:rsid w:val="00941E75"/>
    <w:rsid w:val="009431B3"/>
    <w:rsid w:val="00943288"/>
    <w:rsid w:val="0094334D"/>
    <w:rsid w:val="009434FD"/>
    <w:rsid w:val="0094414B"/>
    <w:rsid w:val="009441D4"/>
    <w:rsid w:val="00945056"/>
    <w:rsid w:val="00946362"/>
    <w:rsid w:val="009468DF"/>
    <w:rsid w:val="009469D0"/>
    <w:rsid w:val="00946A2A"/>
    <w:rsid w:val="00946CE9"/>
    <w:rsid w:val="00947EF9"/>
    <w:rsid w:val="00950F71"/>
    <w:rsid w:val="009512EA"/>
    <w:rsid w:val="00953440"/>
    <w:rsid w:val="00953D63"/>
    <w:rsid w:val="009551D9"/>
    <w:rsid w:val="00956F4A"/>
    <w:rsid w:val="009577EC"/>
    <w:rsid w:val="00957C3C"/>
    <w:rsid w:val="0096146E"/>
    <w:rsid w:val="00961FD9"/>
    <w:rsid w:val="00962158"/>
    <w:rsid w:val="00962704"/>
    <w:rsid w:val="00962D17"/>
    <w:rsid w:val="00962F9A"/>
    <w:rsid w:val="009634C1"/>
    <w:rsid w:val="00963ABE"/>
    <w:rsid w:val="00963EF6"/>
    <w:rsid w:val="009651E3"/>
    <w:rsid w:val="00966535"/>
    <w:rsid w:val="00967A8B"/>
    <w:rsid w:val="00967F55"/>
    <w:rsid w:val="0097069C"/>
    <w:rsid w:val="00970BD3"/>
    <w:rsid w:val="0097186C"/>
    <w:rsid w:val="00972361"/>
    <w:rsid w:val="00972E8B"/>
    <w:rsid w:val="0097329C"/>
    <w:rsid w:val="00973D26"/>
    <w:rsid w:val="00974629"/>
    <w:rsid w:val="00974B37"/>
    <w:rsid w:val="009751F1"/>
    <w:rsid w:val="00975CAD"/>
    <w:rsid w:val="00976C71"/>
    <w:rsid w:val="0097789D"/>
    <w:rsid w:val="0098020E"/>
    <w:rsid w:val="00981947"/>
    <w:rsid w:val="00981F31"/>
    <w:rsid w:val="00982143"/>
    <w:rsid w:val="0098232A"/>
    <w:rsid w:val="00982711"/>
    <w:rsid w:val="0098283B"/>
    <w:rsid w:val="0098461E"/>
    <w:rsid w:val="00984D9A"/>
    <w:rsid w:val="00986A91"/>
    <w:rsid w:val="0098738C"/>
    <w:rsid w:val="009903C5"/>
    <w:rsid w:val="009908C5"/>
    <w:rsid w:val="009908F8"/>
    <w:rsid w:val="00991149"/>
    <w:rsid w:val="00991882"/>
    <w:rsid w:val="009947C8"/>
    <w:rsid w:val="00994CE0"/>
    <w:rsid w:val="00994EC5"/>
    <w:rsid w:val="009950C6"/>
    <w:rsid w:val="009958E7"/>
    <w:rsid w:val="00996FD5"/>
    <w:rsid w:val="00997268"/>
    <w:rsid w:val="0099770F"/>
    <w:rsid w:val="00997822"/>
    <w:rsid w:val="00997F1B"/>
    <w:rsid w:val="009A108A"/>
    <w:rsid w:val="009A11E9"/>
    <w:rsid w:val="009A217E"/>
    <w:rsid w:val="009A311F"/>
    <w:rsid w:val="009A39DB"/>
    <w:rsid w:val="009A3CF4"/>
    <w:rsid w:val="009A435D"/>
    <w:rsid w:val="009A5069"/>
    <w:rsid w:val="009A5D22"/>
    <w:rsid w:val="009A66A4"/>
    <w:rsid w:val="009A6F8E"/>
    <w:rsid w:val="009A789C"/>
    <w:rsid w:val="009B0845"/>
    <w:rsid w:val="009B101D"/>
    <w:rsid w:val="009B23AE"/>
    <w:rsid w:val="009B375B"/>
    <w:rsid w:val="009B3A57"/>
    <w:rsid w:val="009B561D"/>
    <w:rsid w:val="009B5AD5"/>
    <w:rsid w:val="009B5B3E"/>
    <w:rsid w:val="009B5D4C"/>
    <w:rsid w:val="009B64A2"/>
    <w:rsid w:val="009B689A"/>
    <w:rsid w:val="009C17E8"/>
    <w:rsid w:val="009C2D2A"/>
    <w:rsid w:val="009C3195"/>
    <w:rsid w:val="009C35EC"/>
    <w:rsid w:val="009C5439"/>
    <w:rsid w:val="009C62A7"/>
    <w:rsid w:val="009C6BBC"/>
    <w:rsid w:val="009D1599"/>
    <w:rsid w:val="009D2F27"/>
    <w:rsid w:val="009D3F36"/>
    <w:rsid w:val="009D480F"/>
    <w:rsid w:val="009D5A06"/>
    <w:rsid w:val="009D70A8"/>
    <w:rsid w:val="009D76B7"/>
    <w:rsid w:val="009D7C66"/>
    <w:rsid w:val="009E06B9"/>
    <w:rsid w:val="009E0816"/>
    <w:rsid w:val="009E0EB4"/>
    <w:rsid w:val="009E2DE6"/>
    <w:rsid w:val="009E3346"/>
    <w:rsid w:val="009E353D"/>
    <w:rsid w:val="009E37C2"/>
    <w:rsid w:val="009E411D"/>
    <w:rsid w:val="009E4584"/>
    <w:rsid w:val="009E4EC6"/>
    <w:rsid w:val="009E6310"/>
    <w:rsid w:val="009E75D4"/>
    <w:rsid w:val="009E76D7"/>
    <w:rsid w:val="009F0138"/>
    <w:rsid w:val="009F1C0B"/>
    <w:rsid w:val="009F2D94"/>
    <w:rsid w:val="009F30A6"/>
    <w:rsid w:val="009F37F0"/>
    <w:rsid w:val="009F55A9"/>
    <w:rsid w:val="009F5FD1"/>
    <w:rsid w:val="009F71D7"/>
    <w:rsid w:val="009F73EE"/>
    <w:rsid w:val="009F758A"/>
    <w:rsid w:val="009F77D8"/>
    <w:rsid w:val="009F7D74"/>
    <w:rsid w:val="009F7EAD"/>
    <w:rsid w:val="00A0217D"/>
    <w:rsid w:val="00A02FF5"/>
    <w:rsid w:val="00A03239"/>
    <w:rsid w:val="00A0463C"/>
    <w:rsid w:val="00A06604"/>
    <w:rsid w:val="00A066A6"/>
    <w:rsid w:val="00A06CC5"/>
    <w:rsid w:val="00A100CD"/>
    <w:rsid w:val="00A109A3"/>
    <w:rsid w:val="00A11F54"/>
    <w:rsid w:val="00A12153"/>
    <w:rsid w:val="00A14252"/>
    <w:rsid w:val="00A15636"/>
    <w:rsid w:val="00A16930"/>
    <w:rsid w:val="00A16ECB"/>
    <w:rsid w:val="00A17BD3"/>
    <w:rsid w:val="00A20920"/>
    <w:rsid w:val="00A21C34"/>
    <w:rsid w:val="00A2257E"/>
    <w:rsid w:val="00A2320A"/>
    <w:rsid w:val="00A23812"/>
    <w:rsid w:val="00A23ABA"/>
    <w:rsid w:val="00A23C63"/>
    <w:rsid w:val="00A247BF"/>
    <w:rsid w:val="00A26257"/>
    <w:rsid w:val="00A272EA"/>
    <w:rsid w:val="00A30760"/>
    <w:rsid w:val="00A30FEA"/>
    <w:rsid w:val="00A31046"/>
    <w:rsid w:val="00A3159B"/>
    <w:rsid w:val="00A31E89"/>
    <w:rsid w:val="00A32A09"/>
    <w:rsid w:val="00A34484"/>
    <w:rsid w:val="00A35983"/>
    <w:rsid w:val="00A35DE9"/>
    <w:rsid w:val="00A36348"/>
    <w:rsid w:val="00A36541"/>
    <w:rsid w:val="00A36DFF"/>
    <w:rsid w:val="00A40009"/>
    <w:rsid w:val="00A40A6B"/>
    <w:rsid w:val="00A41BD6"/>
    <w:rsid w:val="00A41DA8"/>
    <w:rsid w:val="00A42899"/>
    <w:rsid w:val="00A4343B"/>
    <w:rsid w:val="00A4517C"/>
    <w:rsid w:val="00A4528A"/>
    <w:rsid w:val="00A46076"/>
    <w:rsid w:val="00A46400"/>
    <w:rsid w:val="00A4698C"/>
    <w:rsid w:val="00A46B99"/>
    <w:rsid w:val="00A476DB"/>
    <w:rsid w:val="00A47982"/>
    <w:rsid w:val="00A4798A"/>
    <w:rsid w:val="00A5031E"/>
    <w:rsid w:val="00A53532"/>
    <w:rsid w:val="00A53CA2"/>
    <w:rsid w:val="00A546AA"/>
    <w:rsid w:val="00A54A98"/>
    <w:rsid w:val="00A5543E"/>
    <w:rsid w:val="00A60FEE"/>
    <w:rsid w:val="00A62B89"/>
    <w:rsid w:val="00A64B95"/>
    <w:rsid w:val="00A65870"/>
    <w:rsid w:val="00A66DB2"/>
    <w:rsid w:val="00A70020"/>
    <w:rsid w:val="00A706E3"/>
    <w:rsid w:val="00A72424"/>
    <w:rsid w:val="00A72D46"/>
    <w:rsid w:val="00A73508"/>
    <w:rsid w:val="00A73938"/>
    <w:rsid w:val="00A73AE4"/>
    <w:rsid w:val="00A74D55"/>
    <w:rsid w:val="00A75206"/>
    <w:rsid w:val="00A76C38"/>
    <w:rsid w:val="00A7732F"/>
    <w:rsid w:val="00A776EF"/>
    <w:rsid w:val="00A800F2"/>
    <w:rsid w:val="00A80EC6"/>
    <w:rsid w:val="00A8252F"/>
    <w:rsid w:val="00A8386A"/>
    <w:rsid w:val="00A8565D"/>
    <w:rsid w:val="00A85AD7"/>
    <w:rsid w:val="00A860A8"/>
    <w:rsid w:val="00A8622E"/>
    <w:rsid w:val="00A86BAD"/>
    <w:rsid w:val="00A8718C"/>
    <w:rsid w:val="00A87254"/>
    <w:rsid w:val="00A87807"/>
    <w:rsid w:val="00A9042F"/>
    <w:rsid w:val="00A905CE"/>
    <w:rsid w:val="00A9096A"/>
    <w:rsid w:val="00A90D1D"/>
    <w:rsid w:val="00A90E5B"/>
    <w:rsid w:val="00A928CF"/>
    <w:rsid w:val="00A93D39"/>
    <w:rsid w:val="00A93E86"/>
    <w:rsid w:val="00A944E6"/>
    <w:rsid w:val="00A95375"/>
    <w:rsid w:val="00A957ED"/>
    <w:rsid w:val="00A95A62"/>
    <w:rsid w:val="00A95C0A"/>
    <w:rsid w:val="00A9613E"/>
    <w:rsid w:val="00A97CCF"/>
    <w:rsid w:val="00A97EEB"/>
    <w:rsid w:val="00AA0B2C"/>
    <w:rsid w:val="00AA0B81"/>
    <w:rsid w:val="00AA10BC"/>
    <w:rsid w:val="00AA11C5"/>
    <w:rsid w:val="00AA15A1"/>
    <w:rsid w:val="00AA2B11"/>
    <w:rsid w:val="00AA2EF8"/>
    <w:rsid w:val="00AA3CB3"/>
    <w:rsid w:val="00AA50CB"/>
    <w:rsid w:val="00AA5158"/>
    <w:rsid w:val="00AA5358"/>
    <w:rsid w:val="00AA58EA"/>
    <w:rsid w:val="00AA6839"/>
    <w:rsid w:val="00AA7176"/>
    <w:rsid w:val="00AA7B1B"/>
    <w:rsid w:val="00AB0C76"/>
    <w:rsid w:val="00AB1D87"/>
    <w:rsid w:val="00AB290C"/>
    <w:rsid w:val="00AB3A5C"/>
    <w:rsid w:val="00AB4567"/>
    <w:rsid w:val="00AB4621"/>
    <w:rsid w:val="00AB4EB0"/>
    <w:rsid w:val="00AB5B22"/>
    <w:rsid w:val="00AB5D76"/>
    <w:rsid w:val="00AB6B39"/>
    <w:rsid w:val="00AB6F33"/>
    <w:rsid w:val="00AC058D"/>
    <w:rsid w:val="00AC0590"/>
    <w:rsid w:val="00AC08CC"/>
    <w:rsid w:val="00AC38BD"/>
    <w:rsid w:val="00AC3C6C"/>
    <w:rsid w:val="00AC5A7D"/>
    <w:rsid w:val="00AC5D43"/>
    <w:rsid w:val="00AC682F"/>
    <w:rsid w:val="00AC715B"/>
    <w:rsid w:val="00AC794C"/>
    <w:rsid w:val="00AC7F8B"/>
    <w:rsid w:val="00AD062A"/>
    <w:rsid w:val="00AD1588"/>
    <w:rsid w:val="00AD17D6"/>
    <w:rsid w:val="00AD194B"/>
    <w:rsid w:val="00AD19A0"/>
    <w:rsid w:val="00AD1CF3"/>
    <w:rsid w:val="00AD1E41"/>
    <w:rsid w:val="00AD2589"/>
    <w:rsid w:val="00AD3373"/>
    <w:rsid w:val="00AD3627"/>
    <w:rsid w:val="00AD4CCD"/>
    <w:rsid w:val="00AD53A8"/>
    <w:rsid w:val="00AD6C66"/>
    <w:rsid w:val="00AE0307"/>
    <w:rsid w:val="00AE077A"/>
    <w:rsid w:val="00AE0F57"/>
    <w:rsid w:val="00AE1A19"/>
    <w:rsid w:val="00AE23B5"/>
    <w:rsid w:val="00AE28CD"/>
    <w:rsid w:val="00AE2C58"/>
    <w:rsid w:val="00AE3671"/>
    <w:rsid w:val="00AE3ED3"/>
    <w:rsid w:val="00AE4AFA"/>
    <w:rsid w:val="00AE6725"/>
    <w:rsid w:val="00AE6EA7"/>
    <w:rsid w:val="00AF013D"/>
    <w:rsid w:val="00AF0A20"/>
    <w:rsid w:val="00AF0E2F"/>
    <w:rsid w:val="00AF205E"/>
    <w:rsid w:val="00AF21CA"/>
    <w:rsid w:val="00AF2377"/>
    <w:rsid w:val="00AF2AC9"/>
    <w:rsid w:val="00AF38FD"/>
    <w:rsid w:val="00AF3E6D"/>
    <w:rsid w:val="00AF5836"/>
    <w:rsid w:val="00AF58DC"/>
    <w:rsid w:val="00B006AA"/>
    <w:rsid w:val="00B00EAA"/>
    <w:rsid w:val="00B017FF"/>
    <w:rsid w:val="00B0436E"/>
    <w:rsid w:val="00B04CF7"/>
    <w:rsid w:val="00B04D9C"/>
    <w:rsid w:val="00B06800"/>
    <w:rsid w:val="00B06A88"/>
    <w:rsid w:val="00B101F1"/>
    <w:rsid w:val="00B103B9"/>
    <w:rsid w:val="00B1053B"/>
    <w:rsid w:val="00B11048"/>
    <w:rsid w:val="00B110B1"/>
    <w:rsid w:val="00B115E5"/>
    <w:rsid w:val="00B11A81"/>
    <w:rsid w:val="00B12777"/>
    <w:rsid w:val="00B12BB2"/>
    <w:rsid w:val="00B13D39"/>
    <w:rsid w:val="00B13F90"/>
    <w:rsid w:val="00B14B8B"/>
    <w:rsid w:val="00B1518F"/>
    <w:rsid w:val="00B15219"/>
    <w:rsid w:val="00B1522E"/>
    <w:rsid w:val="00B1527B"/>
    <w:rsid w:val="00B164D2"/>
    <w:rsid w:val="00B16D1E"/>
    <w:rsid w:val="00B1755C"/>
    <w:rsid w:val="00B17715"/>
    <w:rsid w:val="00B17C3A"/>
    <w:rsid w:val="00B17D99"/>
    <w:rsid w:val="00B206FB"/>
    <w:rsid w:val="00B20D25"/>
    <w:rsid w:val="00B21824"/>
    <w:rsid w:val="00B21871"/>
    <w:rsid w:val="00B219E6"/>
    <w:rsid w:val="00B21B79"/>
    <w:rsid w:val="00B2290F"/>
    <w:rsid w:val="00B240BB"/>
    <w:rsid w:val="00B241FB"/>
    <w:rsid w:val="00B2669D"/>
    <w:rsid w:val="00B26C7B"/>
    <w:rsid w:val="00B27269"/>
    <w:rsid w:val="00B31F58"/>
    <w:rsid w:val="00B3222D"/>
    <w:rsid w:val="00B3257C"/>
    <w:rsid w:val="00B3269C"/>
    <w:rsid w:val="00B32855"/>
    <w:rsid w:val="00B32B4C"/>
    <w:rsid w:val="00B33727"/>
    <w:rsid w:val="00B34271"/>
    <w:rsid w:val="00B345CB"/>
    <w:rsid w:val="00B350D0"/>
    <w:rsid w:val="00B35613"/>
    <w:rsid w:val="00B357BE"/>
    <w:rsid w:val="00B37070"/>
    <w:rsid w:val="00B37E71"/>
    <w:rsid w:val="00B409A8"/>
    <w:rsid w:val="00B40B41"/>
    <w:rsid w:val="00B41B5E"/>
    <w:rsid w:val="00B422A2"/>
    <w:rsid w:val="00B42501"/>
    <w:rsid w:val="00B42F92"/>
    <w:rsid w:val="00B469FA"/>
    <w:rsid w:val="00B46BB7"/>
    <w:rsid w:val="00B478EE"/>
    <w:rsid w:val="00B50CD6"/>
    <w:rsid w:val="00B521AC"/>
    <w:rsid w:val="00B5264C"/>
    <w:rsid w:val="00B528B3"/>
    <w:rsid w:val="00B52DC6"/>
    <w:rsid w:val="00B52EB3"/>
    <w:rsid w:val="00B53982"/>
    <w:rsid w:val="00B5428B"/>
    <w:rsid w:val="00B545A5"/>
    <w:rsid w:val="00B54F82"/>
    <w:rsid w:val="00B55A0D"/>
    <w:rsid w:val="00B56EB5"/>
    <w:rsid w:val="00B60B0C"/>
    <w:rsid w:val="00B61207"/>
    <w:rsid w:val="00B62C7E"/>
    <w:rsid w:val="00B6416B"/>
    <w:rsid w:val="00B644A7"/>
    <w:rsid w:val="00B6596C"/>
    <w:rsid w:val="00B65B93"/>
    <w:rsid w:val="00B664B6"/>
    <w:rsid w:val="00B66788"/>
    <w:rsid w:val="00B66D79"/>
    <w:rsid w:val="00B676D2"/>
    <w:rsid w:val="00B67779"/>
    <w:rsid w:val="00B70CFA"/>
    <w:rsid w:val="00B72DAA"/>
    <w:rsid w:val="00B73CE1"/>
    <w:rsid w:val="00B7468C"/>
    <w:rsid w:val="00B75E14"/>
    <w:rsid w:val="00B75FB4"/>
    <w:rsid w:val="00B7654D"/>
    <w:rsid w:val="00B76769"/>
    <w:rsid w:val="00B77505"/>
    <w:rsid w:val="00B77FA3"/>
    <w:rsid w:val="00B803D1"/>
    <w:rsid w:val="00B80741"/>
    <w:rsid w:val="00B80AB6"/>
    <w:rsid w:val="00B80DCF"/>
    <w:rsid w:val="00B81792"/>
    <w:rsid w:val="00B81886"/>
    <w:rsid w:val="00B81985"/>
    <w:rsid w:val="00B81B40"/>
    <w:rsid w:val="00B83EAE"/>
    <w:rsid w:val="00B8424A"/>
    <w:rsid w:val="00B84872"/>
    <w:rsid w:val="00B84E20"/>
    <w:rsid w:val="00B84E56"/>
    <w:rsid w:val="00B8568E"/>
    <w:rsid w:val="00B85AD2"/>
    <w:rsid w:val="00B861B7"/>
    <w:rsid w:val="00B870B3"/>
    <w:rsid w:val="00B87FB2"/>
    <w:rsid w:val="00B90328"/>
    <w:rsid w:val="00B9229C"/>
    <w:rsid w:val="00B92B26"/>
    <w:rsid w:val="00B9317E"/>
    <w:rsid w:val="00B93E1F"/>
    <w:rsid w:val="00B943C1"/>
    <w:rsid w:val="00B95223"/>
    <w:rsid w:val="00B964B5"/>
    <w:rsid w:val="00B96DEE"/>
    <w:rsid w:val="00BA023B"/>
    <w:rsid w:val="00BA1BAE"/>
    <w:rsid w:val="00BA23D0"/>
    <w:rsid w:val="00BA282C"/>
    <w:rsid w:val="00BA2E03"/>
    <w:rsid w:val="00BA3507"/>
    <w:rsid w:val="00BA3770"/>
    <w:rsid w:val="00BA49AD"/>
    <w:rsid w:val="00BA4E60"/>
    <w:rsid w:val="00BA68C9"/>
    <w:rsid w:val="00BA7FCE"/>
    <w:rsid w:val="00BB0347"/>
    <w:rsid w:val="00BB08A3"/>
    <w:rsid w:val="00BB2397"/>
    <w:rsid w:val="00BB23AA"/>
    <w:rsid w:val="00BB25C2"/>
    <w:rsid w:val="00BB301E"/>
    <w:rsid w:val="00BB362B"/>
    <w:rsid w:val="00BB3836"/>
    <w:rsid w:val="00BB3DC4"/>
    <w:rsid w:val="00BB4398"/>
    <w:rsid w:val="00BB56EC"/>
    <w:rsid w:val="00BB5A01"/>
    <w:rsid w:val="00BB651F"/>
    <w:rsid w:val="00BC0143"/>
    <w:rsid w:val="00BC198B"/>
    <w:rsid w:val="00BC22A4"/>
    <w:rsid w:val="00BC23D7"/>
    <w:rsid w:val="00BC2612"/>
    <w:rsid w:val="00BC3808"/>
    <w:rsid w:val="00BC3A2C"/>
    <w:rsid w:val="00BC3DFE"/>
    <w:rsid w:val="00BC488A"/>
    <w:rsid w:val="00BC5243"/>
    <w:rsid w:val="00BC647F"/>
    <w:rsid w:val="00BC6DD1"/>
    <w:rsid w:val="00BC7846"/>
    <w:rsid w:val="00BD03FC"/>
    <w:rsid w:val="00BD0DD3"/>
    <w:rsid w:val="00BD1EB7"/>
    <w:rsid w:val="00BD2497"/>
    <w:rsid w:val="00BD268F"/>
    <w:rsid w:val="00BE0491"/>
    <w:rsid w:val="00BE135E"/>
    <w:rsid w:val="00BE2AE1"/>
    <w:rsid w:val="00BE2BE8"/>
    <w:rsid w:val="00BE3671"/>
    <w:rsid w:val="00BE6E60"/>
    <w:rsid w:val="00BE77F4"/>
    <w:rsid w:val="00BE7CA3"/>
    <w:rsid w:val="00BF100E"/>
    <w:rsid w:val="00BF1AD3"/>
    <w:rsid w:val="00BF3336"/>
    <w:rsid w:val="00BF3CF4"/>
    <w:rsid w:val="00BF4972"/>
    <w:rsid w:val="00BF5067"/>
    <w:rsid w:val="00BF525D"/>
    <w:rsid w:val="00BF5ADB"/>
    <w:rsid w:val="00BF6832"/>
    <w:rsid w:val="00BF6EC8"/>
    <w:rsid w:val="00C000AB"/>
    <w:rsid w:val="00C0022F"/>
    <w:rsid w:val="00C008DB"/>
    <w:rsid w:val="00C013BF"/>
    <w:rsid w:val="00C01A20"/>
    <w:rsid w:val="00C02038"/>
    <w:rsid w:val="00C027F9"/>
    <w:rsid w:val="00C03151"/>
    <w:rsid w:val="00C03155"/>
    <w:rsid w:val="00C0336D"/>
    <w:rsid w:val="00C04D07"/>
    <w:rsid w:val="00C05691"/>
    <w:rsid w:val="00C07212"/>
    <w:rsid w:val="00C10405"/>
    <w:rsid w:val="00C12CE8"/>
    <w:rsid w:val="00C14DB6"/>
    <w:rsid w:val="00C14EC3"/>
    <w:rsid w:val="00C17741"/>
    <w:rsid w:val="00C20377"/>
    <w:rsid w:val="00C20554"/>
    <w:rsid w:val="00C225B6"/>
    <w:rsid w:val="00C22F08"/>
    <w:rsid w:val="00C22FCC"/>
    <w:rsid w:val="00C23179"/>
    <w:rsid w:val="00C23AE1"/>
    <w:rsid w:val="00C24079"/>
    <w:rsid w:val="00C24304"/>
    <w:rsid w:val="00C252A4"/>
    <w:rsid w:val="00C25DA9"/>
    <w:rsid w:val="00C264C9"/>
    <w:rsid w:val="00C270EE"/>
    <w:rsid w:val="00C30043"/>
    <w:rsid w:val="00C301BA"/>
    <w:rsid w:val="00C30DFE"/>
    <w:rsid w:val="00C32999"/>
    <w:rsid w:val="00C32D07"/>
    <w:rsid w:val="00C3355C"/>
    <w:rsid w:val="00C33CD1"/>
    <w:rsid w:val="00C35566"/>
    <w:rsid w:val="00C3652E"/>
    <w:rsid w:val="00C36AB6"/>
    <w:rsid w:val="00C36FDA"/>
    <w:rsid w:val="00C3727E"/>
    <w:rsid w:val="00C37E88"/>
    <w:rsid w:val="00C4003C"/>
    <w:rsid w:val="00C4030E"/>
    <w:rsid w:val="00C4119A"/>
    <w:rsid w:val="00C41416"/>
    <w:rsid w:val="00C41B44"/>
    <w:rsid w:val="00C421A9"/>
    <w:rsid w:val="00C43CEC"/>
    <w:rsid w:val="00C43E83"/>
    <w:rsid w:val="00C445FC"/>
    <w:rsid w:val="00C44799"/>
    <w:rsid w:val="00C44D64"/>
    <w:rsid w:val="00C450FB"/>
    <w:rsid w:val="00C4519E"/>
    <w:rsid w:val="00C45312"/>
    <w:rsid w:val="00C521CB"/>
    <w:rsid w:val="00C52C78"/>
    <w:rsid w:val="00C52F79"/>
    <w:rsid w:val="00C53102"/>
    <w:rsid w:val="00C5336E"/>
    <w:rsid w:val="00C537BB"/>
    <w:rsid w:val="00C5435D"/>
    <w:rsid w:val="00C54822"/>
    <w:rsid w:val="00C54A3C"/>
    <w:rsid w:val="00C55D51"/>
    <w:rsid w:val="00C56572"/>
    <w:rsid w:val="00C5703E"/>
    <w:rsid w:val="00C60032"/>
    <w:rsid w:val="00C604BA"/>
    <w:rsid w:val="00C6132A"/>
    <w:rsid w:val="00C61D63"/>
    <w:rsid w:val="00C61EA8"/>
    <w:rsid w:val="00C646CA"/>
    <w:rsid w:val="00C64C68"/>
    <w:rsid w:val="00C65808"/>
    <w:rsid w:val="00C65DE8"/>
    <w:rsid w:val="00C668C3"/>
    <w:rsid w:val="00C66EC8"/>
    <w:rsid w:val="00C70788"/>
    <w:rsid w:val="00C70B90"/>
    <w:rsid w:val="00C717F0"/>
    <w:rsid w:val="00C728E1"/>
    <w:rsid w:val="00C72CEC"/>
    <w:rsid w:val="00C73D60"/>
    <w:rsid w:val="00C743F7"/>
    <w:rsid w:val="00C74863"/>
    <w:rsid w:val="00C75168"/>
    <w:rsid w:val="00C75811"/>
    <w:rsid w:val="00C75B59"/>
    <w:rsid w:val="00C76242"/>
    <w:rsid w:val="00C76263"/>
    <w:rsid w:val="00C771E7"/>
    <w:rsid w:val="00C774C2"/>
    <w:rsid w:val="00C81C35"/>
    <w:rsid w:val="00C81C59"/>
    <w:rsid w:val="00C835E7"/>
    <w:rsid w:val="00C84AEF"/>
    <w:rsid w:val="00C851C9"/>
    <w:rsid w:val="00C85846"/>
    <w:rsid w:val="00C85BF2"/>
    <w:rsid w:val="00C85F7B"/>
    <w:rsid w:val="00C86412"/>
    <w:rsid w:val="00C87C26"/>
    <w:rsid w:val="00C90D0C"/>
    <w:rsid w:val="00C911B6"/>
    <w:rsid w:val="00C91390"/>
    <w:rsid w:val="00C93F9A"/>
    <w:rsid w:val="00C94022"/>
    <w:rsid w:val="00C940B2"/>
    <w:rsid w:val="00C94A9F"/>
    <w:rsid w:val="00C94CDA"/>
    <w:rsid w:val="00C959D8"/>
    <w:rsid w:val="00C9605E"/>
    <w:rsid w:val="00C96B92"/>
    <w:rsid w:val="00C96F92"/>
    <w:rsid w:val="00C97314"/>
    <w:rsid w:val="00C97979"/>
    <w:rsid w:val="00C97AC2"/>
    <w:rsid w:val="00CA0397"/>
    <w:rsid w:val="00CA0D9E"/>
    <w:rsid w:val="00CA3407"/>
    <w:rsid w:val="00CA4131"/>
    <w:rsid w:val="00CA4237"/>
    <w:rsid w:val="00CA440B"/>
    <w:rsid w:val="00CA4C2F"/>
    <w:rsid w:val="00CA67A7"/>
    <w:rsid w:val="00CB06A1"/>
    <w:rsid w:val="00CB1F1A"/>
    <w:rsid w:val="00CB3C99"/>
    <w:rsid w:val="00CB400F"/>
    <w:rsid w:val="00CB4BBE"/>
    <w:rsid w:val="00CB4C4A"/>
    <w:rsid w:val="00CB6693"/>
    <w:rsid w:val="00CB6BF8"/>
    <w:rsid w:val="00CB716B"/>
    <w:rsid w:val="00CB752E"/>
    <w:rsid w:val="00CC189E"/>
    <w:rsid w:val="00CC19F0"/>
    <w:rsid w:val="00CC27C6"/>
    <w:rsid w:val="00CC3028"/>
    <w:rsid w:val="00CC353C"/>
    <w:rsid w:val="00CC3923"/>
    <w:rsid w:val="00CC45C1"/>
    <w:rsid w:val="00CC49C4"/>
    <w:rsid w:val="00CC4ECF"/>
    <w:rsid w:val="00CC51DB"/>
    <w:rsid w:val="00CC5C78"/>
    <w:rsid w:val="00CD1DE7"/>
    <w:rsid w:val="00CD27BB"/>
    <w:rsid w:val="00CD28CD"/>
    <w:rsid w:val="00CD2917"/>
    <w:rsid w:val="00CD3348"/>
    <w:rsid w:val="00CD38CE"/>
    <w:rsid w:val="00CD3A55"/>
    <w:rsid w:val="00CD3D24"/>
    <w:rsid w:val="00CD3F1E"/>
    <w:rsid w:val="00CD669B"/>
    <w:rsid w:val="00CD68DA"/>
    <w:rsid w:val="00CD6C07"/>
    <w:rsid w:val="00CD7855"/>
    <w:rsid w:val="00CE07AC"/>
    <w:rsid w:val="00CE0A7E"/>
    <w:rsid w:val="00CE17FA"/>
    <w:rsid w:val="00CE1FE4"/>
    <w:rsid w:val="00CE2642"/>
    <w:rsid w:val="00CE2790"/>
    <w:rsid w:val="00CE3B91"/>
    <w:rsid w:val="00CE48A7"/>
    <w:rsid w:val="00CE604D"/>
    <w:rsid w:val="00CE6A64"/>
    <w:rsid w:val="00CE72AA"/>
    <w:rsid w:val="00CE760E"/>
    <w:rsid w:val="00CF2077"/>
    <w:rsid w:val="00CF26D9"/>
    <w:rsid w:val="00CF439C"/>
    <w:rsid w:val="00CF5213"/>
    <w:rsid w:val="00CF6689"/>
    <w:rsid w:val="00CF732F"/>
    <w:rsid w:val="00CF7442"/>
    <w:rsid w:val="00D00AC7"/>
    <w:rsid w:val="00D016DB"/>
    <w:rsid w:val="00D01814"/>
    <w:rsid w:val="00D0492F"/>
    <w:rsid w:val="00D05290"/>
    <w:rsid w:val="00D0543F"/>
    <w:rsid w:val="00D07950"/>
    <w:rsid w:val="00D07D37"/>
    <w:rsid w:val="00D10438"/>
    <w:rsid w:val="00D106C0"/>
    <w:rsid w:val="00D121FC"/>
    <w:rsid w:val="00D13001"/>
    <w:rsid w:val="00D1333D"/>
    <w:rsid w:val="00D1432E"/>
    <w:rsid w:val="00D14754"/>
    <w:rsid w:val="00D162ED"/>
    <w:rsid w:val="00D17912"/>
    <w:rsid w:val="00D17B4C"/>
    <w:rsid w:val="00D20D48"/>
    <w:rsid w:val="00D2124C"/>
    <w:rsid w:val="00D21955"/>
    <w:rsid w:val="00D22772"/>
    <w:rsid w:val="00D22E74"/>
    <w:rsid w:val="00D235CF"/>
    <w:rsid w:val="00D23F63"/>
    <w:rsid w:val="00D24CCA"/>
    <w:rsid w:val="00D25064"/>
    <w:rsid w:val="00D25CF9"/>
    <w:rsid w:val="00D266BD"/>
    <w:rsid w:val="00D302F1"/>
    <w:rsid w:val="00D307BC"/>
    <w:rsid w:val="00D320E8"/>
    <w:rsid w:val="00D32448"/>
    <w:rsid w:val="00D3265A"/>
    <w:rsid w:val="00D33271"/>
    <w:rsid w:val="00D33C9E"/>
    <w:rsid w:val="00D33D3E"/>
    <w:rsid w:val="00D3418E"/>
    <w:rsid w:val="00D34B55"/>
    <w:rsid w:val="00D34B76"/>
    <w:rsid w:val="00D36E11"/>
    <w:rsid w:val="00D36EBF"/>
    <w:rsid w:val="00D41DA5"/>
    <w:rsid w:val="00D421B8"/>
    <w:rsid w:val="00D426CA"/>
    <w:rsid w:val="00D42F0D"/>
    <w:rsid w:val="00D439C9"/>
    <w:rsid w:val="00D448C4"/>
    <w:rsid w:val="00D46281"/>
    <w:rsid w:val="00D462D3"/>
    <w:rsid w:val="00D469A7"/>
    <w:rsid w:val="00D46FA5"/>
    <w:rsid w:val="00D472AE"/>
    <w:rsid w:val="00D50DD2"/>
    <w:rsid w:val="00D517C9"/>
    <w:rsid w:val="00D51F42"/>
    <w:rsid w:val="00D5386E"/>
    <w:rsid w:val="00D53EAF"/>
    <w:rsid w:val="00D540E7"/>
    <w:rsid w:val="00D54641"/>
    <w:rsid w:val="00D55EEA"/>
    <w:rsid w:val="00D56190"/>
    <w:rsid w:val="00D56EC7"/>
    <w:rsid w:val="00D56FE9"/>
    <w:rsid w:val="00D60C49"/>
    <w:rsid w:val="00D6264F"/>
    <w:rsid w:val="00D64458"/>
    <w:rsid w:val="00D64F4A"/>
    <w:rsid w:val="00D6562D"/>
    <w:rsid w:val="00D66411"/>
    <w:rsid w:val="00D676F6"/>
    <w:rsid w:val="00D706FC"/>
    <w:rsid w:val="00D70869"/>
    <w:rsid w:val="00D7185D"/>
    <w:rsid w:val="00D71C2A"/>
    <w:rsid w:val="00D72462"/>
    <w:rsid w:val="00D72ECF"/>
    <w:rsid w:val="00D72F7C"/>
    <w:rsid w:val="00D73264"/>
    <w:rsid w:val="00D733AE"/>
    <w:rsid w:val="00D7492B"/>
    <w:rsid w:val="00D74C42"/>
    <w:rsid w:val="00D74D02"/>
    <w:rsid w:val="00D74D95"/>
    <w:rsid w:val="00D74E17"/>
    <w:rsid w:val="00D75D4E"/>
    <w:rsid w:val="00D75FAA"/>
    <w:rsid w:val="00D76010"/>
    <w:rsid w:val="00D76268"/>
    <w:rsid w:val="00D76D03"/>
    <w:rsid w:val="00D77B0B"/>
    <w:rsid w:val="00D80C48"/>
    <w:rsid w:val="00D811C5"/>
    <w:rsid w:val="00D8160F"/>
    <w:rsid w:val="00D83857"/>
    <w:rsid w:val="00D84F87"/>
    <w:rsid w:val="00D90A4B"/>
    <w:rsid w:val="00D90AA3"/>
    <w:rsid w:val="00D9119B"/>
    <w:rsid w:val="00D946D2"/>
    <w:rsid w:val="00D94DD0"/>
    <w:rsid w:val="00D95974"/>
    <w:rsid w:val="00D95B66"/>
    <w:rsid w:val="00D969A4"/>
    <w:rsid w:val="00DA08D2"/>
    <w:rsid w:val="00DA3A62"/>
    <w:rsid w:val="00DA4543"/>
    <w:rsid w:val="00DA4F46"/>
    <w:rsid w:val="00DA5211"/>
    <w:rsid w:val="00DA5416"/>
    <w:rsid w:val="00DA555D"/>
    <w:rsid w:val="00DA6862"/>
    <w:rsid w:val="00DA6CDA"/>
    <w:rsid w:val="00DA7AF0"/>
    <w:rsid w:val="00DB0374"/>
    <w:rsid w:val="00DB1375"/>
    <w:rsid w:val="00DB1E60"/>
    <w:rsid w:val="00DB2C89"/>
    <w:rsid w:val="00DB33BC"/>
    <w:rsid w:val="00DB547A"/>
    <w:rsid w:val="00DB5933"/>
    <w:rsid w:val="00DB5A74"/>
    <w:rsid w:val="00DB60D3"/>
    <w:rsid w:val="00DB61BF"/>
    <w:rsid w:val="00DB6427"/>
    <w:rsid w:val="00DB6A5C"/>
    <w:rsid w:val="00DB7047"/>
    <w:rsid w:val="00DC1241"/>
    <w:rsid w:val="00DC1B3A"/>
    <w:rsid w:val="00DC1CBF"/>
    <w:rsid w:val="00DC417D"/>
    <w:rsid w:val="00DC5667"/>
    <w:rsid w:val="00DC5C36"/>
    <w:rsid w:val="00DC6869"/>
    <w:rsid w:val="00DC762F"/>
    <w:rsid w:val="00DD103A"/>
    <w:rsid w:val="00DD2B42"/>
    <w:rsid w:val="00DD4209"/>
    <w:rsid w:val="00DD436C"/>
    <w:rsid w:val="00DD448C"/>
    <w:rsid w:val="00DD4B10"/>
    <w:rsid w:val="00DD5225"/>
    <w:rsid w:val="00DD5797"/>
    <w:rsid w:val="00DD5C33"/>
    <w:rsid w:val="00DD68BE"/>
    <w:rsid w:val="00DD694D"/>
    <w:rsid w:val="00DD71E3"/>
    <w:rsid w:val="00DD7D9B"/>
    <w:rsid w:val="00DE12C3"/>
    <w:rsid w:val="00DE193D"/>
    <w:rsid w:val="00DE1F50"/>
    <w:rsid w:val="00DE2368"/>
    <w:rsid w:val="00DE29D0"/>
    <w:rsid w:val="00DE3206"/>
    <w:rsid w:val="00DE3533"/>
    <w:rsid w:val="00DE3718"/>
    <w:rsid w:val="00DE46A1"/>
    <w:rsid w:val="00DE4900"/>
    <w:rsid w:val="00DE4B0A"/>
    <w:rsid w:val="00DE5182"/>
    <w:rsid w:val="00DE5FC2"/>
    <w:rsid w:val="00DE68B0"/>
    <w:rsid w:val="00DE7CAB"/>
    <w:rsid w:val="00DF0182"/>
    <w:rsid w:val="00DF12EB"/>
    <w:rsid w:val="00DF1322"/>
    <w:rsid w:val="00DF2A5F"/>
    <w:rsid w:val="00DF2EC8"/>
    <w:rsid w:val="00DF331A"/>
    <w:rsid w:val="00DF4E58"/>
    <w:rsid w:val="00DF5538"/>
    <w:rsid w:val="00DF67DE"/>
    <w:rsid w:val="00DF6905"/>
    <w:rsid w:val="00DF691C"/>
    <w:rsid w:val="00DF6D7A"/>
    <w:rsid w:val="00DF6DF8"/>
    <w:rsid w:val="00DF7B5A"/>
    <w:rsid w:val="00E00939"/>
    <w:rsid w:val="00E0170D"/>
    <w:rsid w:val="00E01C7B"/>
    <w:rsid w:val="00E036C2"/>
    <w:rsid w:val="00E05889"/>
    <w:rsid w:val="00E07D3C"/>
    <w:rsid w:val="00E07DB2"/>
    <w:rsid w:val="00E07EAD"/>
    <w:rsid w:val="00E10421"/>
    <w:rsid w:val="00E131FB"/>
    <w:rsid w:val="00E13AA8"/>
    <w:rsid w:val="00E154D5"/>
    <w:rsid w:val="00E15B4F"/>
    <w:rsid w:val="00E15F1F"/>
    <w:rsid w:val="00E17530"/>
    <w:rsid w:val="00E17B88"/>
    <w:rsid w:val="00E17C50"/>
    <w:rsid w:val="00E20F42"/>
    <w:rsid w:val="00E2154B"/>
    <w:rsid w:val="00E23B63"/>
    <w:rsid w:val="00E23E68"/>
    <w:rsid w:val="00E24FF4"/>
    <w:rsid w:val="00E265D7"/>
    <w:rsid w:val="00E27851"/>
    <w:rsid w:val="00E30818"/>
    <w:rsid w:val="00E30C12"/>
    <w:rsid w:val="00E30DE3"/>
    <w:rsid w:val="00E31691"/>
    <w:rsid w:val="00E3179B"/>
    <w:rsid w:val="00E31F63"/>
    <w:rsid w:val="00E3400E"/>
    <w:rsid w:val="00E3557A"/>
    <w:rsid w:val="00E35862"/>
    <w:rsid w:val="00E35C43"/>
    <w:rsid w:val="00E35DA0"/>
    <w:rsid w:val="00E366DF"/>
    <w:rsid w:val="00E3791A"/>
    <w:rsid w:val="00E37DFA"/>
    <w:rsid w:val="00E4081A"/>
    <w:rsid w:val="00E43731"/>
    <w:rsid w:val="00E442B0"/>
    <w:rsid w:val="00E451CF"/>
    <w:rsid w:val="00E45BD2"/>
    <w:rsid w:val="00E4710E"/>
    <w:rsid w:val="00E475E7"/>
    <w:rsid w:val="00E47726"/>
    <w:rsid w:val="00E47D60"/>
    <w:rsid w:val="00E502C8"/>
    <w:rsid w:val="00E50CCB"/>
    <w:rsid w:val="00E5143C"/>
    <w:rsid w:val="00E519FF"/>
    <w:rsid w:val="00E51CE3"/>
    <w:rsid w:val="00E52475"/>
    <w:rsid w:val="00E52F93"/>
    <w:rsid w:val="00E53435"/>
    <w:rsid w:val="00E547DC"/>
    <w:rsid w:val="00E55BC9"/>
    <w:rsid w:val="00E608C2"/>
    <w:rsid w:val="00E609E9"/>
    <w:rsid w:val="00E6165E"/>
    <w:rsid w:val="00E61759"/>
    <w:rsid w:val="00E61A2B"/>
    <w:rsid w:val="00E622C8"/>
    <w:rsid w:val="00E6348B"/>
    <w:rsid w:val="00E63685"/>
    <w:rsid w:val="00E6390D"/>
    <w:rsid w:val="00E64186"/>
    <w:rsid w:val="00E642CB"/>
    <w:rsid w:val="00E64A03"/>
    <w:rsid w:val="00E64F1F"/>
    <w:rsid w:val="00E658DD"/>
    <w:rsid w:val="00E65D48"/>
    <w:rsid w:val="00E66D99"/>
    <w:rsid w:val="00E66DA6"/>
    <w:rsid w:val="00E67871"/>
    <w:rsid w:val="00E67E08"/>
    <w:rsid w:val="00E67E3E"/>
    <w:rsid w:val="00E67F72"/>
    <w:rsid w:val="00E72D3F"/>
    <w:rsid w:val="00E737A5"/>
    <w:rsid w:val="00E75067"/>
    <w:rsid w:val="00E7650A"/>
    <w:rsid w:val="00E77D51"/>
    <w:rsid w:val="00E8085C"/>
    <w:rsid w:val="00E80A94"/>
    <w:rsid w:val="00E80C10"/>
    <w:rsid w:val="00E81341"/>
    <w:rsid w:val="00E82371"/>
    <w:rsid w:val="00E8238A"/>
    <w:rsid w:val="00E823AE"/>
    <w:rsid w:val="00E828B2"/>
    <w:rsid w:val="00E82D04"/>
    <w:rsid w:val="00E82FBE"/>
    <w:rsid w:val="00E8311A"/>
    <w:rsid w:val="00E84617"/>
    <w:rsid w:val="00E84E87"/>
    <w:rsid w:val="00E8657E"/>
    <w:rsid w:val="00E87565"/>
    <w:rsid w:val="00E90E1E"/>
    <w:rsid w:val="00E91098"/>
    <w:rsid w:val="00E9136B"/>
    <w:rsid w:val="00E92C2D"/>
    <w:rsid w:val="00E93E03"/>
    <w:rsid w:val="00E944D7"/>
    <w:rsid w:val="00E948F3"/>
    <w:rsid w:val="00E952E8"/>
    <w:rsid w:val="00E95C3B"/>
    <w:rsid w:val="00E960B5"/>
    <w:rsid w:val="00E97398"/>
    <w:rsid w:val="00E97A53"/>
    <w:rsid w:val="00EA0D0A"/>
    <w:rsid w:val="00EA271F"/>
    <w:rsid w:val="00EA2B6F"/>
    <w:rsid w:val="00EA2FFD"/>
    <w:rsid w:val="00EA371D"/>
    <w:rsid w:val="00EA3CC9"/>
    <w:rsid w:val="00EA473A"/>
    <w:rsid w:val="00EA47CC"/>
    <w:rsid w:val="00EA52D2"/>
    <w:rsid w:val="00EA644E"/>
    <w:rsid w:val="00EA66C8"/>
    <w:rsid w:val="00EA6B42"/>
    <w:rsid w:val="00EA7357"/>
    <w:rsid w:val="00EB0110"/>
    <w:rsid w:val="00EB0CBE"/>
    <w:rsid w:val="00EB1109"/>
    <w:rsid w:val="00EB139A"/>
    <w:rsid w:val="00EB13DE"/>
    <w:rsid w:val="00EB2017"/>
    <w:rsid w:val="00EB270F"/>
    <w:rsid w:val="00EB29B2"/>
    <w:rsid w:val="00EB2F23"/>
    <w:rsid w:val="00EB35AD"/>
    <w:rsid w:val="00EB60DF"/>
    <w:rsid w:val="00EC01F4"/>
    <w:rsid w:val="00EC0F67"/>
    <w:rsid w:val="00EC4468"/>
    <w:rsid w:val="00EC475B"/>
    <w:rsid w:val="00EC4868"/>
    <w:rsid w:val="00EC4A57"/>
    <w:rsid w:val="00EC69D6"/>
    <w:rsid w:val="00ED02AE"/>
    <w:rsid w:val="00ED1750"/>
    <w:rsid w:val="00ED3FA4"/>
    <w:rsid w:val="00ED51BE"/>
    <w:rsid w:val="00ED5B6C"/>
    <w:rsid w:val="00ED6321"/>
    <w:rsid w:val="00ED6D8C"/>
    <w:rsid w:val="00ED75AC"/>
    <w:rsid w:val="00ED7F1C"/>
    <w:rsid w:val="00EE026F"/>
    <w:rsid w:val="00EE23E7"/>
    <w:rsid w:val="00EE3396"/>
    <w:rsid w:val="00EE4EED"/>
    <w:rsid w:val="00EE507E"/>
    <w:rsid w:val="00EE54A6"/>
    <w:rsid w:val="00EE5BBE"/>
    <w:rsid w:val="00EE6524"/>
    <w:rsid w:val="00EE6655"/>
    <w:rsid w:val="00EE7C6B"/>
    <w:rsid w:val="00EF044A"/>
    <w:rsid w:val="00EF05D5"/>
    <w:rsid w:val="00EF0E68"/>
    <w:rsid w:val="00EF0EC1"/>
    <w:rsid w:val="00EF22BC"/>
    <w:rsid w:val="00EF29C4"/>
    <w:rsid w:val="00EF367A"/>
    <w:rsid w:val="00EF3CBE"/>
    <w:rsid w:val="00EF41A8"/>
    <w:rsid w:val="00EF4824"/>
    <w:rsid w:val="00EF4FC3"/>
    <w:rsid w:val="00EF5EDF"/>
    <w:rsid w:val="00EF62DB"/>
    <w:rsid w:val="00EF6929"/>
    <w:rsid w:val="00EF72CC"/>
    <w:rsid w:val="00EF72F5"/>
    <w:rsid w:val="00F0167A"/>
    <w:rsid w:val="00F01FB8"/>
    <w:rsid w:val="00F02514"/>
    <w:rsid w:val="00F02874"/>
    <w:rsid w:val="00F03875"/>
    <w:rsid w:val="00F03A13"/>
    <w:rsid w:val="00F04001"/>
    <w:rsid w:val="00F040E4"/>
    <w:rsid w:val="00F05037"/>
    <w:rsid w:val="00F053A2"/>
    <w:rsid w:val="00F05EF0"/>
    <w:rsid w:val="00F060C4"/>
    <w:rsid w:val="00F06125"/>
    <w:rsid w:val="00F0672E"/>
    <w:rsid w:val="00F0700F"/>
    <w:rsid w:val="00F071DC"/>
    <w:rsid w:val="00F07BBB"/>
    <w:rsid w:val="00F104F1"/>
    <w:rsid w:val="00F10E4D"/>
    <w:rsid w:val="00F12624"/>
    <w:rsid w:val="00F12AB6"/>
    <w:rsid w:val="00F12F09"/>
    <w:rsid w:val="00F13143"/>
    <w:rsid w:val="00F13729"/>
    <w:rsid w:val="00F13779"/>
    <w:rsid w:val="00F13A09"/>
    <w:rsid w:val="00F13B29"/>
    <w:rsid w:val="00F13BEE"/>
    <w:rsid w:val="00F15232"/>
    <w:rsid w:val="00F15667"/>
    <w:rsid w:val="00F16471"/>
    <w:rsid w:val="00F17421"/>
    <w:rsid w:val="00F2134C"/>
    <w:rsid w:val="00F2298C"/>
    <w:rsid w:val="00F241E4"/>
    <w:rsid w:val="00F248D3"/>
    <w:rsid w:val="00F25668"/>
    <w:rsid w:val="00F2588D"/>
    <w:rsid w:val="00F26175"/>
    <w:rsid w:val="00F30664"/>
    <w:rsid w:val="00F30715"/>
    <w:rsid w:val="00F312E1"/>
    <w:rsid w:val="00F31523"/>
    <w:rsid w:val="00F3290D"/>
    <w:rsid w:val="00F32DB0"/>
    <w:rsid w:val="00F34A1C"/>
    <w:rsid w:val="00F35691"/>
    <w:rsid w:val="00F36213"/>
    <w:rsid w:val="00F36947"/>
    <w:rsid w:val="00F42B0D"/>
    <w:rsid w:val="00F42BCD"/>
    <w:rsid w:val="00F44880"/>
    <w:rsid w:val="00F469D5"/>
    <w:rsid w:val="00F46AA4"/>
    <w:rsid w:val="00F47138"/>
    <w:rsid w:val="00F472E9"/>
    <w:rsid w:val="00F47ABC"/>
    <w:rsid w:val="00F52511"/>
    <w:rsid w:val="00F52D09"/>
    <w:rsid w:val="00F54404"/>
    <w:rsid w:val="00F54503"/>
    <w:rsid w:val="00F553F8"/>
    <w:rsid w:val="00F601D5"/>
    <w:rsid w:val="00F60F4F"/>
    <w:rsid w:val="00F61DC2"/>
    <w:rsid w:val="00F61ED5"/>
    <w:rsid w:val="00F61F49"/>
    <w:rsid w:val="00F63128"/>
    <w:rsid w:val="00F63300"/>
    <w:rsid w:val="00F670D4"/>
    <w:rsid w:val="00F70F63"/>
    <w:rsid w:val="00F7193C"/>
    <w:rsid w:val="00F71A4B"/>
    <w:rsid w:val="00F72337"/>
    <w:rsid w:val="00F728D1"/>
    <w:rsid w:val="00F72BBB"/>
    <w:rsid w:val="00F7325A"/>
    <w:rsid w:val="00F73DFF"/>
    <w:rsid w:val="00F754FC"/>
    <w:rsid w:val="00F7668E"/>
    <w:rsid w:val="00F767B6"/>
    <w:rsid w:val="00F77842"/>
    <w:rsid w:val="00F8036A"/>
    <w:rsid w:val="00F823AA"/>
    <w:rsid w:val="00F82C38"/>
    <w:rsid w:val="00F837FB"/>
    <w:rsid w:val="00F84569"/>
    <w:rsid w:val="00F847F9"/>
    <w:rsid w:val="00F84ECB"/>
    <w:rsid w:val="00F85F78"/>
    <w:rsid w:val="00F8713C"/>
    <w:rsid w:val="00F8787F"/>
    <w:rsid w:val="00F90EAB"/>
    <w:rsid w:val="00F9170B"/>
    <w:rsid w:val="00F92EB6"/>
    <w:rsid w:val="00F92F0B"/>
    <w:rsid w:val="00F94478"/>
    <w:rsid w:val="00F94635"/>
    <w:rsid w:val="00F949A7"/>
    <w:rsid w:val="00F951CF"/>
    <w:rsid w:val="00F95A6E"/>
    <w:rsid w:val="00FA0A06"/>
    <w:rsid w:val="00FA127C"/>
    <w:rsid w:val="00FA4451"/>
    <w:rsid w:val="00FA4582"/>
    <w:rsid w:val="00FA5145"/>
    <w:rsid w:val="00FA5779"/>
    <w:rsid w:val="00FA6873"/>
    <w:rsid w:val="00FA70C5"/>
    <w:rsid w:val="00FB06A8"/>
    <w:rsid w:val="00FB06AA"/>
    <w:rsid w:val="00FB083A"/>
    <w:rsid w:val="00FB1632"/>
    <w:rsid w:val="00FB1A85"/>
    <w:rsid w:val="00FB306A"/>
    <w:rsid w:val="00FB3BE4"/>
    <w:rsid w:val="00FB3E0C"/>
    <w:rsid w:val="00FB4335"/>
    <w:rsid w:val="00FB455E"/>
    <w:rsid w:val="00FB4A00"/>
    <w:rsid w:val="00FB6D1B"/>
    <w:rsid w:val="00FC12F9"/>
    <w:rsid w:val="00FC1E0B"/>
    <w:rsid w:val="00FC239A"/>
    <w:rsid w:val="00FC57A1"/>
    <w:rsid w:val="00FC608D"/>
    <w:rsid w:val="00FC68EB"/>
    <w:rsid w:val="00FC6912"/>
    <w:rsid w:val="00FD03A0"/>
    <w:rsid w:val="00FD0806"/>
    <w:rsid w:val="00FD0A63"/>
    <w:rsid w:val="00FD1B34"/>
    <w:rsid w:val="00FD1D77"/>
    <w:rsid w:val="00FD1DDC"/>
    <w:rsid w:val="00FD213A"/>
    <w:rsid w:val="00FD2181"/>
    <w:rsid w:val="00FD3D26"/>
    <w:rsid w:val="00FD3F48"/>
    <w:rsid w:val="00FD4BF7"/>
    <w:rsid w:val="00FD4E07"/>
    <w:rsid w:val="00FD55B5"/>
    <w:rsid w:val="00FD5860"/>
    <w:rsid w:val="00FD6B5F"/>
    <w:rsid w:val="00FE0AFC"/>
    <w:rsid w:val="00FE1A87"/>
    <w:rsid w:val="00FE26DC"/>
    <w:rsid w:val="00FE2EFD"/>
    <w:rsid w:val="00FE3B40"/>
    <w:rsid w:val="00FE5714"/>
    <w:rsid w:val="00FE6A6D"/>
    <w:rsid w:val="00FE6F3B"/>
    <w:rsid w:val="00FF119B"/>
    <w:rsid w:val="00FF28B3"/>
    <w:rsid w:val="00FF2BC8"/>
    <w:rsid w:val="00FF455D"/>
    <w:rsid w:val="00FF4DB8"/>
    <w:rsid w:val="00FF505C"/>
    <w:rsid w:val="00FF5A4A"/>
    <w:rsid w:val="00FF63FB"/>
    <w:rsid w:val="00FF6548"/>
    <w:rsid w:val="00FF75F1"/>
    <w:rsid w:val="00FF795B"/>
    <w:rsid w:val="01067BF2"/>
    <w:rsid w:val="010C688D"/>
    <w:rsid w:val="012E60FE"/>
    <w:rsid w:val="0130476A"/>
    <w:rsid w:val="01417789"/>
    <w:rsid w:val="01494B29"/>
    <w:rsid w:val="01520CED"/>
    <w:rsid w:val="017B4B4B"/>
    <w:rsid w:val="01AD1A7B"/>
    <w:rsid w:val="01AE3DF2"/>
    <w:rsid w:val="01C5290D"/>
    <w:rsid w:val="01D17D3A"/>
    <w:rsid w:val="020164D0"/>
    <w:rsid w:val="02212F91"/>
    <w:rsid w:val="022D19F9"/>
    <w:rsid w:val="022F6DDE"/>
    <w:rsid w:val="023141FC"/>
    <w:rsid w:val="026A0B61"/>
    <w:rsid w:val="026E092C"/>
    <w:rsid w:val="02742825"/>
    <w:rsid w:val="027D2BA4"/>
    <w:rsid w:val="0280756E"/>
    <w:rsid w:val="02962792"/>
    <w:rsid w:val="02A153C5"/>
    <w:rsid w:val="02AA3040"/>
    <w:rsid w:val="02AB790F"/>
    <w:rsid w:val="02BC27F1"/>
    <w:rsid w:val="02CB6698"/>
    <w:rsid w:val="02D05405"/>
    <w:rsid w:val="02D243B3"/>
    <w:rsid w:val="02E06A07"/>
    <w:rsid w:val="02E9096F"/>
    <w:rsid w:val="02EE2A81"/>
    <w:rsid w:val="02F672E6"/>
    <w:rsid w:val="02F72BF6"/>
    <w:rsid w:val="02F7544E"/>
    <w:rsid w:val="03096D8C"/>
    <w:rsid w:val="03114117"/>
    <w:rsid w:val="03183948"/>
    <w:rsid w:val="031F739D"/>
    <w:rsid w:val="033172A9"/>
    <w:rsid w:val="03482475"/>
    <w:rsid w:val="035E0EAB"/>
    <w:rsid w:val="038565D7"/>
    <w:rsid w:val="0387350D"/>
    <w:rsid w:val="03950870"/>
    <w:rsid w:val="039A6BFD"/>
    <w:rsid w:val="03A71D91"/>
    <w:rsid w:val="03AF3878"/>
    <w:rsid w:val="03BD440E"/>
    <w:rsid w:val="03D2123B"/>
    <w:rsid w:val="03FA7EC5"/>
    <w:rsid w:val="04065A37"/>
    <w:rsid w:val="04222AD3"/>
    <w:rsid w:val="0423147B"/>
    <w:rsid w:val="04246728"/>
    <w:rsid w:val="04335A86"/>
    <w:rsid w:val="047A3DC4"/>
    <w:rsid w:val="047F7182"/>
    <w:rsid w:val="048546CD"/>
    <w:rsid w:val="04967D28"/>
    <w:rsid w:val="049C4109"/>
    <w:rsid w:val="04A0616E"/>
    <w:rsid w:val="04D001BA"/>
    <w:rsid w:val="04F07DB2"/>
    <w:rsid w:val="05023CE1"/>
    <w:rsid w:val="05024181"/>
    <w:rsid w:val="051C684A"/>
    <w:rsid w:val="05785C6E"/>
    <w:rsid w:val="058677D8"/>
    <w:rsid w:val="058930E4"/>
    <w:rsid w:val="059B5AF1"/>
    <w:rsid w:val="05A67DA8"/>
    <w:rsid w:val="05C05CF6"/>
    <w:rsid w:val="05C368F0"/>
    <w:rsid w:val="05DF1EBE"/>
    <w:rsid w:val="05E2278B"/>
    <w:rsid w:val="06004493"/>
    <w:rsid w:val="063265CE"/>
    <w:rsid w:val="0647498B"/>
    <w:rsid w:val="064C4658"/>
    <w:rsid w:val="065F637A"/>
    <w:rsid w:val="06660425"/>
    <w:rsid w:val="066F4CDC"/>
    <w:rsid w:val="067E7010"/>
    <w:rsid w:val="069450E7"/>
    <w:rsid w:val="06AE595E"/>
    <w:rsid w:val="06B026C1"/>
    <w:rsid w:val="06C82B3D"/>
    <w:rsid w:val="06C90346"/>
    <w:rsid w:val="0727570F"/>
    <w:rsid w:val="073E48BC"/>
    <w:rsid w:val="07413A3B"/>
    <w:rsid w:val="07467755"/>
    <w:rsid w:val="07564E5D"/>
    <w:rsid w:val="07644DD7"/>
    <w:rsid w:val="07664EF0"/>
    <w:rsid w:val="07672C16"/>
    <w:rsid w:val="076779F1"/>
    <w:rsid w:val="0770320C"/>
    <w:rsid w:val="07862971"/>
    <w:rsid w:val="079013CA"/>
    <w:rsid w:val="079C4130"/>
    <w:rsid w:val="07A06CDB"/>
    <w:rsid w:val="07A73C6E"/>
    <w:rsid w:val="07B22031"/>
    <w:rsid w:val="07BE02B4"/>
    <w:rsid w:val="07C8635C"/>
    <w:rsid w:val="07CF2FA9"/>
    <w:rsid w:val="07F90EEA"/>
    <w:rsid w:val="07FC6F61"/>
    <w:rsid w:val="07FD5E74"/>
    <w:rsid w:val="080D2CB3"/>
    <w:rsid w:val="08362BFE"/>
    <w:rsid w:val="083D69C8"/>
    <w:rsid w:val="084E0EC9"/>
    <w:rsid w:val="084E6845"/>
    <w:rsid w:val="08617C6D"/>
    <w:rsid w:val="08992427"/>
    <w:rsid w:val="089A3792"/>
    <w:rsid w:val="08B42072"/>
    <w:rsid w:val="08C561AD"/>
    <w:rsid w:val="08CC7373"/>
    <w:rsid w:val="09002AC6"/>
    <w:rsid w:val="091624EF"/>
    <w:rsid w:val="09191B0D"/>
    <w:rsid w:val="091D2FCB"/>
    <w:rsid w:val="0952729A"/>
    <w:rsid w:val="09590A8A"/>
    <w:rsid w:val="09597E01"/>
    <w:rsid w:val="096433B3"/>
    <w:rsid w:val="09683D5E"/>
    <w:rsid w:val="097748DA"/>
    <w:rsid w:val="098F3C5A"/>
    <w:rsid w:val="099738B3"/>
    <w:rsid w:val="09A02581"/>
    <w:rsid w:val="0A055FFF"/>
    <w:rsid w:val="0A113FD5"/>
    <w:rsid w:val="0A196019"/>
    <w:rsid w:val="0A250F00"/>
    <w:rsid w:val="0A4E3D90"/>
    <w:rsid w:val="0A623945"/>
    <w:rsid w:val="0A6A4CAF"/>
    <w:rsid w:val="0A70168C"/>
    <w:rsid w:val="0A9F3A4A"/>
    <w:rsid w:val="0ACB3314"/>
    <w:rsid w:val="0AE01DF4"/>
    <w:rsid w:val="0AE42F04"/>
    <w:rsid w:val="0AF54EAC"/>
    <w:rsid w:val="0AFC4E82"/>
    <w:rsid w:val="0B0F735F"/>
    <w:rsid w:val="0B141123"/>
    <w:rsid w:val="0B15242F"/>
    <w:rsid w:val="0B2113A1"/>
    <w:rsid w:val="0B4770FA"/>
    <w:rsid w:val="0B4F331C"/>
    <w:rsid w:val="0B7F5FA7"/>
    <w:rsid w:val="0B96089F"/>
    <w:rsid w:val="0BF67DDC"/>
    <w:rsid w:val="0C014C62"/>
    <w:rsid w:val="0C0A2258"/>
    <w:rsid w:val="0C157D4E"/>
    <w:rsid w:val="0C29635D"/>
    <w:rsid w:val="0C312250"/>
    <w:rsid w:val="0C3B158B"/>
    <w:rsid w:val="0C3C792E"/>
    <w:rsid w:val="0C411E3B"/>
    <w:rsid w:val="0C5313DF"/>
    <w:rsid w:val="0C691E65"/>
    <w:rsid w:val="0C700231"/>
    <w:rsid w:val="0C772E68"/>
    <w:rsid w:val="0C8331E9"/>
    <w:rsid w:val="0C9C0C7B"/>
    <w:rsid w:val="0CAE258E"/>
    <w:rsid w:val="0CB837B5"/>
    <w:rsid w:val="0CC07DFF"/>
    <w:rsid w:val="0CE30F14"/>
    <w:rsid w:val="0CEB7779"/>
    <w:rsid w:val="0CFD1E35"/>
    <w:rsid w:val="0D133F58"/>
    <w:rsid w:val="0D1E711A"/>
    <w:rsid w:val="0D3A4BD0"/>
    <w:rsid w:val="0D403A48"/>
    <w:rsid w:val="0D424BEB"/>
    <w:rsid w:val="0D444696"/>
    <w:rsid w:val="0D6D4032"/>
    <w:rsid w:val="0D791C53"/>
    <w:rsid w:val="0D8B5FD3"/>
    <w:rsid w:val="0DB229AD"/>
    <w:rsid w:val="0DE577C4"/>
    <w:rsid w:val="0DE94AD9"/>
    <w:rsid w:val="0DF234C5"/>
    <w:rsid w:val="0DF76B47"/>
    <w:rsid w:val="0DF84443"/>
    <w:rsid w:val="0DFA38CA"/>
    <w:rsid w:val="0DFC4C9A"/>
    <w:rsid w:val="0DFE50A4"/>
    <w:rsid w:val="0E181C42"/>
    <w:rsid w:val="0E337698"/>
    <w:rsid w:val="0E3835A8"/>
    <w:rsid w:val="0E404A9A"/>
    <w:rsid w:val="0E445418"/>
    <w:rsid w:val="0E4F63A9"/>
    <w:rsid w:val="0E4F7D82"/>
    <w:rsid w:val="0E542CA1"/>
    <w:rsid w:val="0E5659B7"/>
    <w:rsid w:val="0E9A7DC7"/>
    <w:rsid w:val="0EAD07C3"/>
    <w:rsid w:val="0EB55764"/>
    <w:rsid w:val="0EC74941"/>
    <w:rsid w:val="0EDC06C5"/>
    <w:rsid w:val="0EEB5AAE"/>
    <w:rsid w:val="0EF052AE"/>
    <w:rsid w:val="0EF214DF"/>
    <w:rsid w:val="0EF847D5"/>
    <w:rsid w:val="0EF957CE"/>
    <w:rsid w:val="0F1D4200"/>
    <w:rsid w:val="0F4C498C"/>
    <w:rsid w:val="0F5566A9"/>
    <w:rsid w:val="0F623D46"/>
    <w:rsid w:val="0F8411E0"/>
    <w:rsid w:val="0FAA66C0"/>
    <w:rsid w:val="0FB238A2"/>
    <w:rsid w:val="0FC37C1E"/>
    <w:rsid w:val="0FDA1865"/>
    <w:rsid w:val="0FE54A9F"/>
    <w:rsid w:val="0FEC1264"/>
    <w:rsid w:val="0FEF6265"/>
    <w:rsid w:val="0FF8596B"/>
    <w:rsid w:val="10070717"/>
    <w:rsid w:val="101924EA"/>
    <w:rsid w:val="101D46AC"/>
    <w:rsid w:val="1022466A"/>
    <w:rsid w:val="10457E25"/>
    <w:rsid w:val="10461CAC"/>
    <w:rsid w:val="10493177"/>
    <w:rsid w:val="107B2144"/>
    <w:rsid w:val="107F77F2"/>
    <w:rsid w:val="10933427"/>
    <w:rsid w:val="10A432E5"/>
    <w:rsid w:val="10BF268D"/>
    <w:rsid w:val="10C94013"/>
    <w:rsid w:val="10D70111"/>
    <w:rsid w:val="10DB7AC9"/>
    <w:rsid w:val="10E14042"/>
    <w:rsid w:val="10E66407"/>
    <w:rsid w:val="10F43E73"/>
    <w:rsid w:val="11093DCF"/>
    <w:rsid w:val="110B6CBB"/>
    <w:rsid w:val="110D3244"/>
    <w:rsid w:val="111411BE"/>
    <w:rsid w:val="111C525E"/>
    <w:rsid w:val="112435D6"/>
    <w:rsid w:val="1127718B"/>
    <w:rsid w:val="11684262"/>
    <w:rsid w:val="117D7A9A"/>
    <w:rsid w:val="11846A68"/>
    <w:rsid w:val="119571ED"/>
    <w:rsid w:val="11980389"/>
    <w:rsid w:val="119F5C8C"/>
    <w:rsid w:val="11C04006"/>
    <w:rsid w:val="11CA60DD"/>
    <w:rsid w:val="11E42AA3"/>
    <w:rsid w:val="11ED689B"/>
    <w:rsid w:val="11F51E98"/>
    <w:rsid w:val="120226D3"/>
    <w:rsid w:val="125D0877"/>
    <w:rsid w:val="128778F8"/>
    <w:rsid w:val="128A1B4F"/>
    <w:rsid w:val="12CE1456"/>
    <w:rsid w:val="12DA15DA"/>
    <w:rsid w:val="12E61EBE"/>
    <w:rsid w:val="12EA68A0"/>
    <w:rsid w:val="12FE2243"/>
    <w:rsid w:val="13084CD7"/>
    <w:rsid w:val="131244B3"/>
    <w:rsid w:val="133F07ED"/>
    <w:rsid w:val="13442374"/>
    <w:rsid w:val="136418C2"/>
    <w:rsid w:val="13830C84"/>
    <w:rsid w:val="13A25CD7"/>
    <w:rsid w:val="13CB2475"/>
    <w:rsid w:val="14015846"/>
    <w:rsid w:val="14213A73"/>
    <w:rsid w:val="142A0AB2"/>
    <w:rsid w:val="143F74C8"/>
    <w:rsid w:val="145F1FFB"/>
    <w:rsid w:val="146D155C"/>
    <w:rsid w:val="146F04D3"/>
    <w:rsid w:val="14816D42"/>
    <w:rsid w:val="14820E99"/>
    <w:rsid w:val="148D0146"/>
    <w:rsid w:val="148E66CE"/>
    <w:rsid w:val="14935D46"/>
    <w:rsid w:val="14A80476"/>
    <w:rsid w:val="14D46070"/>
    <w:rsid w:val="14E743D0"/>
    <w:rsid w:val="14F169F4"/>
    <w:rsid w:val="14FE2743"/>
    <w:rsid w:val="15176296"/>
    <w:rsid w:val="151A1626"/>
    <w:rsid w:val="152A67F7"/>
    <w:rsid w:val="153E6552"/>
    <w:rsid w:val="15484DFA"/>
    <w:rsid w:val="156056C1"/>
    <w:rsid w:val="156458FD"/>
    <w:rsid w:val="158734C0"/>
    <w:rsid w:val="15883CFC"/>
    <w:rsid w:val="15883E0D"/>
    <w:rsid w:val="15A01C88"/>
    <w:rsid w:val="15A2437C"/>
    <w:rsid w:val="15A61E7D"/>
    <w:rsid w:val="15A708B0"/>
    <w:rsid w:val="15A76629"/>
    <w:rsid w:val="15C26385"/>
    <w:rsid w:val="15CA30D2"/>
    <w:rsid w:val="15F52D1E"/>
    <w:rsid w:val="160661D3"/>
    <w:rsid w:val="16374656"/>
    <w:rsid w:val="16515E9C"/>
    <w:rsid w:val="165B3F65"/>
    <w:rsid w:val="166C338D"/>
    <w:rsid w:val="16914EF5"/>
    <w:rsid w:val="169B669B"/>
    <w:rsid w:val="169D41BB"/>
    <w:rsid w:val="169F51FA"/>
    <w:rsid w:val="16A32F7E"/>
    <w:rsid w:val="16B46284"/>
    <w:rsid w:val="16B46EA0"/>
    <w:rsid w:val="16BC53F7"/>
    <w:rsid w:val="16CD36B7"/>
    <w:rsid w:val="16E54782"/>
    <w:rsid w:val="16F00DC6"/>
    <w:rsid w:val="16F8003D"/>
    <w:rsid w:val="172F1F61"/>
    <w:rsid w:val="173C1264"/>
    <w:rsid w:val="17410BB6"/>
    <w:rsid w:val="174F0F7F"/>
    <w:rsid w:val="17566CF7"/>
    <w:rsid w:val="177518F3"/>
    <w:rsid w:val="177808F2"/>
    <w:rsid w:val="17817246"/>
    <w:rsid w:val="17976CA7"/>
    <w:rsid w:val="17A30909"/>
    <w:rsid w:val="17AE2933"/>
    <w:rsid w:val="17C52D9E"/>
    <w:rsid w:val="17E71D21"/>
    <w:rsid w:val="17F76011"/>
    <w:rsid w:val="17F9148A"/>
    <w:rsid w:val="181E6A4A"/>
    <w:rsid w:val="18213D0F"/>
    <w:rsid w:val="1830110C"/>
    <w:rsid w:val="183D4596"/>
    <w:rsid w:val="184317AA"/>
    <w:rsid w:val="18436FB6"/>
    <w:rsid w:val="184763E2"/>
    <w:rsid w:val="18524E6A"/>
    <w:rsid w:val="185356D5"/>
    <w:rsid w:val="18636E8E"/>
    <w:rsid w:val="18742A97"/>
    <w:rsid w:val="188466C4"/>
    <w:rsid w:val="18925360"/>
    <w:rsid w:val="18B96FD2"/>
    <w:rsid w:val="18E27F94"/>
    <w:rsid w:val="18FD4431"/>
    <w:rsid w:val="19044031"/>
    <w:rsid w:val="19410763"/>
    <w:rsid w:val="196A4512"/>
    <w:rsid w:val="197568B1"/>
    <w:rsid w:val="19935BA6"/>
    <w:rsid w:val="19B76EB7"/>
    <w:rsid w:val="19BE670B"/>
    <w:rsid w:val="19DA5869"/>
    <w:rsid w:val="19E572EC"/>
    <w:rsid w:val="19EC52D4"/>
    <w:rsid w:val="19F62924"/>
    <w:rsid w:val="1A086325"/>
    <w:rsid w:val="1A0D67F0"/>
    <w:rsid w:val="1A107E8E"/>
    <w:rsid w:val="1A385246"/>
    <w:rsid w:val="1A5264F8"/>
    <w:rsid w:val="1A527D76"/>
    <w:rsid w:val="1A6339B4"/>
    <w:rsid w:val="1A662E30"/>
    <w:rsid w:val="1A666E4E"/>
    <w:rsid w:val="1AC14EDB"/>
    <w:rsid w:val="1ADC0A6B"/>
    <w:rsid w:val="1AE2369B"/>
    <w:rsid w:val="1AE749F6"/>
    <w:rsid w:val="1AEF2BE0"/>
    <w:rsid w:val="1B0B3DED"/>
    <w:rsid w:val="1B0B6A0D"/>
    <w:rsid w:val="1B3E0FB9"/>
    <w:rsid w:val="1B3E1C86"/>
    <w:rsid w:val="1B400228"/>
    <w:rsid w:val="1B447210"/>
    <w:rsid w:val="1B475568"/>
    <w:rsid w:val="1B4A69BA"/>
    <w:rsid w:val="1B4D3E7F"/>
    <w:rsid w:val="1B6B1482"/>
    <w:rsid w:val="1B801C75"/>
    <w:rsid w:val="1B863075"/>
    <w:rsid w:val="1B8E386C"/>
    <w:rsid w:val="1B965331"/>
    <w:rsid w:val="1B9E3FA5"/>
    <w:rsid w:val="1BA2003E"/>
    <w:rsid w:val="1BA46D41"/>
    <w:rsid w:val="1BA940AA"/>
    <w:rsid w:val="1BB95AAC"/>
    <w:rsid w:val="1BBE6F10"/>
    <w:rsid w:val="1C103C12"/>
    <w:rsid w:val="1C1B23BF"/>
    <w:rsid w:val="1C46142F"/>
    <w:rsid w:val="1C567AB4"/>
    <w:rsid w:val="1C6907D9"/>
    <w:rsid w:val="1C885CFD"/>
    <w:rsid w:val="1CD744AB"/>
    <w:rsid w:val="1CDD45CD"/>
    <w:rsid w:val="1CE62A66"/>
    <w:rsid w:val="1CFA11E4"/>
    <w:rsid w:val="1D06172A"/>
    <w:rsid w:val="1D217DB7"/>
    <w:rsid w:val="1D2265D4"/>
    <w:rsid w:val="1D3D7C9F"/>
    <w:rsid w:val="1D444F1C"/>
    <w:rsid w:val="1D556830"/>
    <w:rsid w:val="1D777D5A"/>
    <w:rsid w:val="1D7E49EB"/>
    <w:rsid w:val="1D891621"/>
    <w:rsid w:val="1D964AFD"/>
    <w:rsid w:val="1DA07EAF"/>
    <w:rsid w:val="1DB15854"/>
    <w:rsid w:val="1DC84B5B"/>
    <w:rsid w:val="1DE03C73"/>
    <w:rsid w:val="1DFE75D6"/>
    <w:rsid w:val="1E046E16"/>
    <w:rsid w:val="1E0470B9"/>
    <w:rsid w:val="1E0F0A2E"/>
    <w:rsid w:val="1E180846"/>
    <w:rsid w:val="1E1828D2"/>
    <w:rsid w:val="1E1F65BA"/>
    <w:rsid w:val="1E2B32CF"/>
    <w:rsid w:val="1E2D68EF"/>
    <w:rsid w:val="1E357FD5"/>
    <w:rsid w:val="1E373728"/>
    <w:rsid w:val="1E3A4773"/>
    <w:rsid w:val="1E6B623F"/>
    <w:rsid w:val="1E6C0746"/>
    <w:rsid w:val="1E7C3EB5"/>
    <w:rsid w:val="1E9C234D"/>
    <w:rsid w:val="1EA9012F"/>
    <w:rsid w:val="1ECE2648"/>
    <w:rsid w:val="1ED2759E"/>
    <w:rsid w:val="1EE72BFD"/>
    <w:rsid w:val="1EE9236A"/>
    <w:rsid w:val="1EF175C2"/>
    <w:rsid w:val="1EF24A0D"/>
    <w:rsid w:val="1EF55D09"/>
    <w:rsid w:val="1F12549F"/>
    <w:rsid w:val="1F1E55B5"/>
    <w:rsid w:val="1F6773F2"/>
    <w:rsid w:val="1F817F8B"/>
    <w:rsid w:val="1FA10B7D"/>
    <w:rsid w:val="1FB67FEA"/>
    <w:rsid w:val="1FBB5C32"/>
    <w:rsid w:val="1FEA1B62"/>
    <w:rsid w:val="1FEC481C"/>
    <w:rsid w:val="1FEF6F2D"/>
    <w:rsid w:val="1FF03EFA"/>
    <w:rsid w:val="1FFF6511"/>
    <w:rsid w:val="2081099F"/>
    <w:rsid w:val="20864BEF"/>
    <w:rsid w:val="20945CE3"/>
    <w:rsid w:val="20990240"/>
    <w:rsid w:val="209A6F58"/>
    <w:rsid w:val="209B4916"/>
    <w:rsid w:val="20B74716"/>
    <w:rsid w:val="20BA198D"/>
    <w:rsid w:val="20BF64FE"/>
    <w:rsid w:val="20CD3FE3"/>
    <w:rsid w:val="20F40FEA"/>
    <w:rsid w:val="2127030A"/>
    <w:rsid w:val="21272F57"/>
    <w:rsid w:val="212C7BEA"/>
    <w:rsid w:val="21352927"/>
    <w:rsid w:val="214337CA"/>
    <w:rsid w:val="21553E38"/>
    <w:rsid w:val="21567CA3"/>
    <w:rsid w:val="2175206A"/>
    <w:rsid w:val="217604E5"/>
    <w:rsid w:val="21821998"/>
    <w:rsid w:val="218D66AC"/>
    <w:rsid w:val="21913280"/>
    <w:rsid w:val="219B0B38"/>
    <w:rsid w:val="21A532D5"/>
    <w:rsid w:val="21D273F0"/>
    <w:rsid w:val="21D83C74"/>
    <w:rsid w:val="21FE3A15"/>
    <w:rsid w:val="22296CE1"/>
    <w:rsid w:val="22640F9B"/>
    <w:rsid w:val="22775689"/>
    <w:rsid w:val="227D3C02"/>
    <w:rsid w:val="229C6A3B"/>
    <w:rsid w:val="22A24FA9"/>
    <w:rsid w:val="22B17F2E"/>
    <w:rsid w:val="22B91765"/>
    <w:rsid w:val="22D074FA"/>
    <w:rsid w:val="22EE46DC"/>
    <w:rsid w:val="22F57315"/>
    <w:rsid w:val="22FC3355"/>
    <w:rsid w:val="232D06D4"/>
    <w:rsid w:val="23430C5E"/>
    <w:rsid w:val="23451159"/>
    <w:rsid w:val="23490536"/>
    <w:rsid w:val="235D73C1"/>
    <w:rsid w:val="23752F32"/>
    <w:rsid w:val="237A7E05"/>
    <w:rsid w:val="23893DF0"/>
    <w:rsid w:val="239E138E"/>
    <w:rsid w:val="23A27C06"/>
    <w:rsid w:val="23AE79AD"/>
    <w:rsid w:val="23D72DC0"/>
    <w:rsid w:val="23E85C3D"/>
    <w:rsid w:val="23F348AD"/>
    <w:rsid w:val="23FA5F68"/>
    <w:rsid w:val="24141B4F"/>
    <w:rsid w:val="24197F47"/>
    <w:rsid w:val="245B2E66"/>
    <w:rsid w:val="24787C61"/>
    <w:rsid w:val="249B46F0"/>
    <w:rsid w:val="24BD3066"/>
    <w:rsid w:val="24D202AD"/>
    <w:rsid w:val="24D92E8D"/>
    <w:rsid w:val="24EC577F"/>
    <w:rsid w:val="252773D2"/>
    <w:rsid w:val="25287BB9"/>
    <w:rsid w:val="2562170C"/>
    <w:rsid w:val="2570714E"/>
    <w:rsid w:val="257665F0"/>
    <w:rsid w:val="257B2551"/>
    <w:rsid w:val="258607CF"/>
    <w:rsid w:val="258A2657"/>
    <w:rsid w:val="258A6C83"/>
    <w:rsid w:val="258B02C8"/>
    <w:rsid w:val="25AD4E0E"/>
    <w:rsid w:val="25B80E4D"/>
    <w:rsid w:val="25D771A7"/>
    <w:rsid w:val="25E72172"/>
    <w:rsid w:val="26005882"/>
    <w:rsid w:val="26143367"/>
    <w:rsid w:val="262F49A7"/>
    <w:rsid w:val="2634651F"/>
    <w:rsid w:val="264F60F4"/>
    <w:rsid w:val="265920E7"/>
    <w:rsid w:val="267F2E9B"/>
    <w:rsid w:val="26846BF9"/>
    <w:rsid w:val="26A23E3F"/>
    <w:rsid w:val="26BF2B08"/>
    <w:rsid w:val="26DC06C3"/>
    <w:rsid w:val="26E2355C"/>
    <w:rsid w:val="26E9418E"/>
    <w:rsid w:val="26EF7BA8"/>
    <w:rsid w:val="26FA2F5E"/>
    <w:rsid w:val="270C61F7"/>
    <w:rsid w:val="27215795"/>
    <w:rsid w:val="273B41E4"/>
    <w:rsid w:val="273E41BC"/>
    <w:rsid w:val="274669C7"/>
    <w:rsid w:val="275C7B90"/>
    <w:rsid w:val="275D6268"/>
    <w:rsid w:val="2761730A"/>
    <w:rsid w:val="2763444D"/>
    <w:rsid w:val="276B7E7A"/>
    <w:rsid w:val="277C0C50"/>
    <w:rsid w:val="27937318"/>
    <w:rsid w:val="27A6477C"/>
    <w:rsid w:val="27AB2242"/>
    <w:rsid w:val="27AD0FC4"/>
    <w:rsid w:val="27C13BAB"/>
    <w:rsid w:val="27CB784D"/>
    <w:rsid w:val="27E702E6"/>
    <w:rsid w:val="27E875E3"/>
    <w:rsid w:val="27F46698"/>
    <w:rsid w:val="27F74250"/>
    <w:rsid w:val="280D6AC7"/>
    <w:rsid w:val="281B295B"/>
    <w:rsid w:val="28261EB0"/>
    <w:rsid w:val="282A2C0A"/>
    <w:rsid w:val="283150A4"/>
    <w:rsid w:val="284A5C96"/>
    <w:rsid w:val="284B4329"/>
    <w:rsid w:val="2855168B"/>
    <w:rsid w:val="2865432C"/>
    <w:rsid w:val="28700835"/>
    <w:rsid w:val="28744C12"/>
    <w:rsid w:val="287A5C36"/>
    <w:rsid w:val="287C48AF"/>
    <w:rsid w:val="287D1125"/>
    <w:rsid w:val="28A21EB6"/>
    <w:rsid w:val="28A75F39"/>
    <w:rsid w:val="28B451FF"/>
    <w:rsid w:val="28C02DCD"/>
    <w:rsid w:val="28CF57C8"/>
    <w:rsid w:val="28F75B45"/>
    <w:rsid w:val="290326C4"/>
    <w:rsid w:val="29194644"/>
    <w:rsid w:val="29212AA4"/>
    <w:rsid w:val="2921332F"/>
    <w:rsid w:val="295A6424"/>
    <w:rsid w:val="297D6DAD"/>
    <w:rsid w:val="29892A14"/>
    <w:rsid w:val="298E790D"/>
    <w:rsid w:val="29BD5DDF"/>
    <w:rsid w:val="29CF4462"/>
    <w:rsid w:val="29F352D4"/>
    <w:rsid w:val="2A0C340C"/>
    <w:rsid w:val="2A1161C4"/>
    <w:rsid w:val="2A133185"/>
    <w:rsid w:val="2A434F92"/>
    <w:rsid w:val="2A5252C2"/>
    <w:rsid w:val="2A586D2F"/>
    <w:rsid w:val="2A5F698D"/>
    <w:rsid w:val="2A776F20"/>
    <w:rsid w:val="2A821AF0"/>
    <w:rsid w:val="2AC24F11"/>
    <w:rsid w:val="2AD52143"/>
    <w:rsid w:val="2AE60697"/>
    <w:rsid w:val="2AF07E0D"/>
    <w:rsid w:val="2AFE6454"/>
    <w:rsid w:val="2B09479B"/>
    <w:rsid w:val="2B237B87"/>
    <w:rsid w:val="2B271DE3"/>
    <w:rsid w:val="2B28374A"/>
    <w:rsid w:val="2B3C09F7"/>
    <w:rsid w:val="2B4B4427"/>
    <w:rsid w:val="2B7F54FD"/>
    <w:rsid w:val="2B806694"/>
    <w:rsid w:val="2B8941C9"/>
    <w:rsid w:val="2B932AA6"/>
    <w:rsid w:val="2BAA6120"/>
    <w:rsid w:val="2BD147D4"/>
    <w:rsid w:val="2BD52883"/>
    <w:rsid w:val="2BE13309"/>
    <w:rsid w:val="2BFA7F60"/>
    <w:rsid w:val="2C020D9A"/>
    <w:rsid w:val="2C1230A3"/>
    <w:rsid w:val="2C241821"/>
    <w:rsid w:val="2C4C222E"/>
    <w:rsid w:val="2C566360"/>
    <w:rsid w:val="2C584294"/>
    <w:rsid w:val="2C625CEE"/>
    <w:rsid w:val="2C64554D"/>
    <w:rsid w:val="2C6B15C1"/>
    <w:rsid w:val="2C787FEB"/>
    <w:rsid w:val="2CFF6E09"/>
    <w:rsid w:val="2D0A763C"/>
    <w:rsid w:val="2D263FE7"/>
    <w:rsid w:val="2D395323"/>
    <w:rsid w:val="2D4E1C9F"/>
    <w:rsid w:val="2D75136C"/>
    <w:rsid w:val="2DB16E80"/>
    <w:rsid w:val="2DB70FCC"/>
    <w:rsid w:val="2DB852F9"/>
    <w:rsid w:val="2DC63FFC"/>
    <w:rsid w:val="2DEF391F"/>
    <w:rsid w:val="2DFA4EFA"/>
    <w:rsid w:val="2E292C60"/>
    <w:rsid w:val="2E3E5102"/>
    <w:rsid w:val="2E581FC6"/>
    <w:rsid w:val="2E5E3A5F"/>
    <w:rsid w:val="2E8278ED"/>
    <w:rsid w:val="2E8F6084"/>
    <w:rsid w:val="2EB666B4"/>
    <w:rsid w:val="2EC73F8C"/>
    <w:rsid w:val="2ECD20DE"/>
    <w:rsid w:val="2ECD45A5"/>
    <w:rsid w:val="2EDD5A1D"/>
    <w:rsid w:val="2EF65373"/>
    <w:rsid w:val="2F1103AF"/>
    <w:rsid w:val="2F385873"/>
    <w:rsid w:val="2F3E7374"/>
    <w:rsid w:val="2F444DD0"/>
    <w:rsid w:val="2F5E35E3"/>
    <w:rsid w:val="2F7E6FCA"/>
    <w:rsid w:val="2F803549"/>
    <w:rsid w:val="2F97491E"/>
    <w:rsid w:val="2F9B76C6"/>
    <w:rsid w:val="2FBE59FF"/>
    <w:rsid w:val="2FC14941"/>
    <w:rsid w:val="2FD55B84"/>
    <w:rsid w:val="300A27C1"/>
    <w:rsid w:val="30152D6E"/>
    <w:rsid w:val="301B4B1E"/>
    <w:rsid w:val="301F24A8"/>
    <w:rsid w:val="30367820"/>
    <w:rsid w:val="303F51F0"/>
    <w:rsid w:val="30622AF6"/>
    <w:rsid w:val="3066296A"/>
    <w:rsid w:val="30736764"/>
    <w:rsid w:val="30755EBE"/>
    <w:rsid w:val="307C7FBD"/>
    <w:rsid w:val="308B071D"/>
    <w:rsid w:val="30BE1238"/>
    <w:rsid w:val="30DD2E40"/>
    <w:rsid w:val="30FC4701"/>
    <w:rsid w:val="310F0E66"/>
    <w:rsid w:val="311B5C28"/>
    <w:rsid w:val="3130733E"/>
    <w:rsid w:val="313B63F6"/>
    <w:rsid w:val="314F4139"/>
    <w:rsid w:val="316B707F"/>
    <w:rsid w:val="317C5B41"/>
    <w:rsid w:val="318407D2"/>
    <w:rsid w:val="3195355B"/>
    <w:rsid w:val="31B15DA9"/>
    <w:rsid w:val="31BA03ED"/>
    <w:rsid w:val="31C668BC"/>
    <w:rsid w:val="31D01A23"/>
    <w:rsid w:val="31DB4266"/>
    <w:rsid w:val="31E755D4"/>
    <w:rsid w:val="31EF55AF"/>
    <w:rsid w:val="32087E82"/>
    <w:rsid w:val="32282475"/>
    <w:rsid w:val="322F4E63"/>
    <w:rsid w:val="32487496"/>
    <w:rsid w:val="3257141D"/>
    <w:rsid w:val="32776D2E"/>
    <w:rsid w:val="32796C92"/>
    <w:rsid w:val="327B71B4"/>
    <w:rsid w:val="327D6AD1"/>
    <w:rsid w:val="328F3989"/>
    <w:rsid w:val="329064E0"/>
    <w:rsid w:val="32A879B8"/>
    <w:rsid w:val="32AD3846"/>
    <w:rsid w:val="32AF6BEE"/>
    <w:rsid w:val="32B005B3"/>
    <w:rsid w:val="32D310C8"/>
    <w:rsid w:val="32DA0584"/>
    <w:rsid w:val="32E416B9"/>
    <w:rsid w:val="32F95D38"/>
    <w:rsid w:val="32FA19CA"/>
    <w:rsid w:val="330A086E"/>
    <w:rsid w:val="33274233"/>
    <w:rsid w:val="334436A7"/>
    <w:rsid w:val="33456356"/>
    <w:rsid w:val="33495B4F"/>
    <w:rsid w:val="33517FCD"/>
    <w:rsid w:val="33553A48"/>
    <w:rsid w:val="33606E6F"/>
    <w:rsid w:val="33801EAE"/>
    <w:rsid w:val="338F3E95"/>
    <w:rsid w:val="3397081F"/>
    <w:rsid w:val="33A649B8"/>
    <w:rsid w:val="33C559C8"/>
    <w:rsid w:val="33C85EBC"/>
    <w:rsid w:val="33F30370"/>
    <w:rsid w:val="33F42AC7"/>
    <w:rsid w:val="33F752DE"/>
    <w:rsid w:val="341C3EA2"/>
    <w:rsid w:val="343E2FE4"/>
    <w:rsid w:val="344F7A5D"/>
    <w:rsid w:val="34626783"/>
    <w:rsid w:val="349E57F8"/>
    <w:rsid w:val="349E5A43"/>
    <w:rsid w:val="34B92210"/>
    <w:rsid w:val="34BE4763"/>
    <w:rsid w:val="34DA4368"/>
    <w:rsid w:val="34E300F9"/>
    <w:rsid w:val="35162C2F"/>
    <w:rsid w:val="3522199F"/>
    <w:rsid w:val="352754FD"/>
    <w:rsid w:val="35306CFF"/>
    <w:rsid w:val="353B321E"/>
    <w:rsid w:val="35427900"/>
    <w:rsid w:val="354933F9"/>
    <w:rsid w:val="35607C43"/>
    <w:rsid w:val="35635D5D"/>
    <w:rsid w:val="35A20541"/>
    <w:rsid w:val="35A5342B"/>
    <w:rsid w:val="35AA18F6"/>
    <w:rsid w:val="35B273A0"/>
    <w:rsid w:val="35C45077"/>
    <w:rsid w:val="35CA23FD"/>
    <w:rsid w:val="35CE5B43"/>
    <w:rsid w:val="35D067A9"/>
    <w:rsid w:val="35D3747A"/>
    <w:rsid w:val="35E00E75"/>
    <w:rsid w:val="35EB03D0"/>
    <w:rsid w:val="35F37DCD"/>
    <w:rsid w:val="36006D2B"/>
    <w:rsid w:val="36043D25"/>
    <w:rsid w:val="36051C07"/>
    <w:rsid w:val="362E42F7"/>
    <w:rsid w:val="3645174B"/>
    <w:rsid w:val="36470CA3"/>
    <w:rsid w:val="36502347"/>
    <w:rsid w:val="36636AD7"/>
    <w:rsid w:val="368A6166"/>
    <w:rsid w:val="36913DAE"/>
    <w:rsid w:val="36B011DA"/>
    <w:rsid w:val="36B212AB"/>
    <w:rsid w:val="36D03F76"/>
    <w:rsid w:val="36E713F2"/>
    <w:rsid w:val="36FA43E5"/>
    <w:rsid w:val="370F586C"/>
    <w:rsid w:val="371923B1"/>
    <w:rsid w:val="37264251"/>
    <w:rsid w:val="372E150E"/>
    <w:rsid w:val="37350CCA"/>
    <w:rsid w:val="373A46FC"/>
    <w:rsid w:val="373C0B26"/>
    <w:rsid w:val="37556C65"/>
    <w:rsid w:val="378767A4"/>
    <w:rsid w:val="37914981"/>
    <w:rsid w:val="379C0736"/>
    <w:rsid w:val="37C53233"/>
    <w:rsid w:val="382C74A1"/>
    <w:rsid w:val="384151B6"/>
    <w:rsid w:val="38476409"/>
    <w:rsid w:val="386E5B2F"/>
    <w:rsid w:val="38700271"/>
    <w:rsid w:val="387650EE"/>
    <w:rsid w:val="3896044B"/>
    <w:rsid w:val="38C1214C"/>
    <w:rsid w:val="38E16447"/>
    <w:rsid w:val="38F234A5"/>
    <w:rsid w:val="38F91860"/>
    <w:rsid w:val="38FF7E78"/>
    <w:rsid w:val="39064558"/>
    <w:rsid w:val="390813D1"/>
    <w:rsid w:val="39126B98"/>
    <w:rsid w:val="39164C29"/>
    <w:rsid w:val="391E11FE"/>
    <w:rsid w:val="392B6F43"/>
    <w:rsid w:val="392D760A"/>
    <w:rsid w:val="39334190"/>
    <w:rsid w:val="394735F6"/>
    <w:rsid w:val="394A1C2E"/>
    <w:rsid w:val="398C166C"/>
    <w:rsid w:val="39B2031F"/>
    <w:rsid w:val="39BB32A6"/>
    <w:rsid w:val="39C06135"/>
    <w:rsid w:val="39C22668"/>
    <w:rsid w:val="39C61AD2"/>
    <w:rsid w:val="39D422BA"/>
    <w:rsid w:val="3A22318E"/>
    <w:rsid w:val="3A626060"/>
    <w:rsid w:val="3A862472"/>
    <w:rsid w:val="3A8A6C5D"/>
    <w:rsid w:val="3A987D19"/>
    <w:rsid w:val="3A995FF9"/>
    <w:rsid w:val="3A9E1BA9"/>
    <w:rsid w:val="3AA94952"/>
    <w:rsid w:val="3AAB6CB8"/>
    <w:rsid w:val="3AB75381"/>
    <w:rsid w:val="3AE220F9"/>
    <w:rsid w:val="3B1B237C"/>
    <w:rsid w:val="3B216274"/>
    <w:rsid w:val="3B306DB8"/>
    <w:rsid w:val="3B473154"/>
    <w:rsid w:val="3B4867E4"/>
    <w:rsid w:val="3B781E40"/>
    <w:rsid w:val="3B8E1F8A"/>
    <w:rsid w:val="3B944609"/>
    <w:rsid w:val="3BAD525A"/>
    <w:rsid w:val="3BC61B3B"/>
    <w:rsid w:val="3BC70667"/>
    <w:rsid w:val="3BDC5DA2"/>
    <w:rsid w:val="3BDF1C42"/>
    <w:rsid w:val="3BDF4AF5"/>
    <w:rsid w:val="3BE27BBE"/>
    <w:rsid w:val="3BE70AEA"/>
    <w:rsid w:val="3BEA6088"/>
    <w:rsid w:val="3C2F54C3"/>
    <w:rsid w:val="3C467935"/>
    <w:rsid w:val="3C4B5AFB"/>
    <w:rsid w:val="3C702B93"/>
    <w:rsid w:val="3C895024"/>
    <w:rsid w:val="3C8C3D2B"/>
    <w:rsid w:val="3CB65D6B"/>
    <w:rsid w:val="3CEB2BB5"/>
    <w:rsid w:val="3CEC08A0"/>
    <w:rsid w:val="3CF436F7"/>
    <w:rsid w:val="3D066BD5"/>
    <w:rsid w:val="3D1A522E"/>
    <w:rsid w:val="3D323A1A"/>
    <w:rsid w:val="3D396B94"/>
    <w:rsid w:val="3D3D1623"/>
    <w:rsid w:val="3D5148DE"/>
    <w:rsid w:val="3D620798"/>
    <w:rsid w:val="3D7B3E7E"/>
    <w:rsid w:val="3D983A80"/>
    <w:rsid w:val="3DC766A9"/>
    <w:rsid w:val="3DCC1298"/>
    <w:rsid w:val="3DFA3FC0"/>
    <w:rsid w:val="3E03795C"/>
    <w:rsid w:val="3E0C57CA"/>
    <w:rsid w:val="3E0E313A"/>
    <w:rsid w:val="3E270B64"/>
    <w:rsid w:val="3E3D2456"/>
    <w:rsid w:val="3E4A2AFE"/>
    <w:rsid w:val="3E5B0087"/>
    <w:rsid w:val="3E5E19CB"/>
    <w:rsid w:val="3E6C59D1"/>
    <w:rsid w:val="3E7A4E4F"/>
    <w:rsid w:val="3E8A741C"/>
    <w:rsid w:val="3E9A0BB0"/>
    <w:rsid w:val="3E9B1109"/>
    <w:rsid w:val="3EA15367"/>
    <w:rsid w:val="3EAE36D5"/>
    <w:rsid w:val="3EB051E8"/>
    <w:rsid w:val="3EBA597A"/>
    <w:rsid w:val="3EC76B4D"/>
    <w:rsid w:val="3ECF1897"/>
    <w:rsid w:val="3EE15ADB"/>
    <w:rsid w:val="3EE67153"/>
    <w:rsid w:val="3F0374FD"/>
    <w:rsid w:val="3F0704CE"/>
    <w:rsid w:val="3F14756C"/>
    <w:rsid w:val="3F33093C"/>
    <w:rsid w:val="3F336A23"/>
    <w:rsid w:val="3F3814DC"/>
    <w:rsid w:val="3F3F30A6"/>
    <w:rsid w:val="3F4B5DDD"/>
    <w:rsid w:val="3F64324A"/>
    <w:rsid w:val="3F7C03E7"/>
    <w:rsid w:val="3F9733F8"/>
    <w:rsid w:val="3F9A40F6"/>
    <w:rsid w:val="3FA63C10"/>
    <w:rsid w:val="3FB21208"/>
    <w:rsid w:val="3FB4192B"/>
    <w:rsid w:val="3FBF2CB0"/>
    <w:rsid w:val="3FC557F0"/>
    <w:rsid w:val="3FD16814"/>
    <w:rsid w:val="3FDA5A71"/>
    <w:rsid w:val="3FE0627A"/>
    <w:rsid w:val="3FF62C94"/>
    <w:rsid w:val="400517A5"/>
    <w:rsid w:val="4031066F"/>
    <w:rsid w:val="40627666"/>
    <w:rsid w:val="40635366"/>
    <w:rsid w:val="406A7C36"/>
    <w:rsid w:val="4084185F"/>
    <w:rsid w:val="40986D23"/>
    <w:rsid w:val="40A046B2"/>
    <w:rsid w:val="40A46FF3"/>
    <w:rsid w:val="40BA4800"/>
    <w:rsid w:val="40BB4A22"/>
    <w:rsid w:val="40C66BB5"/>
    <w:rsid w:val="40D707BD"/>
    <w:rsid w:val="40E01EA1"/>
    <w:rsid w:val="41093673"/>
    <w:rsid w:val="41166FC4"/>
    <w:rsid w:val="41475F78"/>
    <w:rsid w:val="414B2E56"/>
    <w:rsid w:val="414C4D97"/>
    <w:rsid w:val="41786D11"/>
    <w:rsid w:val="418638DF"/>
    <w:rsid w:val="418E707A"/>
    <w:rsid w:val="41962CDD"/>
    <w:rsid w:val="41B64B35"/>
    <w:rsid w:val="41BC2747"/>
    <w:rsid w:val="41DC1DDA"/>
    <w:rsid w:val="41FD517A"/>
    <w:rsid w:val="42035388"/>
    <w:rsid w:val="42081D44"/>
    <w:rsid w:val="4219502B"/>
    <w:rsid w:val="422F5C6C"/>
    <w:rsid w:val="42415ED0"/>
    <w:rsid w:val="424B0AFD"/>
    <w:rsid w:val="42596DE3"/>
    <w:rsid w:val="428D687E"/>
    <w:rsid w:val="4290295E"/>
    <w:rsid w:val="42AC0E83"/>
    <w:rsid w:val="42E04A67"/>
    <w:rsid w:val="42E321DD"/>
    <w:rsid w:val="43164B2D"/>
    <w:rsid w:val="431950D0"/>
    <w:rsid w:val="431F2396"/>
    <w:rsid w:val="435B0E3E"/>
    <w:rsid w:val="435D0D36"/>
    <w:rsid w:val="4369557F"/>
    <w:rsid w:val="436F52EB"/>
    <w:rsid w:val="437159C0"/>
    <w:rsid w:val="438F4ADF"/>
    <w:rsid w:val="43A52052"/>
    <w:rsid w:val="43A9760C"/>
    <w:rsid w:val="43BD11E9"/>
    <w:rsid w:val="43BD131D"/>
    <w:rsid w:val="43CB4704"/>
    <w:rsid w:val="43E01F99"/>
    <w:rsid w:val="43E212F5"/>
    <w:rsid w:val="43F64E09"/>
    <w:rsid w:val="44122F79"/>
    <w:rsid w:val="44124EE4"/>
    <w:rsid w:val="442C2353"/>
    <w:rsid w:val="442E4A01"/>
    <w:rsid w:val="443F02AC"/>
    <w:rsid w:val="44493669"/>
    <w:rsid w:val="44546E7C"/>
    <w:rsid w:val="44C00119"/>
    <w:rsid w:val="44D20047"/>
    <w:rsid w:val="44DD5D08"/>
    <w:rsid w:val="44E2092A"/>
    <w:rsid w:val="44E477BB"/>
    <w:rsid w:val="44F02C8C"/>
    <w:rsid w:val="44F80F5F"/>
    <w:rsid w:val="45187C84"/>
    <w:rsid w:val="453F31D6"/>
    <w:rsid w:val="45443D9A"/>
    <w:rsid w:val="45624823"/>
    <w:rsid w:val="45AD0860"/>
    <w:rsid w:val="45B53975"/>
    <w:rsid w:val="45B563BB"/>
    <w:rsid w:val="45C3296F"/>
    <w:rsid w:val="45E2598D"/>
    <w:rsid w:val="45EB5FE4"/>
    <w:rsid w:val="45FA7AE9"/>
    <w:rsid w:val="462E4C99"/>
    <w:rsid w:val="46333BD3"/>
    <w:rsid w:val="46515B0E"/>
    <w:rsid w:val="465565CA"/>
    <w:rsid w:val="46707D48"/>
    <w:rsid w:val="468F576C"/>
    <w:rsid w:val="46941E20"/>
    <w:rsid w:val="469B36EE"/>
    <w:rsid w:val="46A84403"/>
    <w:rsid w:val="46CE7201"/>
    <w:rsid w:val="46EF0B52"/>
    <w:rsid w:val="46F26269"/>
    <w:rsid w:val="46FD2407"/>
    <w:rsid w:val="470167A2"/>
    <w:rsid w:val="470D2833"/>
    <w:rsid w:val="47123AFA"/>
    <w:rsid w:val="47290754"/>
    <w:rsid w:val="472D4BE5"/>
    <w:rsid w:val="474139FC"/>
    <w:rsid w:val="4746195C"/>
    <w:rsid w:val="47485FCD"/>
    <w:rsid w:val="475D70DB"/>
    <w:rsid w:val="475E46B5"/>
    <w:rsid w:val="478A362D"/>
    <w:rsid w:val="479F1910"/>
    <w:rsid w:val="47B16050"/>
    <w:rsid w:val="47BC0235"/>
    <w:rsid w:val="47E522FB"/>
    <w:rsid w:val="47FB3102"/>
    <w:rsid w:val="48207BEC"/>
    <w:rsid w:val="483F585F"/>
    <w:rsid w:val="484421C9"/>
    <w:rsid w:val="48463F8F"/>
    <w:rsid w:val="485A6382"/>
    <w:rsid w:val="48882DA3"/>
    <w:rsid w:val="488B5D04"/>
    <w:rsid w:val="489A6CEF"/>
    <w:rsid w:val="48A53CB0"/>
    <w:rsid w:val="48BC7F5D"/>
    <w:rsid w:val="48C67D49"/>
    <w:rsid w:val="48D92FC4"/>
    <w:rsid w:val="48DF0EFA"/>
    <w:rsid w:val="4903181C"/>
    <w:rsid w:val="490E1BC5"/>
    <w:rsid w:val="490F09BB"/>
    <w:rsid w:val="491A16F4"/>
    <w:rsid w:val="491C16FD"/>
    <w:rsid w:val="492B385C"/>
    <w:rsid w:val="493E027B"/>
    <w:rsid w:val="493E1D7E"/>
    <w:rsid w:val="49553A41"/>
    <w:rsid w:val="496A01F8"/>
    <w:rsid w:val="49736139"/>
    <w:rsid w:val="4983232A"/>
    <w:rsid w:val="49A6759D"/>
    <w:rsid w:val="49B561CD"/>
    <w:rsid w:val="4A0A626B"/>
    <w:rsid w:val="4A0F0111"/>
    <w:rsid w:val="4A1429F2"/>
    <w:rsid w:val="4A1E1CA4"/>
    <w:rsid w:val="4A2C5CBB"/>
    <w:rsid w:val="4A3F0957"/>
    <w:rsid w:val="4A756333"/>
    <w:rsid w:val="4A856C64"/>
    <w:rsid w:val="4AAA46BA"/>
    <w:rsid w:val="4AB92A81"/>
    <w:rsid w:val="4AC3022E"/>
    <w:rsid w:val="4ADB5D7A"/>
    <w:rsid w:val="4B3036B7"/>
    <w:rsid w:val="4B320DAD"/>
    <w:rsid w:val="4B3D77DB"/>
    <w:rsid w:val="4B423249"/>
    <w:rsid w:val="4B485DA2"/>
    <w:rsid w:val="4B4B7A3B"/>
    <w:rsid w:val="4B524A25"/>
    <w:rsid w:val="4B7E1255"/>
    <w:rsid w:val="4B7E761B"/>
    <w:rsid w:val="4B804B88"/>
    <w:rsid w:val="4B8F179A"/>
    <w:rsid w:val="4B9A201D"/>
    <w:rsid w:val="4BAA1FC8"/>
    <w:rsid w:val="4BB01BCC"/>
    <w:rsid w:val="4BBA1D99"/>
    <w:rsid w:val="4BCB4EDD"/>
    <w:rsid w:val="4BD24E05"/>
    <w:rsid w:val="4BD940C7"/>
    <w:rsid w:val="4BF43074"/>
    <w:rsid w:val="4BFD77E1"/>
    <w:rsid w:val="4C030E0D"/>
    <w:rsid w:val="4C1B1BD3"/>
    <w:rsid w:val="4C363E51"/>
    <w:rsid w:val="4C406604"/>
    <w:rsid w:val="4C4A0DCF"/>
    <w:rsid w:val="4C9856C0"/>
    <w:rsid w:val="4CDC3399"/>
    <w:rsid w:val="4CF76394"/>
    <w:rsid w:val="4CFD41AB"/>
    <w:rsid w:val="4D0F74C0"/>
    <w:rsid w:val="4D1B57D7"/>
    <w:rsid w:val="4D2052BF"/>
    <w:rsid w:val="4D3273DC"/>
    <w:rsid w:val="4D336413"/>
    <w:rsid w:val="4D3512B2"/>
    <w:rsid w:val="4D3603AF"/>
    <w:rsid w:val="4D4849CA"/>
    <w:rsid w:val="4D5F576E"/>
    <w:rsid w:val="4D652033"/>
    <w:rsid w:val="4D856FD1"/>
    <w:rsid w:val="4D9574A7"/>
    <w:rsid w:val="4D9D1B55"/>
    <w:rsid w:val="4DA560A9"/>
    <w:rsid w:val="4DAC11C7"/>
    <w:rsid w:val="4DAF75F2"/>
    <w:rsid w:val="4DBC5101"/>
    <w:rsid w:val="4DD8193A"/>
    <w:rsid w:val="4DEA0CD5"/>
    <w:rsid w:val="4E0F3FEE"/>
    <w:rsid w:val="4E114181"/>
    <w:rsid w:val="4E552888"/>
    <w:rsid w:val="4E7019DE"/>
    <w:rsid w:val="4E70710D"/>
    <w:rsid w:val="4E847784"/>
    <w:rsid w:val="4E91304A"/>
    <w:rsid w:val="4EA73035"/>
    <w:rsid w:val="4ED72C0D"/>
    <w:rsid w:val="4EDE23EA"/>
    <w:rsid w:val="4EE32E1B"/>
    <w:rsid w:val="4EF84433"/>
    <w:rsid w:val="4F034CB2"/>
    <w:rsid w:val="4F077A7F"/>
    <w:rsid w:val="4F0C3DCA"/>
    <w:rsid w:val="4F572F3B"/>
    <w:rsid w:val="4F650A94"/>
    <w:rsid w:val="4F6761A3"/>
    <w:rsid w:val="4F702E66"/>
    <w:rsid w:val="4F7A23D6"/>
    <w:rsid w:val="4F7A6F48"/>
    <w:rsid w:val="4F7A6FB3"/>
    <w:rsid w:val="4F8348B0"/>
    <w:rsid w:val="4F870D6E"/>
    <w:rsid w:val="4F9F7229"/>
    <w:rsid w:val="4FBA12DD"/>
    <w:rsid w:val="4FC238FD"/>
    <w:rsid w:val="4FFC015F"/>
    <w:rsid w:val="50230177"/>
    <w:rsid w:val="502F01E1"/>
    <w:rsid w:val="50487B93"/>
    <w:rsid w:val="504D3D41"/>
    <w:rsid w:val="505B0E09"/>
    <w:rsid w:val="50613278"/>
    <w:rsid w:val="508A54A7"/>
    <w:rsid w:val="50916592"/>
    <w:rsid w:val="509F785F"/>
    <w:rsid w:val="50A941BA"/>
    <w:rsid w:val="50A97893"/>
    <w:rsid w:val="50AC4DB0"/>
    <w:rsid w:val="50D1044A"/>
    <w:rsid w:val="50D4284A"/>
    <w:rsid w:val="50D85D8E"/>
    <w:rsid w:val="50E8379F"/>
    <w:rsid w:val="50F24D4D"/>
    <w:rsid w:val="50F57F0F"/>
    <w:rsid w:val="511453B0"/>
    <w:rsid w:val="511D7636"/>
    <w:rsid w:val="514C0D70"/>
    <w:rsid w:val="514F36F8"/>
    <w:rsid w:val="51510314"/>
    <w:rsid w:val="51680E70"/>
    <w:rsid w:val="51683B3F"/>
    <w:rsid w:val="517B2E09"/>
    <w:rsid w:val="517B687A"/>
    <w:rsid w:val="518561B2"/>
    <w:rsid w:val="519717F5"/>
    <w:rsid w:val="519E6856"/>
    <w:rsid w:val="51A37AAE"/>
    <w:rsid w:val="51AD6FD3"/>
    <w:rsid w:val="51C86DC8"/>
    <w:rsid w:val="51E2531B"/>
    <w:rsid w:val="51EB7D05"/>
    <w:rsid w:val="51F37414"/>
    <w:rsid w:val="51F47979"/>
    <w:rsid w:val="522360DD"/>
    <w:rsid w:val="52481B33"/>
    <w:rsid w:val="52500BE5"/>
    <w:rsid w:val="526367F1"/>
    <w:rsid w:val="5282686A"/>
    <w:rsid w:val="52850296"/>
    <w:rsid w:val="529A6572"/>
    <w:rsid w:val="52C336FC"/>
    <w:rsid w:val="52C34EAC"/>
    <w:rsid w:val="52CA350E"/>
    <w:rsid w:val="52CE574C"/>
    <w:rsid w:val="52E10686"/>
    <w:rsid w:val="52E24988"/>
    <w:rsid w:val="52F8153A"/>
    <w:rsid w:val="52FD6BED"/>
    <w:rsid w:val="53050D0F"/>
    <w:rsid w:val="53092865"/>
    <w:rsid w:val="530A6851"/>
    <w:rsid w:val="531567F1"/>
    <w:rsid w:val="533F4A62"/>
    <w:rsid w:val="534D445A"/>
    <w:rsid w:val="534E0FD4"/>
    <w:rsid w:val="535D19C2"/>
    <w:rsid w:val="53A94A59"/>
    <w:rsid w:val="53AE61DD"/>
    <w:rsid w:val="53D52E9B"/>
    <w:rsid w:val="53E440B3"/>
    <w:rsid w:val="53EB1779"/>
    <w:rsid w:val="53F76FAF"/>
    <w:rsid w:val="53F800A3"/>
    <w:rsid w:val="541A57F0"/>
    <w:rsid w:val="541F0B2E"/>
    <w:rsid w:val="543E044E"/>
    <w:rsid w:val="546E5978"/>
    <w:rsid w:val="546F3F3C"/>
    <w:rsid w:val="547F1875"/>
    <w:rsid w:val="54876AB1"/>
    <w:rsid w:val="54B46CCA"/>
    <w:rsid w:val="54D8712B"/>
    <w:rsid w:val="54E30069"/>
    <w:rsid w:val="550E0B18"/>
    <w:rsid w:val="551340E3"/>
    <w:rsid w:val="552457CF"/>
    <w:rsid w:val="553B6B26"/>
    <w:rsid w:val="554E5098"/>
    <w:rsid w:val="555571A0"/>
    <w:rsid w:val="555A40FC"/>
    <w:rsid w:val="557E169C"/>
    <w:rsid w:val="558A1DEC"/>
    <w:rsid w:val="55A63629"/>
    <w:rsid w:val="55A76766"/>
    <w:rsid w:val="55AA0FC4"/>
    <w:rsid w:val="55B9325F"/>
    <w:rsid w:val="55BE0A48"/>
    <w:rsid w:val="55DB4208"/>
    <w:rsid w:val="55FB55AE"/>
    <w:rsid w:val="56142F0D"/>
    <w:rsid w:val="561B539A"/>
    <w:rsid w:val="56244D03"/>
    <w:rsid w:val="563374FF"/>
    <w:rsid w:val="56535DF7"/>
    <w:rsid w:val="5655566D"/>
    <w:rsid w:val="566D7ACA"/>
    <w:rsid w:val="566E4F0D"/>
    <w:rsid w:val="56702EEB"/>
    <w:rsid w:val="56741837"/>
    <w:rsid w:val="567722E6"/>
    <w:rsid w:val="56B341CC"/>
    <w:rsid w:val="56B62F34"/>
    <w:rsid w:val="56CF11DB"/>
    <w:rsid w:val="56E43EA4"/>
    <w:rsid w:val="56E77847"/>
    <w:rsid w:val="574A14DD"/>
    <w:rsid w:val="5751612E"/>
    <w:rsid w:val="5769202D"/>
    <w:rsid w:val="576B124F"/>
    <w:rsid w:val="576E3C7C"/>
    <w:rsid w:val="577B1178"/>
    <w:rsid w:val="57926F8E"/>
    <w:rsid w:val="57947440"/>
    <w:rsid w:val="57995E59"/>
    <w:rsid w:val="579A4957"/>
    <w:rsid w:val="57A57393"/>
    <w:rsid w:val="57A61FAC"/>
    <w:rsid w:val="57B76CFC"/>
    <w:rsid w:val="58017756"/>
    <w:rsid w:val="58097BFB"/>
    <w:rsid w:val="58143820"/>
    <w:rsid w:val="58143AB0"/>
    <w:rsid w:val="5830750F"/>
    <w:rsid w:val="583F1056"/>
    <w:rsid w:val="584A330B"/>
    <w:rsid w:val="585436A9"/>
    <w:rsid w:val="587D7BDE"/>
    <w:rsid w:val="58CD5AF4"/>
    <w:rsid w:val="58E01494"/>
    <w:rsid w:val="58E6744B"/>
    <w:rsid w:val="59285F44"/>
    <w:rsid w:val="59325D2D"/>
    <w:rsid w:val="594D1A95"/>
    <w:rsid w:val="59691676"/>
    <w:rsid w:val="59692342"/>
    <w:rsid w:val="597F366E"/>
    <w:rsid w:val="59925011"/>
    <w:rsid w:val="59A63ACC"/>
    <w:rsid w:val="59A80B40"/>
    <w:rsid w:val="59C02823"/>
    <w:rsid w:val="5A0824AB"/>
    <w:rsid w:val="5A5705C0"/>
    <w:rsid w:val="5A5E2B56"/>
    <w:rsid w:val="5AAC650C"/>
    <w:rsid w:val="5AAC7BE7"/>
    <w:rsid w:val="5AAE0C10"/>
    <w:rsid w:val="5AB37A9D"/>
    <w:rsid w:val="5AD138D6"/>
    <w:rsid w:val="5AE5302B"/>
    <w:rsid w:val="5AE576E2"/>
    <w:rsid w:val="5B1A5D80"/>
    <w:rsid w:val="5B1F5C6D"/>
    <w:rsid w:val="5B3B12CD"/>
    <w:rsid w:val="5B3D6FFC"/>
    <w:rsid w:val="5B4F69EE"/>
    <w:rsid w:val="5B51483E"/>
    <w:rsid w:val="5B7056B6"/>
    <w:rsid w:val="5B781020"/>
    <w:rsid w:val="5B806459"/>
    <w:rsid w:val="5B806622"/>
    <w:rsid w:val="5B836D47"/>
    <w:rsid w:val="5B8E02F5"/>
    <w:rsid w:val="5BAB0056"/>
    <w:rsid w:val="5BB007E2"/>
    <w:rsid w:val="5BC273F0"/>
    <w:rsid w:val="5BD17293"/>
    <w:rsid w:val="5BE115E6"/>
    <w:rsid w:val="5BE1723F"/>
    <w:rsid w:val="5C0608AB"/>
    <w:rsid w:val="5C101E97"/>
    <w:rsid w:val="5C121E5D"/>
    <w:rsid w:val="5C126EEB"/>
    <w:rsid w:val="5C1B2795"/>
    <w:rsid w:val="5C270BE4"/>
    <w:rsid w:val="5C29248A"/>
    <w:rsid w:val="5C2E499C"/>
    <w:rsid w:val="5C3F723A"/>
    <w:rsid w:val="5C6120B4"/>
    <w:rsid w:val="5C6E33DD"/>
    <w:rsid w:val="5C7E0DB3"/>
    <w:rsid w:val="5C8F42B9"/>
    <w:rsid w:val="5C9D6E09"/>
    <w:rsid w:val="5CA80A63"/>
    <w:rsid w:val="5CAA7053"/>
    <w:rsid w:val="5CBB40A5"/>
    <w:rsid w:val="5CC032A9"/>
    <w:rsid w:val="5CF822AE"/>
    <w:rsid w:val="5CFF2105"/>
    <w:rsid w:val="5D072FC3"/>
    <w:rsid w:val="5D094C8A"/>
    <w:rsid w:val="5D2162FA"/>
    <w:rsid w:val="5D245CBE"/>
    <w:rsid w:val="5D276675"/>
    <w:rsid w:val="5D283E15"/>
    <w:rsid w:val="5D2C0025"/>
    <w:rsid w:val="5D3669C5"/>
    <w:rsid w:val="5D4B1A9E"/>
    <w:rsid w:val="5D4E001B"/>
    <w:rsid w:val="5D5F7C1C"/>
    <w:rsid w:val="5DB3366B"/>
    <w:rsid w:val="5DC511F5"/>
    <w:rsid w:val="5DC76B6A"/>
    <w:rsid w:val="5DCB59F6"/>
    <w:rsid w:val="5DCF7DF2"/>
    <w:rsid w:val="5DEB3465"/>
    <w:rsid w:val="5DFA2053"/>
    <w:rsid w:val="5DFC6457"/>
    <w:rsid w:val="5E0F26E8"/>
    <w:rsid w:val="5E2D76D7"/>
    <w:rsid w:val="5E326DDD"/>
    <w:rsid w:val="5E3B7B9E"/>
    <w:rsid w:val="5E461920"/>
    <w:rsid w:val="5E4C1C38"/>
    <w:rsid w:val="5E4D234C"/>
    <w:rsid w:val="5E660091"/>
    <w:rsid w:val="5E685280"/>
    <w:rsid w:val="5E842EE2"/>
    <w:rsid w:val="5EA76B38"/>
    <w:rsid w:val="5EB50E22"/>
    <w:rsid w:val="5EB93902"/>
    <w:rsid w:val="5ECB3A65"/>
    <w:rsid w:val="5EDA5ECA"/>
    <w:rsid w:val="5EE96A9E"/>
    <w:rsid w:val="5F123D1C"/>
    <w:rsid w:val="5F1E7132"/>
    <w:rsid w:val="5F4471A6"/>
    <w:rsid w:val="5F4F277C"/>
    <w:rsid w:val="5F5C3AFF"/>
    <w:rsid w:val="5F5D7047"/>
    <w:rsid w:val="5F7704DD"/>
    <w:rsid w:val="5F842B1F"/>
    <w:rsid w:val="5F9D648D"/>
    <w:rsid w:val="5FAB2034"/>
    <w:rsid w:val="5FAE7DF0"/>
    <w:rsid w:val="5FBF32A3"/>
    <w:rsid w:val="5FC64B37"/>
    <w:rsid w:val="5FC94727"/>
    <w:rsid w:val="5FD12B7E"/>
    <w:rsid w:val="5FD3153E"/>
    <w:rsid w:val="5FDD040E"/>
    <w:rsid w:val="5FF22F61"/>
    <w:rsid w:val="60177D0E"/>
    <w:rsid w:val="60241842"/>
    <w:rsid w:val="605E4481"/>
    <w:rsid w:val="606A1B0E"/>
    <w:rsid w:val="6076367C"/>
    <w:rsid w:val="607D0ACA"/>
    <w:rsid w:val="607D111A"/>
    <w:rsid w:val="609A6DF4"/>
    <w:rsid w:val="609B6ABA"/>
    <w:rsid w:val="60A3353C"/>
    <w:rsid w:val="60A368F8"/>
    <w:rsid w:val="60A51261"/>
    <w:rsid w:val="60B40480"/>
    <w:rsid w:val="61282499"/>
    <w:rsid w:val="612C43AC"/>
    <w:rsid w:val="61344442"/>
    <w:rsid w:val="613C3B06"/>
    <w:rsid w:val="615413A0"/>
    <w:rsid w:val="616F45DA"/>
    <w:rsid w:val="61901969"/>
    <w:rsid w:val="61963A1D"/>
    <w:rsid w:val="61977EA8"/>
    <w:rsid w:val="61A818BF"/>
    <w:rsid w:val="61B375DE"/>
    <w:rsid w:val="61DB6242"/>
    <w:rsid w:val="61DD3880"/>
    <w:rsid w:val="61ED77C7"/>
    <w:rsid w:val="61F3479B"/>
    <w:rsid w:val="626764FE"/>
    <w:rsid w:val="62862340"/>
    <w:rsid w:val="62A629B2"/>
    <w:rsid w:val="62B15162"/>
    <w:rsid w:val="62B5726B"/>
    <w:rsid w:val="62BE1DA1"/>
    <w:rsid w:val="62D869EC"/>
    <w:rsid w:val="62F8471A"/>
    <w:rsid w:val="631A7A3E"/>
    <w:rsid w:val="631B75F2"/>
    <w:rsid w:val="632C2A9F"/>
    <w:rsid w:val="634E16A8"/>
    <w:rsid w:val="63867780"/>
    <w:rsid w:val="638A70F5"/>
    <w:rsid w:val="639E58BF"/>
    <w:rsid w:val="63A32838"/>
    <w:rsid w:val="63AB6602"/>
    <w:rsid w:val="63E86DF7"/>
    <w:rsid w:val="63F02C25"/>
    <w:rsid w:val="640A4F40"/>
    <w:rsid w:val="64360858"/>
    <w:rsid w:val="643D0D82"/>
    <w:rsid w:val="645412F8"/>
    <w:rsid w:val="646C297E"/>
    <w:rsid w:val="64826D1C"/>
    <w:rsid w:val="64946D47"/>
    <w:rsid w:val="64950D32"/>
    <w:rsid w:val="64A27E2A"/>
    <w:rsid w:val="64A6321C"/>
    <w:rsid w:val="64AA2499"/>
    <w:rsid w:val="64B159F4"/>
    <w:rsid w:val="64C0138D"/>
    <w:rsid w:val="64C6072F"/>
    <w:rsid w:val="64F556F2"/>
    <w:rsid w:val="65264F5F"/>
    <w:rsid w:val="653D3845"/>
    <w:rsid w:val="65737880"/>
    <w:rsid w:val="658C2F59"/>
    <w:rsid w:val="65903434"/>
    <w:rsid w:val="65934BDA"/>
    <w:rsid w:val="65980082"/>
    <w:rsid w:val="65A767C6"/>
    <w:rsid w:val="65AA1D2C"/>
    <w:rsid w:val="65F83979"/>
    <w:rsid w:val="660F1A1D"/>
    <w:rsid w:val="661225E0"/>
    <w:rsid w:val="6630601C"/>
    <w:rsid w:val="66327815"/>
    <w:rsid w:val="66346E97"/>
    <w:rsid w:val="663C2696"/>
    <w:rsid w:val="664E2F90"/>
    <w:rsid w:val="664F62A9"/>
    <w:rsid w:val="66560E1B"/>
    <w:rsid w:val="66587005"/>
    <w:rsid w:val="665B677A"/>
    <w:rsid w:val="665F26BC"/>
    <w:rsid w:val="666776E7"/>
    <w:rsid w:val="667B17F8"/>
    <w:rsid w:val="6685431D"/>
    <w:rsid w:val="668B5372"/>
    <w:rsid w:val="66A50A0F"/>
    <w:rsid w:val="66C65B37"/>
    <w:rsid w:val="66D43E2E"/>
    <w:rsid w:val="66F768EA"/>
    <w:rsid w:val="670923E1"/>
    <w:rsid w:val="670D434C"/>
    <w:rsid w:val="671E2B8A"/>
    <w:rsid w:val="67464207"/>
    <w:rsid w:val="6750134B"/>
    <w:rsid w:val="67677BD7"/>
    <w:rsid w:val="676E3744"/>
    <w:rsid w:val="67766015"/>
    <w:rsid w:val="67766394"/>
    <w:rsid w:val="677A22E3"/>
    <w:rsid w:val="67836E3E"/>
    <w:rsid w:val="67AD3F67"/>
    <w:rsid w:val="67B70D04"/>
    <w:rsid w:val="67BB589A"/>
    <w:rsid w:val="67C05F58"/>
    <w:rsid w:val="67CE167A"/>
    <w:rsid w:val="67D41784"/>
    <w:rsid w:val="67D67FE1"/>
    <w:rsid w:val="67F70E3E"/>
    <w:rsid w:val="67FB1724"/>
    <w:rsid w:val="680A05C6"/>
    <w:rsid w:val="68432B5A"/>
    <w:rsid w:val="68445064"/>
    <w:rsid w:val="685016D6"/>
    <w:rsid w:val="685625B3"/>
    <w:rsid w:val="68693B0B"/>
    <w:rsid w:val="686D0EB7"/>
    <w:rsid w:val="689527BC"/>
    <w:rsid w:val="689A2D47"/>
    <w:rsid w:val="68B610E4"/>
    <w:rsid w:val="68B91D93"/>
    <w:rsid w:val="68C5617C"/>
    <w:rsid w:val="68D02580"/>
    <w:rsid w:val="68DD6CA8"/>
    <w:rsid w:val="68E11C27"/>
    <w:rsid w:val="690114F9"/>
    <w:rsid w:val="69032288"/>
    <w:rsid w:val="691556CE"/>
    <w:rsid w:val="6918266F"/>
    <w:rsid w:val="693D73B4"/>
    <w:rsid w:val="694A0AE4"/>
    <w:rsid w:val="69543E98"/>
    <w:rsid w:val="6977518C"/>
    <w:rsid w:val="698B6577"/>
    <w:rsid w:val="69CA0F11"/>
    <w:rsid w:val="69D45034"/>
    <w:rsid w:val="6A245EFF"/>
    <w:rsid w:val="6A3A1326"/>
    <w:rsid w:val="6A700C39"/>
    <w:rsid w:val="6A7D3E13"/>
    <w:rsid w:val="6A8B0C72"/>
    <w:rsid w:val="6A9A37F0"/>
    <w:rsid w:val="6A9A6163"/>
    <w:rsid w:val="6A9E7B21"/>
    <w:rsid w:val="6AC061AA"/>
    <w:rsid w:val="6AC57A3D"/>
    <w:rsid w:val="6AC9023A"/>
    <w:rsid w:val="6ACB1CFF"/>
    <w:rsid w:val="6AE218A2"/>
    <w:rsid w:val="6AF3061E"/>
    <w:rsid w:val="6AFB61C4"/>
    <w:rsid w:val="6B191865"/>
    <w:rsid w:val="6B255A73"/>
    <w:rsid w:val="6B3C6514"/>
    <w:rsid w:val="6B3F39C7"/>
    <w:rsid w:val="6B5D6408"/>
    <w:rsid w:val="6B8A402C"/>
    <w:rsid w:val="6B8C7E7C"/>
    <w:rsid w:val="6B97792E"/>
    <w:rsid w:val="6BA50326"/>
    <w:rsid w:val="6BB120AC"/>
    <w:rsid w:val="6BC84B7F"/>
    <w:rsid w:val="6BDC2163"/>
    <w:rsid w:val="6C1674BB"/>
    <w:rsid w:val="6C271584"/>
    <w:rsid w:val="6C423831"/>
    <w:rsid w:val="6C4620AA"/>
    <w:rsid w:val="6C4C03E1"/>
    <w:rsid w:val="6C537F0B"/>
    <w:rsid w:val="6C5466B9"/>
    <w:rsid w:val="6C8702E3"/>
    <w:rsid w:val="6C874308"/>
    <w:rsid w:val="6C9A0215"/>
    <w:rsid w:val="6C9D37EE"/>
    <w:rsid w:val="6CAF5138"/>
    <w:rsid w:val="6CBD7228"/>
    <w:rsid w:val="6CE554B5"/>
    <w:rsid w:val="6D1A1DA9"/>
    <w:rsid w:val="6D222A1E"/>
    <w:rsid w:val="6D2A258A"/>
    <w:rsid w:val="6D2B34E0"/>
    <w:rsid w:val="6D4255C8"/>
    <w:rsid w:val="6D4E6B83"/>
    <w:rsid w:val="6D650F5B"/>
    <w:rsid w:val="6D730BA5"/>
    <w:rsid w:val="6D977511"/>
    <w:rsid w:val="6DAB248D"/>
    <w:rsid w:val="6DAD285B"/>
    <w:rsid w:val="6DC53E42"/>
    <w:rsid w:val="6DF14144"/>
    <w:rsid w:val="6DF97D5D"/>
    <w:rsid w:val="6DFA0750"/>
    <w:rsid w:val="6E1349AE"/>
    <w:rsid w:val="6E2F28AD"/>
    <w:rsid w:val="6E44398C"/>
    <w:rsid w:val="6E6102DE"/>
    <w:rsid w:val="6E6C171E"/>
    <w:rsid w:val="6E703234"/>
    <w:rsid w:val="6E726C50"/>
    <w:rsid w:val="6E775ABB"/>
    <w:rsid w:val="6E9C259F"/>
    <w:rsid w:val="6EB077E4"/>
    <w:rsid w:val="6EB17556"/>
    <w:rsid w:val="6ED06117"/>
    <w:rsid w:val="6EE642D9"/>
    <w:rsid w:val="6EE73EC2"/>
    <w:rsid w:val="6F111601"/>
    <w:rsid w:val="6F1C4AF4"/>
    <w:rsid w:val="6F2E1CA5"/>
    <w:rsid w:val="6F594E9F"/>
    <w:rsid w:val="6F5D0380"/>
    <w:rsid w:val="6F5F79CC"/>
    <w:rsid w:val="6F6C7A6F"/>
    <w:rsid w:val="6F85665F"/>
    <w:rsid w:val="6F930889"/>
    <w:rsid w:val="6F9E49B4"/>
    <w:rsid w:val="6FAC540B"/>
    <w:rsid w:val="6FBB76A2"/>
    <w:rsid w:val="6FDF5668"/>
    <w:rsid w:val="6FFB3CF1"/>
    <w:rsid w:val="6FFD73D5"/>
    <w:rsid w:val="6FFF3C87"/>
    <w:rsid w:val="70072ABA"/>
    <w:rsid w:val="70075314"/>
    <w:rsid w:val="70286915"/>
    <w:rsid w:val="702C4A78"/>
    <w:rsid w:val="70681033"/>
    <w:rsid w:val="706F582F"/>
    <w:rsid w:val="70990B86"/>
    <w:rsid w:val="70A77184"/>
    <w:rsid w:val="70C931A5"/>
    <w:rsid w:val="710031D7"/>
    <w:rsid w:val="71074512"/>
    <w:rsid w:val="711B3C14"/>
    <w:rsid w:val="711D3EEB"/>
    <w:rsid w:val="711E58D6"/>
    <w:rsid w:val="712117D0"/>
    <w:rsid w:val="71552AF8"/>
    <w:rsid w:val="71661B70"/>
    <w:rsid w:val="7167232F"/>
    <w:rsid w:val="718F0875"/>
    <w:rsid w:val="71934E6D"/>
    <w:rsid w:val="71A8371F"/>
    <w:rsid w:val="71AF0510"/>
    <w:rsid w:val="71C64371"/>
    <w:rsid w:val="71D80AD1"/>
    <w:rsid w:val="71DF592A"/>
    <w:rsid w:val="71F169C1"/>
    <w:rsid w:val="71F51D29"/>
    <w:rsid w:val="71FB55D8"/>
    <w:rsid w:val="71FD717C"/>
    <w:rsid w:val="725A0B8F"/>
    <w:rsid w:val="7265179E"/>
    <w:rsid w:val="726C4E39"/>
    <w:rsid w:val="726D1CB4"/>
    <w:rsid w:val="727302C9"/>
    <w:rsid w:val="72777D3A"/>
    <w:rsid w:val="72867474"/>
    <w:rsid w:val="729C2A1A"/>
    <w:rsid w:val="72A95E38"/>
    <w:rsid w:val="72CB612D"/>
    <w:rsid w:val="72D1162C"/>
    <w:rsid w:val="72D845D7"/>
    <w:rsid w:val="72D91F8B"/>
    <w:rsid w:val="72DE1584"/>
    <w:rsid w:val="72F52066"/>
    <w:rsid w:val="7301690F"/>
    <w:rsid w:val="730557C4"/>
    <w:rsid w:val="73092820"/>
    <w:rsid w:val="73195938"/>
    <w:rsid w:val="731E3C64"/>
    <w:rsid w:val="73295A8B"/>
    <w:rsid w:val="73410CFE"/>
    <w:rsid w:val="73613191"/>
    <w:rsid w:val="73710E03"/>
    <w:rsid w:val="737307F5"/>
    <w:rsid w:val="7375253B"/>
    <w:rsid w:val="73862710"/>
    <w:rsid w:val="73A25968"/>
    <w:rsid w:val="73B00114"/>
    <w:rsid w:val="73BF5978"/>
    <w:rsid w:val="73CF7444"/>
    <w:rsid w:val="73E40B00"/>
    <w:rsid w:val="73EA3A06"/>
    <w:rsid w:val="73EC439D"/>
    <w:rsid w:val="73EE49C0"/>
    <w:rsid w:val="73F25711"/>
    <w:rsid w:val="74020EC9"/>
    <w:rsid w:val="743F1469"/>
    <w:rsid w:val="74552E5A"/>
    <w:rsid w:val="74562921"/>
    <w:rsid w:val="745739A0"/>
    <w:rsid w:val="746209AE"/>
    <w:rsid w:val="74666EAB"/>
    <w:rsid w:val="746F6E0C"/>
    <w:rsid w:val="747336A6"/>
    <w:rsid w:val="74A33D84"/>
    <w:rsid w:val="74AE6979"/>
    <w:rsid w:val="74BE251E"/>
    <w:rsid w:val="74D57F84"/>
    <w:rsid w:val="74DB71C9"/>
    <w:rsid w:val="74DC6CF5"/>
    <w:rsid w:val="74F14CCD"/>
    <w:rsid w:val="74F933E7"/>
    <w:rsid w:val="75056B63"/>
    <w:rsid w:val="750D2A67"/>
    <w:rsid w:val="750D3502"/>
    <w:rsid w:val="752C6004"/>
    <w:rsid w:val="754B0F34"/>
    <w:rsid w:val="75622080"/>
    <w:rsid w:val="757C587E"/>
    <w:rsid w:val="75972477"/>
    <w:rsid w:val="75986E64"/>
    <w:rsid w:val="759F07B8"/>
    <w:rsid w:val="75C17886"/>
    <w:rsid w:val="75C25ACB"/>
    <w:rsid w:val="75DE00CC"/>
    <w:rsid w:val="75DF5CA3"/>
    <w:rsid w:val="75FD3EFB"/>
    <w:rsid w:val="7640389D"/>
    <w:rsid w:val="7654425F"/>
    <w:rsid w:val="76597605"/>
    <w:rsid w:val="765B2B37"/>
    <w:rsid w:val="766A2915"/>
    <w:rsid w:val="767E1D68"/>
    <w:rsid w:val="76905759"/>
    <w:rsid w:val="769C18D3"/>
    <w:rsid w:val="76AB0F28"/>
    <w:rsid w:val="76B90575"/>
    <w:rsid w:val="76BB0E69"/>
    <w:rsid w:val="76DD1B52"/>
    <w:rsid w:val="770803C8"/>
    <w:rsid w:val="771462E4"/>
    <w:rsid w:val="775C13BB"/>
    <w:rsid w:val="77640ED0"/>
    <w:rsid w:val="776922F9"/>
    <w:rsid w:val="77843410"/>
    <w:rsid w:val="778660CB"/>
    <w:rsid w:val="778C5E2B"/>
    <w:rsid w:val="778E0744"/>
    <w:rsid w:val="77972CAD"/>
    <w:rsid w:val="779D2B54"/>
    <w:rsid w:val="779F746F"/>
    <w:rsid w:val="77B01ECD"/>
    <w:rsid w:val="77DF34CD"/>
    <w:rsid w:val="77E90F08"/>
    <w:rsid w:val="780C5B6B"/>
    <w:rsid w:val="780F702B"/>
    <w:rsid w:val="78157245"/>
    <w:rsid w:val="781C2DE5"/>
    <w:rsid w:val="782764D3"/>
    <w:rsid w:val="78366A40"/>
    <w:rsid w:val="78582831"/>
    <w:rsid w:val="786B5AA1"/>
    <w:rsid w:val="787A2D5B"/>
    <w:rsid w:val="78925ECB"/>
    <w:rsid w:val="789E6E90"/>
    <w:rsid w:val="78A1522A"/>
    <w:rsid w:val="78AE1331"/>
    <w:rsid w:val="78B32D46"/>
    <w:rsid w:val="78B81DE9"/>
    <w:rsid w:val="78BF57E9"/>
    <w:rsid w:val="78C13181"/>
    <w:rsid w:val="78CC358A"/>
    <w:rsid w:val="78EB76CE"/>
    <w:rsid w:val="791879BC"/>
    <w:rsid w:val="792215BD"/>
    <w:rsid w:val="79253FE4"/>
    <w:rsid w:val="79316D2C"/>
    <w:rsid w:val="79353B22"/>
    <w:rsid w:val="793A6B04"/>
    <w:rsid w:val="793D17DA"/>
    <w:rsid w:val="795553D3"/>
    <w:rsid w:val="79646266"/>
    <w:rsid w:val="796E37EA"/>
    <w:rsid w:val="79723BD3"/>
    <w:rsid w:val="7981453F"/>
    <w:rsid w:val="7987569D"/>
    <w:rsid w:val="799F63EB"/>
    <w:rsid w:val="79AA0CB3"/>
    <w:rsid w:val="79D83FEE"/>
    <w:rsid w:val="7A0C2900"/>
    <w:rsid w:val="7A0C403E"/>
    <w:rsid w:val="7A177F47"/>
    <w:rsid w:val="7A270537"/>
    <w:rsid w:val="7A37424E"/>
    <w:rsid w:val="7A385A43"/>
    <w:rsid w:val="7A64054D"/>
    <w:rsid w:val="7A667B1F"/>
    <w:rsid w:val="7A675D69"/>
    <w:rsid w:val="7A7106B5"/>
    <w:rsid w:val="7AA05CA5"/>
    <w:rsid w:val="7AA71DA9"/>
    <w:rsid w:val="7AD460DB"/>
    <w:rsid w:val="7AE479A8"/>
    <w:rsid w:val="7AE66DC3"/>
    <w:rsid w:val="7AE9363F"/>
    <w:rsid w:val="7AEB1429"/>
    <w:rsid w:val="7AF44AD1"/>
    <w:rsid w:val="7AF62BC5"/>
    <w:rsid w:val="7AFA5487"/>
    <w:rsid w:val="7B0A0B81"/>
    <w:rsid w:val="7B0E3E23"/>
    <w:rsid w:val="7B1C2006"/>
    <w:rsid w:val="7B261349"/>
    <w:rsid w:val="7B2630C4"/>
    <w:rsid w:val="7B2E1EF7"/>
    <w:rsid w:val="7B305C03"/>
    <w:rsid w:val="7B395D9A"/>
    <w:rsid w:val="7B3F07D3"/>
    <w:rsid w:val="7B484AF9"/>
    <w:rsid w:val="7B87355D"/>
    <w:rsid w:val="7B8E6D73"/>
    <w:rsid w:val="7BA62001"/>
    <w:rsid w:val="7BB2536D"/>
    <w:rsid w:val="7BBB7E5A"/>
    <w:rsid w:val="7BC501AB"/>
    <w:rsid w:val="7BCF069E"/>
    <w:rsid w:val="7BE20185"/>
    <w:rsid w:val="7BE57F12"/>
    <w:rsid w:val="7BE67AD9"/>
    <w:rsid w:val="7C1B6DE2"/>
    <w:rsid w:val="7C507E97"/>
    <w:rsid w:val="7C6D7495"/>
    <w:rsid w:val="7C7B5C2D"/>
    <w:rsid w:val="7C825B9A"/>
    <w:rsid w:val="7C853F6F"/>
    <w:rsid w:val="7C8907BF"/>
    <w:rsid w:val="7C9D6062"/>
    <w:rsid w:val="7CA73274"/>
    <w:rsid w:val="7CA97A31"/>
    <w:rsid w:val="7CB324DB"/>
    <w:rsid w:val="7CB87013"/>
    <w:rsid w:val="7CCB2642"/>
    <w:rsid w:val="7CCE3B1C"/>
    <w:rsid w:val="7CE1629A"/>
    <w:rsid w:val="7CE432FE"/>
    <w:rsid w:val="7CE5198D"/>
    <w:rsid w:val="7CEA2D83"/>
    <w:rsid w:val="7D1F201E"/>
    <w:rsid w:val="7D2F6C4A"/>
    <w:rsid w:val="7D470068"/>
    <w:rsid w:val="7D807EAB"/>
    <w:rsid w:val="7D8713C0"/>
    <w:rsid w:val="7D9D644F"/>
    <w:rsid w:val="7DB76764"/>
    <w:rsid w:val="7DBC216A"/>
    <w:rsid w:val="7DC3720D"/>
    <w:rsid w:val="7DE85FF9"/>
    <w:rsid w:val="7DEA3729"/>
    <w:rsid w:val="7DFE3C94"/>
    <w:rsid w:val="7DFF242B"/>
    <w:rsid w:val="7E4A3E7E"/>
    <w:rsid w:val="7E545869"/>
    <w:rsid w:val="7E6E7A94"/>
    <w:rsid w:val="7E765222"/>
    <w:rsid w:val="7E7C40C7"/>
    <w:rsid w:val="7E8848CA"/>
    <w:rsid w:val="7EA70B52"/>
    <w:rsid w:val="7EE54613"/>
    <w:rsid w:val="7F0813FB"/>
    <w:rsid w:val="7F235463"/>
    <w:rsid w:val="7F25373D"/>
    <w:rsid w:val="7F2F5A7B"/>
    <w:rsid w:val="7F404BF5"/>
    <w:rsid w:val="7F471827"/>
    <w:rsid w:val="7F481E88"/>
    <w:rsid w:val="7F5150C8"/>
    <w:rsid w:val="7F6E33F0"/>
    <w:rsid w:val="7F721FC7"/>
    <w:rsid w:val="7F7942C6"/>
    <w:rsid w:val="7F7D6B7D"/>
    <w:rsid w:val="7FB54EE3"/>
    <w:rsid w:val="7FDB569F"/>
    <w:rsid w:val="7FEB381A"/>
    <w:rsid w:val="7FFD01F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9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qFormat="1" w:uiPriority="99"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37"/>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styleId="3">
    <w:name w:val="heading 1"/>
    <w:basedOn w:val="1"/>
    <w:next w:val="1"/>
    <w:qFormat/>
    <w:uiPriority w:val="0"/>
    <w:pPr>
      <w:keepNext/>
      <w:keepLines/>
      <w:spacing w:after="480" w:line="360" w:lineRule="atLeast"/>
      <w:jc w:val="center"/>
      <w:outlineLvl w:val="0"/>
    </w:pPr>
    <w:rPr>
      <w:rFonts w:ascii="黑体" w:eastAsia="黑体"/>
      <w:b/>
      <w:kern w:val="44"/>
      <w:sz w:val="32"/>
    </w:rPr>
  </w:style>
  <w:style w:type="paragraph" w:styleId="4">
    <w:name w:val="heading 2"/>
    <w:basedOn w:val="1"/>
    <w:next w:val="1"/>
    <w:qFormat/>
    <w:uiPriority w:val="0"/>
    <w:pPr>
      <w:keepNext/>
      <w:keepLines/>
      <w:autoSpaceDE w:val="0"/>
      <w:autoSpaceDN w:val="0"/>
      <w:spacing w:before="260" w:after="260" w:line="240" w:lineRule="auto"/>
      <w:outlineLvl w:val="1"/>
    </w:pPr>
    <w:rPr>
      <w:rFonts w:ascii="宋体"/>
      <w:b/>
      <w:sz w:val="24"/>
    </w:rPr>
  </w:style>
  <w:style w:type="paragraph" w:styleId="5">
    <w:name w:val="heading 3"/>
    <w:basedOn w:val="1"/>
    <w:next w:val="1"/>
    <w:qFormat/>
    <w:uiPriority w:val="0"/>
    <w:pPr>
      <w:keepNext/>
      <w:keepLines/>
      <w:autoSpaceDE w:val="0"/>
      <w:autoSpaceDN w:val="0"/>
      <w:spacing w:before="260" w:after="260" w:line="416" w:lineRule="atLeast"/>
      <w:ind w:left="397"/>
      <w:outlineLvl w:val="2"/>
    </w:pPr>
    <w:rPr>
      <w:rFonts w:ascii="宋体"/>
      <w:b/>
      <w:sz w:val="32"/>
    </w:rPr>
  </w:style>
  <w:style w:type="paragraph" w:styleId="6">
    <w:name w:val="heading 4"/>
    <w:basedOn w:val="1"/>
    <w:next w:val="1"/>
    <w:qFormat/>
    <w:uiPriority w:val="0"/>
    <w:pPr>
      <w:keepNext/>
      <w:keepLines/>
      <w:spacing w:before="120" w:after="120" w:line="400" w:lineRule="atLeast"/>
      <w:jc w:val="left"/>
      <w:outlineLvl w:val="3"/>
    </w:pPr>
    <w:rPr>
      <w:rFonts w:ascii="宋体" w:hAnsi="Arial"/>
      <w:sz w:val="24"/>
    </w:rPr>
  </w:style>
  <w:style w:type="paragraph" w:styleId="7">
    <w:name w:val="heading 5"/>
    <w:basedOn w:val="1"/>
    <w:next w:val="1"/>
    <w:qFormat/>
    <w:uiPriority w:val="0"/>
    <w:pPr>
      <w:keepNext/>
      <w:keepLines/>
      <w:spacing w:before="280" w:after="290" w:line="376" w:lineRule="atLeast"/>
      <w:outlineLvl w:val="4"/>
    </w:pPr>
    <w:rPr>
      <w:b/>
      <w:sz w:val="24"/>
    </w:rPr>
  </w:style>
  <w:style w:type="paragraph" w:styleId="8">
    <w:name w:val="heading 6"/>
    <w:basedOn w:val="1"/>
    <w:next w:val="1"/>
    <w:qFormat/>
    <w:uiPriority w:val="0"/>
    <w:pPr>
      <w:keepNext/>
      <w:keepLines/>
      <w:spacing w:before="240" w:after="64" w:line="320" w:lineRule="atLeast"/>
      <w:outlineLvl w:val="5"/>
    </w:pPr>
    <w:rPr>
      <w:rFonts w:ascii="Arial" w:hAnsi="Arial" w:eastAsia="黑体"/>
      <w:b/>
      <w:sz w:val="24"/>
    </w:rPr>
  </w:style>
  <w:style w:type="paragraph" w:styleId="9">
    <w:name w:val="heading 7"/>
    <w:basedOn w:val="1"/>
    <w:next w:val="1"/>
    <w:qFormat/>
    <w:uiPriority w:val="0"/>
    <w:pPr>
      <w:keepNext/>
      <w:keepLines/>
      <w:spacing w:before="240" w:after="64" w:line="320" w:lineRule="atLeast"/>
      <w:outlineLvl w:val="6"/>
    </w:pPr>
    <w:rPr>
      <w:b/>
      <w:sz w:val="24"/>
    </w:rPr>
  </w:style>
  <w:style w:type="paragraph" w:styleId="10">
    <w:name w:val="heading 8"/>
    <w:basedOn w:val="1"/>
    <w:next w:val="1"/>
    <w:qFormat/>
    <w:uiPriority w:val="0"/>
    <w:pPr>
      <w:keepNext/>
      <w:keepLines/>
      <w:spacing w:before="240" w:after="64" w:line="320" w:lineRule="atLeast"/>
      <w:outlineLvl w:val="7"/>
    </w:pPr>
    <w:rPr>
      <w:rFonts w:ascii="Arial" w:hAnsi="Arial" w:eastAsia="黑体"/>
      <w:sz w:val="24"/>
    </w:rPr>
  </w:style>
  <w:style w:type="paragraph" w:styleId="11">
    <w:name w:val="heading 9"/>
    <w:basedOn w:val="1"/>
    <w:next w:val="1"/>
    <w:qFormat/>
    <w:uiPriority w:val="0"/>
    <w:pPr>
      <w:keepNext/>
      <w:keepLines/>
      <w:spacing w:before="240" w:after="64" w:line="320" w:lineRule="atLeast"/>
      <w:outlineLvl w:val="8"/>
    </w:pPr>
    <w:rPr>
      <w:rFonts w:ascii="Arial" w:hAnsi="Arial" w:eastAsia="黑体"/>
    </w:rPr>
  </w:style>
  <w:style w:type="character" w:default="1" w:styleId="37">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customStyle="1" w:styleId="2">
    <w:name w:val="报告书正文"/>
    <w:basedOn w:val="1"/>
    <w:link w:val="46"/>
    <w:qFormat/>
    <w:uiPriority w:val="0"/>
    <w:pPr>
      <w:adjustRightInd/>
      <w:spacing w:line="300" w:lineRule="auto"/>
      <w:ind w:firstLine="480" w:firstLineChars="200"/>
      <w:textAlignment w:val="auto"/>
    </w:pPr>
    <w:rPr>
      <w:rFonts w:ascii="宋体" w:hAnsi="宋体"/>
      <w:kern w:val="2"/>
      <w:sz w:val="24"/>
      <w:szCs w:val="24"/>
    </w:rPr>
  </w:style>
  <w:style w:type="paragraph" w:styleId="12">
    <w:name w:val="Normal Indent"/>
    <w:basedOn w:val="1"/>
    <w:link w:val="49"/>
    <w:unhideWhenUsed/>
    <w:qFormat/>
    <w:uiPriority w:val="0"/>
    <w:pPr>
      <w:widowControl/>
      <w:snapToGrid w:val="0"/>
      <w:spacing w:after="200" w:line="240" w:lineRule="auto"/>
      <w:ind w:firstLine="420" w:firstLineChars="200"/>
      <w:jc w:val="left"/>
      <w:textAlignment w:val="auto"/>
    </w:pPr>
    <w:rPr>
      <w:rFonts w:ascii="Tahoma" w:hAnsi="Tahoma" w:eastAsia="微软雅黑"/>
      <w:sz w:val="22"/>
      <w:szCs w:val="22"/>
    </w:rPr>
  </w:style>
  <w:style w:type="paragraph" w:styleId="13">
    <w:name w:val="Document Map"/>
    <w:basedOn w:val="1"/>
    <w:link w:val="63"/>
    <w:qFormat/>
    <w:uiPriority w:val="0"/>
    <w:rPr>
      <w:rFonts w:ascii="宋体"/>
      <w:sz w:val="18"/>
      <w:szCs w:val="18"/>
    </w:rPr>
  </w:style>
  <w:style w:type="paragraph" w:styleId="14">
    <w:name w:val="annotation text"/>
    <w:basedOn w:val="1"/>
    <w:link w:val="60"/>
    <w:qFormat/>
    <w:uiPriority w:val="0"/>
    <w:pPr>
      <w:jc w:val="left"/>
    </w:pPr>
  </w:style>
  <w:style w:type="paragraph" w:styleId="15">
    <w:name w:val="Body Text"/>
    <w:basedOn w:val="1"/>
    <w:link w:val="108"/>
    <w:qFormat/>
    <w:uiPriority w:val="0"/>
    <w:pPr>
      <w:spacing w:line="312" w:lineRule="auto"/>
    </w:pPr>
    <w:rPr>
      <w:sz w:val="24"/>
    </w:rPr>
  </w:style>
  <w:style w:type="paragraph" w:styleId="16">
    <w:name w:val="Body Text Indent"/>
    <w:basedOn w:val="1"/>
    <w:qFormat/>
    <w:uiPriority w:val="0"/>
    <w:pPr>
      <w:spacing w:line="312" w:lineRule="auto"/>
      <w:ind w:firstLine="415" w:firstLineChars="173"/>
    </w:pPr>
    <w:rPr>
      <w:sz w:val="24"/>
    </w:rPr>
  </w:style>
  <w:style w:type="paragraph" w:styleId="17">
    <w:name w:val="Block Text"/>
    <w:basedOn w:val="1"/>
    <w:qFormat/>
    <w:uiPriority w:val="0"/>
    <w:pPr>
      <w:spacing w:line="240" w:lineRule="auto"/>
      <w:ind w:left="-1" w:leftChars="-52" w:right="-107" w:rightChars="-51" w:hanging="108" w:hangingChars="45"/>
      <w:jc w:val="center"/>
    </w:pPr>
    <w:rPr>
      <w:rFonts w:ascii="宋体"/>
      <w:sz w:val="24"/>
    </w:rPr>
  </w:style>
  <w:style w:type="paragraph" w:styleId="18">
    <w:name w:val="toc 3"/>
    <w:basedOn w:val="1"/>
    <w:next w:val="1"/>
    <w:qFormat/>
    <w:uiPriority w:val="39"/>
    <w:pPr>
      <w:ind w:left="840" w:leftChars="400"/>
    </w:pPr>
  </w:style>
  <w:style w:type="paragraph" w:styleId="19">
    <w:name w:val="Plain Text"/>
    <w:basedOn w:val="1"/>
    <w:link w:val="93"/>
    <w:qFormat/>
    <w:uiPriority w:val="99"/>
    <w:pPr>
      <w:adjustRightInd/>
      <w:spacing w:line="240" w:lineRule="auto"/>
      <w:textAlignment w:val="auto"/>
    </w:pPr>
    <w:rPr>
      <w:rFonts w:ascii="宋体" w:hAnsi="Courier New"/>
      <w:kern w:val="2"/>
    </w:rPr>
  </w:style>
  <w:style w:type="paragraph" w:styleId="20">
    <w:name w:val="Date"/>
    <w:basedOn w:val="1"/>
    <w:next w:val="1"/>
    <w:qFormat/>
    <w:uiPriority w:val="0"/>
    <w:pPr>
      <w:adjustRightInd/>
      <w:spacing w:line="240" w:lineRule="auto"/>
      <w:textAlignment w:val="auto"/>
    </w:pPr>
    <w:rPr>
      <w:kern w:val="2"/>
      <w:sz w:val="24"/>
    </w:rPr>
  </w:style>
  <w:style w:type="paragraph" w:styleId="21">
    <w:name w:val="Body Text Indent 2"/>
    <w:basedOn w:val="1"/>
    <w:qFormat/>
    <w:uiPriority w:val="0"/>
    <w:pPr>
      <w:spacing w:line="288" w:lineRule="auto"/>
      <w:ind w:firstLine="540" w:firstLineChars="225"/>
    </w:pPr>
    <w:rPr>
      <w:sz w:val="24"/>
    </w:rPr>
  </w:style>
  <w:style w:type="paragraph" w:styleId="22">
    <w:name w:val="Balloon Text"/>
    <w:basedOn w:val="1"/>
    <w:link w:val="59"/>
    <w:qFormat/>
    <w:uiPriority w:val="0"/>
    <w:pPr>
      <w:spacing w:line="240" w:lineRule="auto"/>
    </w:pPr>
    <w:rPr>
      <w:sz w:val="18"/>
      <w:szCs w:val="18"/>
    </w:rPr>
  </w:style>
  <w:style w:type="paragraph" w:styleId="23">
    <w:name w:val="footer"/>
    <w:basedOn w:val="1"/>
    <w:link w:val="53"/>
    <w:qFormat/>
    <w:uiPriority w:val="99"/>
    <w:pPr>
      <w:tabs>
        <w:tab w:val="center" w:pos="4153"/>
        <w:tab w:val="right" w:pos="8306"/>
      </w:tabs>
      <w:snapToGrid w:val="0"/>
      <w:spacing w:line="240" w:lineRule="atLeast"/>
      <w:jc w:val="left"/>
    </w:pPr>
    <w:rPr>
      <w:sz w:val="18"/>
      <w:szCs w:val="18"/>
    </w:rPr>
  </w:style>
  <w:style w:type="paragraph" w:styleId="24">
    <w:name w:val="header"/>
    <w:basedOn w:val="1"/>
    <w:link w:val="56"/>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25">
    <w:name w:val="toc 1"/>
    <w:basedOn w:val="1"/>
    <w:next w:val="1"/>
    <w:qFormat/>
    <w:uiPriority w:val="39"/>
  </w:style>
  <w:style w:type="paragraph" w:styleId="26">
    <w:name w:val="List"/>
    <w:basedOn w:val="1"/>
    <w:qFormat/>
    <w:uiPriority w:val="0"/>
    <w:pPr>
      <w:ind w:left="200" w:hanging="200" w:hangingChars="200"/>
    </w:pPr>
  </w:style>
  <w:style w:type="paragraph" w:styleId="27">
    <w:name w:val="Body Text Indent 3"/>
    <w:basedOn w:val="1"/>
    <w:qFormat/>
    <w:uiPriority w:val="0"/>
    <w:pPr>
      <w:spacing w:beforeLines="50" w:line="360" w:lineRule="auto"/>
      <w:ind w:firstLine="482"/>
    </w:pPr>
    <w:rPr>
      <w:sz w:val="24"/>
    </w:rPr>
  </w:style>
  <w:style w:type="paragraph" w:styleId="28">
    <w:name w:val="toc 2"/>
    <w:basedOn w:val="1"/>
    <w:next w:val="1"/>
    <w:unhideWhenUsed/>
    <w:qFormat/>
    <w:uiPriority w:val="99"/>
    <w:pPr>
      <w:adjustRightInd/>
      <w:spacing w:before="100" w:beforeAutospacing="1" w:after="100" w:afterAutospacing="1" w:line="400" w:lineRule="exact"/>
      <w:ind w:left="420" w:leftChars="200"/>
      <w:textAlignment w:val="auto"/>
    </w:pPr>
    <w:rPr>
      <w:rFonts w:ascii="仿宋_GB2312" w:hAnsi="宋体" w:eastAsia="仿宋_GB2312" w:cs="宋体"/>
      <w:kern w:val="2"/>
      <w:sz w:val="24"/>
      <w:szCs w:val="24"/>
    </w:rPr>
  </w:style>
  <w:style w:type="paragraph" w:styleId="29">
    <w:name w:val="Body Text 2"/>
    <w:basedOn w:val="1"/>
    <w:qFormat/>
    <w:uiPriority w:val="0"/>
    <w:pPr>
      <w:adjustRightInd/>
      <w:spacing w:line="336" w:lineRule="auto"/>
      <w:textAlignment w:val="auto"/>
    </w:pPr>
    <w:rPr>
      <w:spacing w:val="10"/>
      <w:kern w:val="2"/>
      <w:sz w:val="24"/>
    </w:rPr>
  </w:style>
  <w:style w:type="paragraph" w:styleId="30">
    <w:name w:val="Normal (Web)"/>
    <w:basedOn w:val="1"/>
    <w:unhideWhenUsed/>
    <w:qFormat/>
    <w:uiPriority w:val="99"/>
    <w:pPr>
      <w:widowControl/>
      <w:adjustRightInd/>
      <w:spacing w:before="100" w:beforeAutospacing="1" w:after="100" w:afterAutospacing="1" w:line="240" w:lineRule="auto"/>
      <w:jc w:val="left"/>
      <w:textAlignment w:val="auto"/>
    </w:pPr>
    <w:rPr>
      <w:rFonts w:ascii="宋体" w:hAnsi="宋体" w:cs="宋体"/>
      <w:sz w:val="24"/>
      <w:szCs w:val="24"/>
    </w:rPr>
  </w:style>
  <w:style w:type="paragraph" w:styleId="31">
    <w:name w:val="annotation subject"/>
    <w:basedOn w:val="14"/>
    <w:next w:val="14"/>
    <w:link w:val="55"/>
    <w:unhideWhenUsed/>
    <w:qFormat/>
    <w:uiPriority w:val="99"/>
    <w:pPr>
      <w:adjustRightInd/>
      <w:spacing w:line="360" w:lineRule="auto"/>
      <w:ind w:firstLine="482"/>
      <w:textAlignment w:val="auto"/>
    </w:pPr>
    <w:rPr>
      <w:b/>
      <w:bCs/>
      <w:kern w:val="2"/>
      <w:szCs w:val="22"/>
    </w:rPr>
  </w:style>
  <w:style w:type="paragraph" w:styleId="32">
    <w:name w:val="Body Text First Indent"/>
    <w:basedOn w:val="15"/>
    <w:link w:val="109"/>
    <w:qFormat/>
    <w:uiPriority w:val="0"/>
    <w:pPr>
      <w:spacing w:after="120" w:line="312" w:lineRule="atLeast"/>
      <w:ind w:firstLine="420" w:firstLineChars="100"/>
    </w:pPr>
    <w:rPr>
      <w:sz w:val="21"/>
    </w:rPr>
  </w:style>
  <w:style w:type="table" w:styleId="34">
    <w:name w:val="Table Grid"/>
    <w:basedOn w:val="33"/>
    <w:qFormat/>
    <w:uiPriority w:val="99"/>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5">
    <w:name w:val="Table Theme"/>
    <w:basedOn w:val="33"/>
    <w:qFormat/>
    <w:uiPriority w:val="0"/>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6">
    <w:name w:val="Table Classic 1"/>
    <w:basedOn w:val="33"/>
    <w:unhideWhenUsed/>
    <w:qFormat/>
    <w:uiPriority w:val="99"/>
    <w:pPr>
      <w:widowControl w:val="0"/>
      <w:jc w:val="both"/>
    </w:pPr>
    <w:rPr>
      <w:rFonts w:eastAsia="Times New Roman"/>
    </w:rPr>
    <w:tblPr>
      <w:tblBorders>
        <w:top w:val="single" w:color="000000" w:sz="12" w:space="0"/>
        <w:bottom w:val="single" w:color="000000" w:sz="12" w:space="0"/>
      </w:tblBorders>
      <w:tblCellMar>
        <w:top w:w="0" w:type="dxa"/>
        <w:left w:w="108" w:type="dxa"/>
        <w:bottom w:w="0" w:type="dxa"/>
        <w:right w:w="108" w:type="dxa"/>
      </w:tblCellMar>
    </w:tblPr>
    <w:tblStylePr w:type="firstRow">
      <w:rPr>
        <w:rFonts w:hint="default" w:ascii="Times New Roman" w:hAnsi="Times New Roman" w:cs="Times New Roman"/>
        <w:i/>
        <w:iCs/>
      </w:rPr>
      <w:tblPr/>
      <w:tcPr>
        <w:tcBorders>
          <w:bottom w:val="single" w:color="000000" w:sz="6" w:space="0"/>
          <w:tl2br w:val="nil"/>
          <w:tr2bl w:val="nil"/>
        </w:tcBorders>
      </w:tcPr>
    </w:tblStylePr>
    <w:tblStylePr w:type="lastRow">
      <w:rPr>
        <w:rFonts w:hint="default" w:ascii="Times New Roman" w:hAnsi="Times New Roman" w:cs="Times New Roman"/>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rFonts w:hint="default" w:ascii="Times New Roman" w:hAnsi="Times New Roman" w:cs="Times New Roman"/>
        <w:b/>
        <w:bCs/>
        <w:i w:val="0"/>
        <w:iCs w:val="0"/>
      </w:rPr>
      <w:tblPr/>
      <w:tcPr>
        <w:tcBorders>
          <w:tl2br w:val="nil"/>
          <w:tr2bl w:val="nil"/>
        </w:tcBorders>
      </w:tcPr>
    </w:tblStylePr>
    <w:tblStylePr w:type="swCell">
      <w:rPr>
        <w:rFonts w:hint="default" w:ascii="Times New Roman" w:hAnsi="Times New Roman" w:cs="Times New Roman"/>
        <w:b/>
        <w:bCs/>
      </w:rPr>
      <w:tblPr/>
      <w:tcPr>
        <w:tcBorders>
          <w:tl2br w:val="nil"/>
          <w:tr2bl w:val="nil"/>
        </w:tcBorders>
      </w:tcPr>
    </w:tblStylePr>
  </w:style>
  <w:style w:type="character" w:styleId="38">
    <w:name w:val="page number"/>
    <w:basedOn w:val="37"/>
    <w:qFormat/>
    <w:uiPriority w:val="0"/>
  </w:style>
  <w:style w:type="character" w:styleId="39">
    <w:name w:val="Hyperlink"/>
    <w:basedOn w:val="37"/>
    <w:unhideWhenUsed/>
    <w:qFormat/>
    <w:uiPriority w:val="99"/>
    <w:rPr>
      <w:color w:val="0000FF"/>
      <w:u w:val="single"/>
    </w:rPr>
  </w:style>
  <w:style w:type="character" w:styleId="40">
    <w:name w:val="annotation reference"/>
    <w:qFormat/>
    <w:uiPriority w:val="0"/>
    <w:rPr>
      <w:sz w:val="21"/>
      <w:szCs w:val="21"/>
    </w:rPr>
  </w:style>
  <w:style w:type="paragraph" w:customStyle="1" w:styleId="4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2">
    <w:name w:val="段"/>
    <w:next w:val="1"/>
    <w:qFormat/>
    <w:uiPriority w:val="0"/>
    <w:pPr>
      <w:autoSpaceDE w:val="0"/>
      <w:autoSpaceDN w:val="0"/>
      <w:ind w:firstLine="200" w:firstLineChars="200"/>
      <w:jc w:val="both"/>
    </w:pPr>
    <w:rPr>
      <w:rFonts w:ascii="Times New Roman" w:hAnsi="Calibri" w:eastAsia="Times New Roman" w:cs="宋体"/>
      <w:sz w:val="21"/>
      <w:szCs w:val="22"/>
      <w:lang w:val="en-US" w:eastAsia="zh-CN" w:bidi="ar-SA"/>
    </w:rPr>
  </w:style>
  <w:style w:type="character" w:customStyle="1" w:styleId="43">
    <w:name w:val="正文标准 Char"/>
    <w:link w:val="44"/>
    <w:qFormat/>
    <w:uiPriority w:val="0"/>
    <w:rPr>
      <w:rFonts w:cs="宋体"/>
      <w:kern w:val="2"/>
      <w:sz w:val="28"/>
    </w:rPr>
  </w:style>
  <w:style w:type="paragraph" w:customStyle="1" w:styleId="44">
    <w:name w:val="正文标准"/>
    <w:basedOn w:val="1"/>
    <w:link w:val="43"/>
    <w:qFormat/>
    <w:uiPriority w:val="0"/>
    <w:pPr>
      <w:adjustRightInd/>
      <w:spacing w:line="240" w:lineRule="auto"/>
      <w:ind w:firstLine="560" w:firstLineChars="200"/>
      <w:textAlignment w:val="auto"/>
    </w:pPr>
    <w:rPr>
      <w:kern w:val="2"/>
      <w:sz w:val="28"/>
    </w:rPr>
  </w:style>
  <w:style w:type="character" w:customStyle="1" w:styleId="45">
    <w:name w:val="正文文本 (2) Exact"/>
    <w:qFormat/>
    <w:uiPriority w:val="0"/>
    <w:rPr>
      <w:rFonts w:ascii="MingLiU" w:hAnsi="MingLiU" w:eastAsia="MingLiU" w:cs="MingLiU"/>
      <w:sz w:val="22"/>
      <w:szCs w:val="22"/>
      <w:u w:val="none"/>
    </w:rPr>
  </w:style>
  <w:style w:type="character" w:customStyle="1" w:styleId="46">
    <w:name w:val="报告书正文 Char Char"/>
    <w:link w:val="2"/>
    <w:qFormat/>
    <w:uiPriority w:val="0"/>
    <w:rPr>
      <w:rFonts w:ascii="宋体" w:hAnsi="宋体"/>
      <w:kern w:val="2"/>
      <w:sz w:val="24"/>
      <w:szCs w:val="24"/>
    </w:rPr>
  </w:style>
  <w:style w:type="character" w:customStyle="1" w:styleId="47">
    <w:name w:val="表内字 Char1"/>
    <w:link w:val="48"/>
    <w:qFormat/>
    <w:uiPriority w:val="0"/>
    <w:rPr>
      <w:rFonts w:ascii="Calibri" w:hAnsi="Calibri"/>
      <w:color w:val="000000"/>
      <w:sz w:val="21"/>
      <w:szCs w:val="22"/>
      <w:lang w:val="en-US" w:eastAsia="zh-CN" w:bidi="ar-SA"/>
    </w:rPr>
  </w:style>
  <w:style w:type="paragraph" w:customStyle="1" w:styleId="48">
    <w:name w:val="表内字"/>
    <w:link w:val="47"/>
    <w:qFormat/>
    <w:uiPriority w:val="0"/>
    <w:pPr>
      <w:spacing w:after="200" w:line="312" w:lineRule="auto"/>
      <w:jc w:val="center"/>
    </w:pPr>
    <w:rPr>
      <w:rFonts w:ascii="Calibri" w:hAnsi="Calibri" w:eastAsia="宋体" w:cs="Times New Roman"/>
      <w:color w:val="000000"/>
      <w:sz w:val="21"/>
      <w:szCs w:val="22"/>
      <w:lang w:val="en-US" w:eastAsia="zh-CN" w:bidi="ar-SA"/>
    </w:rPr>
  </w:style>
  <w:style w:type="character" w:customStyle="1" w:styleId="49">
    <w:name w:val="正文缩进 Char"/>
    <w:link w:val="12"/>
    <w:qFormat/>
    <w:uiPriority w:val="0"/>
    <w:rPr>
      <w:rFonts w:ascii="Tahoma" w:hAnsi="Tahoma" w:eastAsia="微软雅黑"/>
      <w:sz w:val="22"/>
      <w:szCs w:val="22"/>
    </w:rPr>
  </w:style>
  <w:style w:type="character" w:customStyle="1" w:styleId="50">
    <w:name w:val="cu12"/>
    <w:basedOn w:val="37"/>
    <w:qFormat/>
    <w:uiPriority w:val="0"/>
  </w:style>
  <w:style w:type="character" w:customStyle="1" w:styleId="51">
    <w:name w:val="正文段落 Char"/>
    <w:link w:val="52"/>
    <w:qFormat/>
    <w:uiPriority w:val="0"/>
    <w:rPr>
      <w:sz w:val="24"/>
      <w:szCs w:val="24"/>
    </w:rPr>
  </w:style>
  <w:style w:type="paragraph" w:customStyle="1" w:styleId="52">
    <w:name w:val="正文段落"/>
    <w:basedOn w:val="1"/>
    <w:link w:val="51"/>
    <w:qFormat/>
    <w:uiPriority w:val="0"/>
    <w:pPr>
      <w:tabs>
        <w:tab w:val="left" w:pos="0"/>
      </w:tabs>
      <w:adjustRightInd/>
      <w:spacing w:line="360" w:lineRule="auto"/>
      <w:ind w:firstLine="480" w:firstLineChars="200"/>
      <w:jc w:val="center"/>
      <w:textAlignment w:val="auto"/>
    </w:pPr>
    <w:rPr>
      <w:sz w:val="24"/>
      <w:szCs w:val="24"/>
    </w:rPr>
  </w:style>
  <w:style w:type="character" w:customStyle="1" w:styleId="53">
    <w:name w:val="页脚 Char"/>
    <w:link w:val="23"/>
    <w:qFormat/>
    <w:uiPriority w:val="99"/>
    <w:rPr>
      <w:sz w:val="18"/>
      <w:szCs w:val="18"/>
    </w:rPr>
  </w:style>
  <w:style w:type="character" w:customStyle="1" w:styleId="54">
    <w:name w:val="正文文本 (2) + 10 pt"/>
    <w:qFormat/>
    <w:uiPriority w:val="0"/>
    <w:rPr>
      <w:rFonts w:ascii="MingLiU" w:hAnsi="MingLiU" w:eastAsia="MingLiU" w:cs="MingLiU"/>
      <w:color w:val="000000"/>
      <w:spacing w:val="0"/>
      <w:w w:val="100"/>
      <w:position w:val="0"/>
      <w:sz w:val="20"/>
      <w:szCs w:val="20"/>
      <w:u w:val="none"/>
      <w:lang w:val="zh-TW" w:eastAsia="zh-TW" w:bidi="zh-TW"/>
    </w:rPr>
  </w:style>
  <w:style w:type="character" w:customStyle="1" w:styleId="55">
    <w:name w:val="批注主题 Char"/>
    <w:link w:val="31"/>
    <w:qFormat/>
    <w:uiPriority w:val="99"/>
    <w:rPr>
      <w:b/>
      <w:bCs/>
      <w:kern w:val="2"/>
      <w:sz w:val="21"/>
      <w:szCs w:val="22"/>
    </w:rPr>
  </w:style>
  <w:style w:type="character" w:customStyle="1" w:styleId="56">
    <w:name w:val="页眉 Char"/>
    <w:link w:val="24"/>
    <w:qFormat/>
    <w:uiPriority w:val="99"/>
    <w:rPr>
      <w:sz w:val="18"/>
      <w:szCs w:val="18"/>
    </w:rPr>
  </w:style>
  <w:style w:type="character" w:customStyle="1" w:styleId="57">
    <w:name w:val="表文字 Char"/>
    <w:link w:val="58"/>
    <w:qFormat/>
    <w:uiPriority w:val="0"/>
    <w:rPr>
      <w:kern w:val="2"/>
      <w:sz w:val="21"/>
      <w:szCs w:val="21"/>
    </w:rPr>
  </w:style>
  <w:style w:type="paragraph" w:customStyle="1" w:styleId="58">
    <w:name w:val="表文字"/>
    <w:basedOn w:val="1"/>
    <w:link w:val="57"/>
    <w:qFormat/>
    <w:uiPriority w:val="0"/>
    <w:pPr>
      <w:topLinePunct/>
      <w:spacing w:line="240" w:lineRule="exact"/>
    </w:pPr>
    <w:rPr>
      <w:kern w:val="2"/>
      <w:szCs w:val="21"/>
    </w:rPr>
  </w:style>
  <w:style w:type="character" w:customStyle="1" w:styleId="59">
    <w:name w:val="批注框文本 Char"/>
    <w:link w:val="22"/>
    <w:qFormat/>
    <w:uiPriority w:val="0"/>
    <w:rPr>
      <w:sz w:val="18"/>
      <w:szCs w:val="18"/>
    </w:rPr>
  </w:style>
  <w:style w:type="character" w:customStyle="1" w:styleId="60">
    <w:name w:val="批注文字 Char"/>
    <w:link w:val="14"/>
    <w:qFormat/>
    <w:uiPriority w:val="0"/>
    <w:rPr>
      <w:sz w:val="21"/>
    </w:rPr>
  </w:style>
  <w:style w:type="character" w:customStyle="1" w:styleId="61">
    <w:name w:val="样式 小四 黑色 行距: 1.5 倍行距 Char"/>
    <w:link w:val="62"/>
    <w:qFormat/>
    <w:uiPriority w:val="0"/>
    <w:rPr>
      <w:rFonts w:cs="宋体"/>
      <w:color w:val="000000"/>
      <w:sz w:val="24"/>
      <w:szCs w:val="20"/>
    </w:rPr>
  </w:style>
  <w:style w:type="paragraph" w:customStyle="1" w:styleId="62">
    <w:name w:val="样式 小四 黑色 行距: 1.5 倍行距"/>
    <w:basedOn w:val="1"/>
    <w:link w:val="61"/>
    <w:qFormat/>
    <w:uiPriority w:val="0"/>
    <w:pPr>
      <w:spacing w:line="360" w:lineRule="auto"/>
      <w:ind w:firstLine="360" w:firstLineChars="150"/>
    </w:pPr>
    <w:rPr>
      <w:color w:val="000000"/>
      <w:sz w:val="24"/>
    </w:rPr>
  </w:style>
  <w:style w:type="character" w:customStyle="1" w:styleId="63">
    <w:name w:val="文档结构图 Char"/>
    <w:link w:val="13"/>
    <w:qFormat/>
    <w:uiPriority w:val="0"/>
    <w:rPr>
      <w:rFonts w:ascii="宋体"/>
      <w:sz w:val="18"/>
      <w:szCs w:val="18"/>
    </w:rPr>
  </w:style>
  <w:style w:type="character" w:customStyle="1" w:styleId="64">
    <w:name w:val="正文文本 (2)_"/>
    <w:link w:val="65"/>
    <w:qFormat/>
    <w:uiPriority w:val="0"/>
    <w:rPr>
      <w:rFonts w:ascii="MingLiU" w:hAnsi="MingLiU" w:eastAsia="MingLiU" w:cs="MingLiU"/>
      <w:sz w:val="22"/>
      <w:szCs w:val="22"/>
      <w:shd w:val="clear" w:color="auto" w:fill="FFFFFF"/>
    </w:rPr>
  </w:style>
  <w:style w:type="paragraph" w:customStyle="1" w:styleId="65">
    <w:name w:val="正文文本 (2)2"/>
    <w:basedOn w:val="1"/>
    <w:link w:val="64"/>
    <w:qFormat/>
    <w:uiPriority w:val="0"/>
    <w:pPr>
      <w:shd w:val="clear" w:color="auto" w:fill="FFFFFF"/>
      <w:adjustRightInd/>
      <w:spacing w:before="240" w:line="437" w:lineRule="exact"/>
      <w:textAlignment w:val="auto"/>
    </w:pPr>
    <w:rPr>
      <w:rFonts w:ascii="MingLiU" w:hAnsi="MingLiU" w:eastAsia="MingLiU"/>
      <w:sz w:val="22"/>
      <w:szCs w:val="22"/>
    </w:rPr>
  </w:style>
  <w:style w:type="paragraph" w:customStyle="1" w:styleId="66">
    <w:name w:val="_Style 4"/>
    <w:qFormat/>
    <w:uiPriority w:val="1"/>
    <w:pPr>
      <w:widowControl w:val="0"/>
      <w:jc w:val="both"/>
    </w:pPr>
    <w:rPr>
      <w:rFonts w:ascii="Times New Roman" w:hAnsi="Times New Roman" w:eastAsia="仿宋_GB2312" w:cs="Times New Roman"/>
      <w:kern w:val="2"/>
      <w:sz w:val="24"/>
      <w:szCs w:val="22"/>
      <w:lang w:val="en-US" w:eastAsia="zh-CN" w:bidi="ar-SA"/>
    </w:rPr>
  </w:style>
  <w:style w:type="paragraph" w:customStyle="1" w:styleId="67">
    <w:name w:val="立威报告正文"/>
    <w:basedOn w:val="1"/>
    <w:qFormat/>
    <w:uiPriority w:val="0"/>
    <w:pPr>
      <w:adjustRightInd/>
      <w:spacing w:line="360" w:lineRule="auto"/>
      <w:ind w:firstLine="480" w:firstLineChars="200"/>
      <w:textAlignment w:val="auto"/>
    </w:pPr>
    <w:rPr>
      <w:kern w:val="2"/>
      <w:sz w:val="24"/>
      <w:szCs w:val="22"/>
    </w:rPr>
  </w:style>
  <w:style w:type="paragraph" w:customStyle="1" w:styleId="68">
    <w:name w:val="正文B"/>
    <w:basedOn w:val="69"/>
    <w:qFormat/>
    <w:uiPriority w:val="0"/>
    <w:pPr>
      <w:spacing w:after="0" w:line="360" w:lineRule="auto"/>
      <w:ind w:firstLine="200" w:firstLineChars="200"/>
    </w:pPr>
    <w:rPr>
      <w:rFonts w:ascii="宋体" w:hAnsi="宋体" w:eastAsia="宋体" w:cs="宋体"/>
      <w:sz w:val="24"/>
    </w:rPr>
  </w:style>
  <w:style w:type="paragraph" w:customStyle="1" w:styleId="69">
    <w:name w:val="样式1"/>
    <w:basedOn w:val="1"/>
    <w:qFormat/>
    <w:uiPriority w:val="0"/>
    <w:pPr>
      <w:keepNext/>
      <w:adjustRightInd/>
      <w:spacing w:before="120" w:after="60" w:line="240" w:lineRule="auto"/>
      <w:ind w:firstLine="482"/>
      <w:textAlignment w:val="auto"/>
    </w:pPr>
    <w:rPr>
      <w:rFonts w:ascii="楷体_GB2312" w:eastAsia="楷体_GB2312"/>
      <w:b/>
      <w:sz w:val="28"/>
    </w:rPr>
  </w:style>
  <w:style w:type="paragraph" w:customStyle="1" w:styleId="70">
    <w:name w:val="无缩进正文"/>
    <w:basedOn w:val="1"/>
    <w:qFormat/>
    <w:uiPriority w:val="0"/>
    <w:pPr>
      <w:widowControl/>
      <w:adjustRightInd/>
      <w:spacing w:line="360" w:lineRule="auto"/>
      <w:jc w:val="center"/>
      <w:textAlignment w:val="auto"/>
    </w:pPr>
    <w:rPr>
      <w:sz w:val="24"/>
      <w:szCs w:val="24"/>
    </w:rPr>
  </w:style>
  <w:style w:type="paragraph" w:customStyle="1" w:styleId="71">
    <w:name w:val="1.1.1"/>
    <w:basedOn w:val="1"/>
    <w:qFormat/>
    <w:uiPriority w:val="0"/>
    <w:pPr>
      <w:adjustRightInd/>
      <w:spacing w:line="240" w:lineRule="auto"/>
      <w:textAlignment w:val="auto"/>
    </w:pPr>
    <w:rPr>
      <w:rFonts w:ascii="黑体"/>
      <w:kern w:val="2"/>
      <w:sz w:val="24"/>
    </w:rPr>
  </w:style>
  <w:style w:type="paragraph" w:customStyle="1" w:styleId="72">
    <w:name w:val="Style2"/>
    <w:basedOn w:val="1"/>
    <w:qFormat/>
    <w:uiPriority w:val="0"/>
    <w:pPr>
      <w:widowControl/>
      <w:overflowPunct w:val="0"/>
      <w:autoSpaceDE w:val="0"/>
      <w:autoSpaceDN w:val="0"/>
      <w:spacing w:line="360" w:lineRule="auto"/>
      <w:jc w:val="left"/>
    </w:pPr>
    <w:rPr>
      <w:rFonts w:ascii="宋体"/>
      <w:spacing w:val="10"/>
      <w:sz w:val="28"/>
    </w:rPr>
  </w:style>
  <w:style w:type="paragraph" w:customStyle="1" w:styleId="73">
    <w:name w:val="报告书"/>
    <w:basedOn w:val="1"/>
    <w:qFormat/>
    <w:uiPriority w:val="0"/>
    <w:pPr>
      <w:autoSpaceDE w:val="0"/>
      <w:autoSpaceDN w:val="0"/>
      <w:spacing w:line="360" w:lineRule="auto"/>
      <w:ind w:firstLine="505"/>
      <w:jc w:val="left"/>
      <w:textAlignment w:val="bottom"/>
    </w:pPr>
    <w:rPr>
      <w:sz w:val="24"/>
    </w:rPr>
  </w:style>
  <w:style w:type="paragraph" w:customStyle="1" w:styleId="74">
    <w:name w:val="图表"/>
    <w:basedOn w:val="1"/>
    <w:qFormat/>
    <w:uiPriority w:val="0"/>
    <w:pPr>
      <w:adjustRightInd/>
      <w:spacing w:line="240" w:lineRule="auto"/>
      <w:jc w:val="center"/>
      <w:textAlignment w:val="auto"/>
    </w:pPr>
    <w:rPr>
      <w:rFonts w:ascii="Calibri" w:hAnsi="Calibri"/>
      <w:b/>
      <w:bCs/>
      <w:kern w:val="2"/>
      <w:sz w:val="24"/>
      <w:szCs w:val="24"/>
    </w:rPr>
  </w:style>
  <w:style w:type="paragraph" w:customStyle="1" w:styleId="75">
    <w:name w:val="正文文本 (2)1"/>
    <w:basedOn w:val="1"/>
    <w:qFormat/>
    <w:uiPriority w:val="0"/>
    <w:pPr>
      <w:shd w:val="clear" w:color="auto" w:fill="FFFFFF"/>
      <w:adjustRightInd/>
      <w:spacing w:after="180" w:line="0" w:lineRule="atLeast"/>
      <w:ind w:hanging="520"/>
      <w:jc w:val="distribute"/>
      <w:textAlignment w:val="auto"/>
    </w:pPr>
    <w:rPr>
      <w:rFonts w:ascii="MingLiU" w:hAnsi="MingLiU" w:eastAsia="MingLiU" w:cs="MingLiU"/>
      <w:kern w:val="2"/>
      <w:sz w:val="22"/>
      <w:szCs w:val="22"/>
    </w:rPr>
  </w:style>
  <w:style w:type="paragraph" w:customStyle="1" w:styleId="76">
    <w:name w:val="样式3"/>
    <w:basedOn w:val="26"/>
    <w:qFormat/>
    <w:uiPriority w:val="0"/>
    <w:pPr>
      <w:tabs>
        <w:tab w:val="left" w:pos="0"/>
      </w:tabs>
      <w:adjustRightInd/>
      <w:spacing w:line="480" w:lineRule="atLeast"/>
      <w:ind w:left="0" w:firstLine="0" w:firstLineChars="0"/>
      <w:jc w:val="center"/>
      <w:textAlignment w:val="auto"/>
    </w:pPr>
    <w:rPr>
      <w:rFonts w:ascii="楷体_GB2312" w:eastAsia="楷体_GB2312"/>
      <w:kern w:val="2"/>
      <w:sz w:val="28"/>
      <w:szCs w:val="24"/>
    </w:rPr>
  </w:style>
  <w:style w:type="paragraph" w:customStyle="1" w:styleId="77">
    <w:name w:val="样式 正文B + 黑色"/>
    <w:basedOn w:val="68"/>
    <w:qFormat/>
    <w:uiPriority w:val="0"/>
    <w:rPr>
      <w:color w:val="000000"/>
    </w:rPr>
  </w:style>
  <w:style w:type="paragraph" w:customStyle="1" w:styleId="78">
    <w:name w:val="reader-word-layer"/>
    <w:basedOn w:val="1"/>
    <w:qFormat/>
    <w:uiPriority w:val="0"/>
    <w:pPr>
      <w:widowControl/>
      <w:adjustRightInd/>
      <w:spacing w:before="100" w:beforeAutospacing="1" w:after="100" w:afterAutospacing="1" w:line="240" w:lineRule="auto"/>
      <w:jc w:val="left"/>
      <w:textAlignment w:val="auto"/>
    </w:pPr>
    <w:rPr>
      <w:rFonts w:ascii="宋体" w:hAnsi="宋体" w:cs="宋体"/>
      <w:sz w:val="24"/>
      <w:szCs w:val="24"/>
    </w:rPr>
  </w:style>
  <w:style w:type="paragraph" w:customStyle="1" w:styleId="79">
    <w:name w:val="表格"/>
    <w:basedOn w:val="12"/>
    <w:qFormat/>
    <w:uiPriority w:val="0"/>
    <w:pPr>
      <w:adjustRightInd/>
      <w:spacing w:beforeLines="50" w:after="0" w:line="300" w:lineRule="auto"/>
      <w:ind w:firstLine="0" w:firstLineChars="0"/>
    </w:pPr>
    <w:rPr>
      <w:rFonts w:ascii="Arial" w:hAnsi="Arial" w:eastAsia="楷体_GB2312"/>
      <w:spacing w:val="20"/>
      <w:sz w:val="24"/>
      <w:szCs w:val="20"/>
      <w:lang w:eastAsia="en-US" w:bidi="en-US"/>
    </w:rPr>
  </w:style>
  <w:style w:type="paragraph" w:customStyle="1" w:styleId="80">
    <w:name w:val="天强正文"/>
    <w:basedOn w:val="1"/>
    <w:qFormat/>
    <w:uiPriority w:val="0"/>
    <w:pPr>
      <w:snapToGrid w:val="0"/>
      <w:spacing w:line="360" w:lineRule="auto"/>
      <w:ind w:firstLine="200" w:firstLineChars="200"/>
      <w:textAlignment w:val="auto"/>
    </w:pPr>
    <w:rPr>
      <w:kern w:val="2"/>
      <w:sz w:val="24"/>
      <w:szCs w:val="24"/>
    </w:rPr>
  </w:style>
  <w:style w:type="paragraph" w:customStyle="1" w:styleId="81">
    <w:name w:val="庆阳表格标题"/>
    <w:basedOn w:val="1"/>
    <w:qFormat/>
    <w:uiPriority w:val="0"/>
    <w:pPr>
      <w:adjustRightInd/>
      <w:snapToGrid w:val="0"/>
      <w:spacing w:line="240" w:lineRule="auto"/>
      <w:jc w:val="center"/>
      <w:textAlignment w:val="auto"/>
    </w:pPr>
    <w:rPr>
      <w:rFonts w:cs="仿宋_GB2312"/>
      <w:b/>
      <w:szCs w:val="24"/>
    </w:rPr>
  </w:style>
  <w:style w:type="paragraph" w:customStyle="1" w:styleId="82">
    <w:name w:val="样式 样式 小四 行距: 固定值 25 磅 + 黑色"/>
    <w:basedOn w:val="1"/>
    <w:qFormat/>
    <w:uiPriority w:val="0"/>
    <w:pPr>
      <w:adjustRightInd/>
      <w:spacing w:line="500" w:lineRule="exact"/>
      <w:ind w:firstLine="480" w:firstLineChars="200"/>
      <w:textAlignment w:val="auto"/>
    </w:pPr>
    <w:rPr>
      <w:color w:val="000000"/>
      <w:kern w:val="2"/>
      <w:sz w:val="24"/>
    </w:rPr>
  </w:style>
  <w:style w:type="paragraph" w:customStyle="1" w:styleId="83">
    <w:name w:val="表"/>
    <w:basedOn w:val="1"/>
    <w:qFormat/>
    <w:uiPriority w:val="0"/>
    <w:pPr>
      <w:keepNext/>
      <w:adjustRightInd/>
      <w:spacing w:before="120" w:after="60" w:line="560" w:lineRule="exact"/>
      <w:ind w:left="200" w:leftChars="200" w:firstLine="425"/>
      <w:jc w:val="center"/>
      <w:textAlignment w:val="auto"/>
    </w:pPr>
    <w:rPr>
      <w:rFonts w:eastAsia="楷体_GB2312"/>
      <w:b/>
      <w:sz w:val="28"/>
    </w:rPr>
  </w:style>
  <w:style w:type="paragraph" w:customStyle="1" w:styleId="84">
    <w:name w:val="图表---"/>
    <w:basedOn w:val="1"/>
    <w:qFormat/>
    <w:uiPriority w:val="0"/>
    <w:pPr>
      <w:adjustRightInd/>
      <w:snapToGrid w:val="0"/>
      <w:spacing w:line="240" w:lineRule="auto"/>
      <w:jc w:val="center"/>
      <w:textAlignment w:val="auto"/>
    </w:pPr>
    <w:rPr>
      <w:rFonts w:cs="宋体"/>
      <w:b/>
      <w:bCs/>
    </w:rPr>
  </w:style>
  <w:style w:type="paragraph" w:customStyle="1" w:styleId="85">
    <w:name w:val="font6"/>
    <w:basedOn w:val="1"/>
    <w:qFormat/>
    <w:uiPriority w:val="0"/>
    <w:pPr>
      <w:widowControl/>
      <w:adjustRightInd/>
      <w:spacing w:before="100" w:beforeAutospacing="1" w:after="100" w:afterAutospacing="1" w:line="240" w:lineRule="auto"/>
      <w:jc w:val="left"/>
      <w:textAlignment w:val="auto"/>
    </w:pPr>
    <w:rPr>
      <w:rFonts w:ascii="Arial" w:hAnsi="Arial" w:cs="Arial"/>
      <w:sz w:val="24"/>
      <w:szCs w:val="24"/>
    </w:rPr>
  </w:style>
  <w:style w:type="paragraph" w:customStyle="1" w:styleId="86">
    <w:name w:val="_Style 27"/>
    <w:basedOn w:val="1"/>
    <w:next w:val="15"/>
    <w:qFormat/>
    <w:uiPriority w:val="0"/>
    <w:pPr>
      <w:spacing w:line="312" w:lineRule="auto"/>
    </w:pPr>
    <w:rPr>
      <w:sz w:val="24"/>
    </w:rPr>
  </w:style>
  <w:style w:type="paragraph" w:customStyle="1" w:styleId="87">
    <w:name w:val="立威表格内容"/>
    <w:basedOn w:val="1"/>
    <w:qFormat/>
    <w:uiPriority w:val="0"/>
    <w:pPr>
      <w:adjustRightInd/>
      <w:snapToGrid w:val="0"/>
      <w:spacing w:line="240" w:lineRule="auto"/>
      <w:jc w:val="center"/>
      <w:textAlignment w:val="auto"/>
    </w:pPr>
    <w:rPr>
      <w:kern w:val="2"/>
      <w:szCs w:val="21"/>
    </w:rPr>
  </w:style>
  <w:style w:type="paragraph" w:customStyle="1" w:styleId="88">
    <w:name w:val="BG5"/>
    <w:basedOn w:val="1"/>
    <w:qFormat/>
    <w:uiPriority w:val="0"/>
    <w:pPr>
      <w:widowControl/>
      <w:autoSpaceDE w:val="0"/>
      <w:autoSpaceDN w:val="0"/>
      <w:spacing w:line="360" w:lineRule="auto"/>
      <w:jc w:val="center"/>
    </w:pPr>
    <w:rPr>
      <w:rFonts w:ascii="@宋体" w:hAnsi="Calibri" w:eastAsia="楷体_GB2312"/>
      <w:b/>
      <w:sz w:val="24"/>
    </w:rPr>
  </w:style>
  <w:style w:type="paragraph" w:customStyle="1" w:styleId="89">
    <w:name w:val="Body Text Indent 21"/>
    <w:basedOn w:val="1"/>
    <w:qFormat/>
    <w:uiPriority w:val="0"/>
    <w:pPr>
      <w:autoSpaceDE w:val="0"/>
      <w:autoSpaceDN w:val="0"/>
      <w:spacing w:line="240" w:lineRule="auto"/>
      <w:ind w:firstLine="420"/>
    </w:pPr>
    <w:rPr>
      <w:kern w:val="2"/>
      <w:sz w:val="24"/>
    </w:rPr>
  </w:style>
  <w:style w:type="paragraph" w:customStyle="1" w:styleId="90">
    <w:name w:val="庆阳表格文字"/>
    <w:basedOn w:val="1"/>
    <w:qFormat/>
    <w:uiPriority w:val="0"/>
    <w:pPr>
      <w:adjustRightInd/>
      <w:spacing w:line="240" w:lineRule="auto"/>
      <w:jc w:val="center"/>
      <w:textAlignment w:val="auto"/>
    </w:pPr>
    <w:rPr>
      <w:rFonts w:hAnsi="宋体" w:cs="宋体"/>
      <w:kern w:val="2"/>
      <w:szCs w:val="18"/>
    </w:rPr>
  </w:style>
  <w:style w:type="paragraph" w:customStyle="1" w:styleId="91">
    <w:name w:val="正文01"/>
    <w:basedOn w:val="1"/>
    <w:qFormat/>
    <w:uiPriority w:val="0"/>
    <w:pPr>
      <w:snapToGrid w:val="0"/>
      <w:spacing w:line="360" w:lineRule="auto"/>
      <w:ind w:firstLine="200" w:firstLineChars="200"/>
      <w:textAlignment w:val="auto"/>
    </w:pPr>
    <w:rPr>
      <w:kern w:val="2"/>
    </w:rPr>
  </w:style>
  <w:style w:type="character" w:customStyle="1" w:styleId="92">
    <w:name w:val="font101"/>
    <w:qFormat/>
    <w:uiPriority w:val="0"/>
    <w:rPr>
      <w:rFonts w:hint="default" w:ascii="Times New Roman" w:hAnsi="Times New Roman" w:cs="Times New Roman"/>
      <w:color w:val="000000"/>
      <w:sz w:val="24"/>
      <w:szCs w:val="24"/>
      <w:u w:val="none"/>
    </w:rPr>
  </w:style>
  <w:style w:type="character" w:customStyle="1" w:styleId="93">
    <w:name w:val="纯文本 Char"/>
    <w:link w:val="19"/>
    <w:qFormat/>
    <w:uiPriority w:val="99"/>
    <w:rPr>
      <w:rFonts w:ascii="宋体" w:hAnsi="Courier New"/>
      <w:kern w:val="2"/>
      <w:sz w:val="21"/>
    </w:rPr>
  </w:style>
  <w:style w:type="paragraph" w:customStyle="1" w:styleId="94">
    <w:name w:val="4"/>
    <w:basedOn w:val="1"/>
    <w:qFormat/>
    <w:uiPriority w:val="0"/>
    <w:pPr>
      <w:adjustRightInd/>
      <w:spacing w:line="240" w:lineRule="auto"/>
      <w:textAlignment w:val="auto"/>
    </w:pPr>
    <w:rPr>
      <w:kern w:val="2"/>
      <w:sz w:val="24"/>
      <w:szCs w:val="24"/>
    </w:rPr>
  </w:style>
  <w:style w:type="paragraph" w:customStyle="1" w:styleId="95">
    <w:name w:val="立威标题"/>
    <w:basedOn w:val="1"/>
    <w:qFormat/>
    <w:uiPriority w:val="0"/>
    <w:pPr>
      <w:widowControl/>
      <w:adjustRightInd/>
      <w:spacing w:beforeLines="50" w:line="240" w:lineRule="auto"/>
      <w:jc w:val="center"/>
      <w:textAlignment w:val="auto"/>
    </w:pPr>
    <w:rPr>
      <w:b/>
      <w:kern w:val="2"/>
      <w:szCs w:val="22"/>
      <w:lang w:val="zh-CN"/>
    </w:rPr>
  </w:style>
  <w:style w:type="paragraph" w:customStyle="1" w:styleId="96">
    <w:name w:val="环保表内字（五号）"/>
    <w:basedOn w:val="1"/>
    <w:qFormat/>
    <w:uiPriority w:val="0"/>
    <w:pPr>
      <w:autoSpaceDE w:val="0"/>
      <w:autoSpaceDN w:val="0"/>
      <w:snapToGrid w:val="0"/>
      <w:spacing w:line="0" w:lineRule="atLeast"/>
      <w:jc w:val="center"/>
      <w:textAlignment w:val="auto"/>
    </w:pPr>
    <w:rPr>
      <w:snapToGrid w:val="0"/>
      <w:color w:val="000000"/>
      <w:sz w:val="18"/>
      <w:szCs w:val="18"/>
      <w:lang w:val="zh-CN"/>
    </w:rPr>
  </w:style>
  <w:style w:type="character" w:customStyle="1" w:styleId="97">
    <w:name w:val="p51"/>
    <w:qFormat/>
    <w:uiPriority w:val="99"/>
    <w:rPr>
      <w:sz w:val="21"/>
    </w:rPr>
  </w:style>
  <w:style w:type="character" w:customStyle="1" w:styleId="98">
    <w:name w:val="页脚 Char1"/>
    <w:qFormat/>
    <w:uiPriority w:val="0"/>
  </w:style>
  <w:style w:type="paragraph" w:customStyle="1" w:styleId="99">
    <w:name w:val="新表头"/>
    <w:basedOn w:val="1"/>
    <w:qFormat/>
    <w:uiPriority w:val="0"/>
    <w:pPr>
      <w:adjustRightInd/>
      <w:spacing w:line="276" w:lineRule="auto"/>
      <w:jc w:val="center"/>
      <w:textAlignment w:val="auto"/>
    </w:pPr>
    <w:rPr>
      <w:b/>
      <w:bCs/>
      <w:kern w:val="2"/>
      <w:sz w:val="20"/>
      <w:szCs w:val="21"/>
    </w:rPr>
  </w:style>
  <w:style w:type="paragraph" w:customStyle="1" w:styleId="100">
    <w:name w:val="新表格"/>
    <w:basedOn w:val="1"/>
    <w:qFormat/>
    <w:uiPriority w:val="0"/>
    <w:pPr>
      <w:adjustRightInd/>
      <w:snapToGrid w:val="0"/>
      <w:spacing w:line="264" w:lineRule="auto"/>
      <w:jc w:val="center"/>
      <w:textAlignment w:val="auto"/>
    </w:pPr>
    <w:rPr>
      <w:bCs/>
      <w:kern w:val="2"/>
      <w:sz w:val="20"/>
      <w:szCs w:val="21"/>
    </w:rPr>
  </w:style>
  <w:style w:type="table" w:customStyle="1" w:styleId="101">
    <w:name w:val="Table Normal"/>
    <w:semiHidden/>
    <w:unhideWhenUsed/>
    <w:qFormat/>
    <w:uiPriority w:val="2"/>
    <w:pPr>
      <w:widowControl w:val="0"/>
      <w:autoSpaceDE w:val="0"/>
      <w:autoSpaceDN w:val="0"/>
    </w:pPr>
    <w:rPr>
      <w:rFonts w:ascii="等线" w:hAnsi="等线" w:eastAsia="等线"/>
      <w:sz w:val="22"/>
      <w:szCs w:val="22"/>
      <w:lang w:eastAsia="en-US"/>
    </w:rPr>
    <w:tblPr>
      <w:tblCellMar>
        <w:top w:w="0" w:type="dxa"/>
        <w:left w:w="0" w:type="dxa"/>
        <w:bottom w:w="0" w:type="dxa"/>
        <w:right w:w="0" w:type="dxa"/>
      </w:tblCellMar>
    </w:tblPr>
  </w:style>
  <w:style w:type="paragraph" w:customStyle="1" w:styleId="102">
    <w:name w:val="图表内容"/>
    <w:next w:val="15"/>
    <w:qFormat/>
    <w:uiPriority w:val="0"/>
    <w:pPr>
      <w:jc w:val="center"/>
    </w:pPr>
    <w:rPr>
      <w:rFonts w:ascii="Calibri" w:hAnsi="Calibri" w:eastAsia="宋体" w:cs="Times New Roman"/>
      <w:kern w:val="2"/>
      <w:sz w:val="21"/>
      <w:szCs w:val="21"/>
      <w:lang w:val="en-US" w:eastAsia="zh-CN" w:bidi="ar-SA"/>
    </w:rPr>
  </w:style>
  <w:style w:type="character" w:customStyle="1" w:styleId="103">
    <w:name w:val="font31"/>
    <w:basedOn w:val="37"/>
    <w:qFormat/>
    <w:uiPriority w:val="0"/>
    <w:rPr>
      <w:rFonts w:hint="default" w:ascii="Times New Roman" w:hAnsi="Times New Roman" w:cs="Times New Roman"/>
      <w:color w:val="000000"/>
      <w:sz w:val="21"/>
      <w:szCs w:val="21"/>
      <w:u w:val="none"/>
      <w:vertAlign w:val="superscript"/>
    </w:rPr>
  </w:style>
  <w:style w:type="character" w:customStyle="1" w:styleId="104">
    <w:name w:val="font21"/>
    <w:basedOn w:val="37"/>
    <w:qFormat/>
    <w:uiPriority w:val="0"/>
    <w:rPr>
      <w:rFonts w:hint="default" w:ascii="Times New Roman" w:hAnsi="Times New Roman" w:cs="Times New Roman"/>
      <w:color w:val="000000"/>
      <w:sz w:val="21"/>
      <w:szCs w:val="21"/>
      <w:u w:val="none"/>
      <w:vertAlign w:val="subscript"/>
    </w:rPr>
  </w:style>
  <w:style w:type="paragraph" w:customStyle="1" w:styleId="105">
    <w:name w:val="正文00"/>
    <w:basedOn w:val="1"/>
    <w:qFormat/>
    <w:uiPriority w:val="0"/>
    <w:pPr>
      <w:spacing w:line="360" w:lineRule="auto"/>
      <w:ind w:firstLine="480" w:firstLineChars="200"/>
      <w:jc w:val="left"/>
    </w:pPr>
    <w:rPr>
      <w:sz w:val="24"/>
    </w:rPr>
  </w:style>
  <w:style w:type="paragraph" w:customStyle="1" w:styleId="106">
    <w:name w:val="表格内容格式"/>
    <w:basedOn w:val="1"/>
    <w:qFormat/>
    <w:uiPriority w:val="0"/>
    <w:pPr>
      <w:snapToGrid w:val="0"/>
      <w:jc w:val="center"/>
    </w:pPr>
    <w:rPr>
      <w:szCs w:val="21"/>
    </w:rPr>
  </w:style>
  <w:style w:type="paragraph" w:customStyle="1" w:styleId="107">
    <w:name w:val="列出段落1"/>
    <w:basedOn w:val="1"/>
    <w:semiHidden/>
    <w:qFormat/>
    <w:uiPriority w:val="0"/>
    <w:pPr>
      <w:ind w:firstLine="420" w:firstLineChars="200"/>
    </w:pPr>
    <w:rPr>
      <w:szCs w:val="21"/>
    </w:rPr>
  </w:style>
  <w:style w:type="character" w:customStyle="1" w:styleId="108">
    <w:name w:val="正文文本 Char"/>
    <w:basedOn w:val="37"/>
    <w:link w:val="15"/>
    <w:qFormat/>
    <w:uiPriority w:val="0"/>
    <w:rPr>
      <w:rFonts w:ascii="Times New Roman" w:hAnsi="Times New Roman" w:cs="Times New Roman"/>
      <w:sz w:val="24"/>
    </w:rPr>
  </w:style>
  <w:style w:type="character" w:customStyle="1" w:styleId="109">
    <w:name w:val="正文首行缩进 Char"/>
    <w:basedOn w:val="108"/>
    <w:link w:val="32"/>
    <w:qFormat/>
    <w:uiPriority w:val="0"/>
    <w:rPr>
      <w:rFonts w:ascii="Times New Roman" w:hAnsi="Times New Roman" w:cs="Times New Roman"/>
      <w:sz w:val="21"/>
    </w:rPr>
  </w:style>
  <w:style w:type="paragraph" w:customStyle="1" w:styleId="110">
    <w:name w:val="正文样式"/>
    <w:basedOn w:val="1"/>
    <w:qFormat/>
    <w:uiPriority w:val="0"/>
    <w:pPr>
      <w:snapToGrid w:val="0"/>
      <w:spacing w:line="360" w:lineRule="auto"/>
      <w:ind w:firstLine="480" w:firstLineChars="200"/>
      <w:jc w:val="left"/>
      <w:textAlignment w:val="auto"/>
    </w:pPr>
    <w:rPr>
      <w:rFonts w:ascii="Courier New" w:hAnsi="Courier New" w:cs="Courier New"/>
      <w:kern w:val="2"/>
      <w:sz w:val="24"/>
      <w:szCs w:val="24"/>
    </w:rPr>
  </w:style>
  <w:style w:type="paragraph" w:customStyle="1" w:styleId="111">
    <w:name w:val="表格内容"/>
    <w:basedOn w:val="1"/>
    <w:qFormat/>
    <w:uiPriority w:val="0"/>
    <w:pPr>
      <w:adjustRightInd/>
      <w:spacing w:line="240" w:lineRule="exact"/>
      <w:jc w:val="center"/>
      <w:textAlignment w:val="auto"/>
    </w:pPr>
    <w:rPr>
      <w:rFonts w:ascii="Courier New" w:hAnsi="Courier New" w:eastAsia="Times New Roman" w:cs="Courier New"/>
      <w:szCs w:val="21"/>
    </w:rPr>
  </w:style>
  <w:style w:type="paragraph" w:customStyle="1" w:styleId="112">
    <w:name w:val="西红门正文"/>
    <w:basedOn w:val="1"/>
    <w:semiHidden/>
    <w:qFormat/>
    <w:uiPriority w:val="0"/>
    <w:pPr>
      <w:adjustRightInd/>
      <w:spacing w:line="500" w:lineRule="exact"/>
      <w:ind w:firstLine="480" w:firstLineChars="200"/>
      <w:textAlignment w:val="auto"/>
    </w:pPr>
    <w:rPr>
      <w:rFonts w:ascii="Courier New" w:hAnsi="Courier New" w:cs="Courier New"/>
      <w:kern w:val="2"/>
      <w:sz w:val="24"/>
      <w:szCs w:val="24"/>
    </w:rPr>
  </w:style>
  <w:style w:type="character" w:customStyle="1" w:styleId="113">
    <w:name w:val="15"/>
    <w:basedOn w:val="37"/>
    <w:qFormat/>
    <w:uiPriority w:val="0"/>
    <w:rPr>
      <w:rFonts w:hint="default" w:ascii="Courier New" w:hAnsi="Courier New" w:cs="Courier New"/>
      <w:sz w:val="21"/>
      <w:szCs w:val="21"/>
    </w:rPr>
  </w:style>
  <w:style w:type="paragraph" w:customStyle="1" w:styleId="114">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15">
    <w:name w:val="列出段落2"/>
    <w:basedOn w:val="1"/>
    <w:qFormat/>
    <w:uiPriority w:val="0"/>
    <w:pPr>
      <w:autoSpaceDE w:val="0"/>
      <w:autoSpaceDN w:val="0"/>
      <w:adjustRightInd/>
      <w:spacing w:line="240" w:lineRule="auto"/>
      <w:ind w:left="2669" w:hanging="701"/>
      <w:jc w:val="left"/>
      <w:textAlignment w:val="auto"/>
    </w:pPr>
    <w:rPr>
      <w:rFonts w:ascii="宋体" w:hAnsi="宋体" w:cs="宋体"/>
      <w:sz w:val="22"/>
      <w:szCs w:val="22"/>
    </w:rPr>
  </w:style>
  <w:style w:type="paragraph" w:customStyle="1" w:styleId="116">
    <w:name w:val="正文2"/>
    <w:qFormat/>
    <w:uiPriority w:val="0"/>
    <w:pPr>
      <w:jc w:val="both"/>
    </w:pPr>
    <w:rPr>
      <w:rFonts w:ascii="Calibri" w:hAnsi="Calibri" w:eastAsia="宋体" w:cs="Calibri"/>
      <w:kern w:val="2"/>
      <w:sz w:val="21"/>
      <w:szCs w:val="21"/>
      <w:lang w:val="en-US" w:eastAsia="zh-CN" w:bidi="ar-SA"/>
    </w:rPr>
  </w:style>
  <w:style w:type="paragraph" w:customStyle="1" w:styleId="117">
    <w:name w:val="正文3"/>
    <w:qFormat/>
    <w:uiPriority w:val="0"/>
    <w:pPr>
      <w:jc w:val="both"/>
    </w:pPr>
    <w:rPr>
      <w:rFonts w:ascii="Calibri" w:hAnsi="Calibri" w:eastAsia="宋体" w:cs="Calibri"/>
      <w:kern w:val="2"/>
      <w:sz w:val="21"/>
      <w:szCs w:val="21"/>
      <w:lang w:val="en-US" w:eastAsia="zh-CN" w:bidi="ar-SA"/>
    </w:rPr>
  </w:style>
  <w:style w:type="paragraph" w:customStyle="1" w:styleId="118">
    <w:name w:val="Table Paragraph"/>
    <w:basedOn w:val="1"/>
    <w:qFormat/>
    <w:uiPriority w:val="0"/>
    <w:pPr>
      <w:autoSpaceDE w:val="0"/>
      <w:autoSpaceDN w:val="0"/>
      <w:adjustRightInd/>
      <w:spacing w:line="240" w:lineRule="auto"/>
      <w:jc w:val="left"/>
      <w:textAlignment w:val="auto"/>
    </w:pPr>
    <w:rPr>
      <w:rFonts w:ascii="宋体" w:hAnsi="宋体" w:cs="宋体"/>
      <w:sz w:val="22"/>
      <w:szCs w:val="22"/>
    </w:rPr>
  </w:style>
  <w:style w:type="paragraph" w:customStyle="1" w:styleId="119">
    <w:name w:val="正文4"/>
    <w:qFormat/>
    <w:uiPriority w:val="0"/>
    <w:pPr>
      <w:jc w:val="both"/>
    </w:pPr>
    <w:rPr>
      <w:rFonts w:ascii="Calibri" w:hAnsi="Calibri" w:eastAsia="宋体" w:cs="Calibri"/>
      <w:kern w:val="2"/>
      <w:sz w:val="21"/>
      <w:szCs w:val="21"/>
      <w:lang w:val="en-US" w:eastAsia="zh-CN" w:bidi="ar-SA"/>
    </w:rPr>
  </w:style>
  <w:style w:type="paragraph" w:customStyle="1" w:styleId="120">
    <w:name w:val="表文"/>
    <w:basedOn w:val="1"/>
    <w:qFormat/>
    <w:uiPriority w:val="0"/>
    <w:pPr>
      <w:snapToGrid w:val="0"/>
      <w:spacing w:line="320" w:lineRule="exact"/>
      <w:jc w:val="center"/>
      <w:textAlignment w:val="auto"/>
    </w:pPr>
    <w:rPr>
      <w:rFonts w:ascii="仿宋_GB2312" w:hAnsi="宋体" w:eastAsia="仿宋_GB2312" w:cs="宋体"/>
      <w:color w:val="FF0000"/>
      <w:spacing w:val="-10"/>
      <w:kern w:val="2"/>
      <w:szCs w:val="21"/>
    </w:rPr>
  </w:style>
  <w:style w:type="paragraph" w:customStyle="1" w:styleId="121">
    <w:name w:val="表中文字（工大）"/>
    <w:basedOn w:val="1"/>
    <w:qFormat/>
    <w:uiPriority w:val="0"/>
    <w:pPr>
      <w:adjustRightInd/>
      <w:spacing w:line="440" w:lineRule="exact"/>
      <w:jc w:val="center"/>
      <w:textAlignment w:val="auto"/>
    </w:pPr>
    <w:rPr>
      <w:rFonts w:ascii="仿宋_GB2312" w:hAnsi="宋体" w:eastAsia="仿宋_GB2312" w:cs="宋体"/>
      <w:kern w:val="2"/>
      <w:szCs w:val="21"/>
    </w:rPr>
  </w:style>
  <w:style w:type="paragraph" w:customStyle="1" w:styleId="122">
    <w:name w:val="列出段落3"/>
    <w:basedOn w:val="1"/>
    <w:qFormat/>
    <w:uiPriority w:val="0"/>
    <w:pPr>
      <w:autoSpaceDE w:val="0"/>
      <w:autoSpaceDN w:val="0"/>
      <w:adjustRightInd/>
      <w:spacing w:line="240" w:lineRule="auto"/>
      <w:ind w:left="2789" w:hanging="705"/>
      <w:jc w:val="left"/>
      <w:textAlignment w:val="auto"/>
    </w:pPr>
    <w:rPr>
      <w:rFonts w:ascii="宋体" w:hAnsi="宋体" w:cs="宋体"/>
      <w:sz w:val="22"/>
      <w:szCs w:val="22"/>
    </w:rPr>
  </w:style>
  <w:style w:type="paragraph" w:customStyle="1" w:styleId="123">
    <w:name w:val="【表中文字】"/>
    <w:basedOn w:val="1"/>
    <w:qFormat/>
    <w:uiPriority w:val="0"/>
    <w:pPr>
      <w:adjustRightInd/>
      <w:spacing w:line="360" w:lineRule="auto"/>
      <w:jc w:val="center"/>
      <w:textAlignment w:val="auto"/>
    </w:pPr>
    <w:rPr>
      <w:kern w:val="2"/>
      <w:sz w:val="24"/>
      <w:szCs w:val="24"/>
    </w:rPr>
  </w:style>
  <w:style w:type="paragraph" w:customStyle="1" w:styleId="124">
    <w:name w:val="TOC 标题1"/>
    <w:basedOn w:val="3"/>
    <w:next w:val="1"/>
    <w:semiHidden/>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bCs/>
      <w:color w:val="2F5597" w:themeColor="accent1" w:themeShade="BF"/>
      <w:kern w:val="0"/>
      <w:sz w:val="28"/>
      <w:szCs w:val="28"/>
    </w:rPr>
  </w:style>
  <w:style w:type="character" w:customStyle="1" w:styleId="125">
    <w:name w:val="10"/>
    <w:basedOn w:val="37"/>
    <w:qFormat/>
    <w:uiPriority w:val="0"/>
    <w:rPr>
      <w:rFonts w:hint="eastAsia" w:ascii="等线" w:hAnsi="等线" w:eastAsia="等线"/>
    </w:rPr>
  </w:style>
  <w:style w:type="paragraph" w:customStyle="1" w:styleId="126">
    <w:name w:val="正文5"/>
    <w:qFormat/>
    <w:uiPriority w:val="0"/>
    <w:pPr>
      <w:jc w:val="both"/>
    </w:pPr>
    <w:rPr>
      <w:rFonts w:ascii="等线" w:hAnsi="等线" w:eastAsia="宋体" w:cs="宋体"/>
      <w:kern w:val="2"/>
      <w:sz w:val="21"/>
      <w:szCs w:val="21"/>
      <w:lang w:val="en-US" w:eastAsia="zh-CN" w:bidi="ar-SA"/>
    </w:rPr>
  </w:style>
  <w:style w:type="paragraph" w:customStyle="1" w:styleId="127">
    <w:name w:val="正文_20"/>
    <w:basedOn w:val="1"/>
    <w:qFormat/>
    <w:uiPriority w:val="0"/>
    <w:pPr>
      <w:adjustRightInd/>
      <w:spacing w:line="240" w:lineRule="auto"/>
      <w:textAlignment w:val="auto"/>
    </w:pPr>
    <w:rPr>
      <w:rFonts w:ascii="Calibri" w:hAnsi="Calibri" w:cs="Calibri"/>
      <w:kern w:val="2"/>
      <w:szCs w:val="21"/>
    </w:rPr>
  </w:style>
  <w:style w:type="paragraph" w:customStyle="1" w:styleId="128">
    <w:name w:val="正文6"/>
    <w:qFormat/>
    <w:uiPriority w:val="0"/>
    <w:pPr>
      <w:jc w:val="both"/>
    </w:pPr>
    <w:rPr>
      <w:rFonts w:ascii="Times New Roman" w:hAnsi="Times New Roman" w:eastAsia="宋体" w:cs="Times New Roman"/>
      <w:kern w:val="2"/>
      <w:sz w:val="21"/>
      <w:szCs w:val="21"/>
      <w:lang w:val="en-US" w:eastAsia="zh-CN" w:bidi="ar-SA"/>
    </w:rPr>
  </w:style>
  <w:style w:type="paragraph" w:customStyle="1" w:styleId="129">
    <w:name w:val="正文7"/>
    <w:qFormat/>
    <w:uiPriority w:val="0"/>
    <w:pPr>
      <w:jc w:val="both"/>
    </w:pPr>
    <w:rPr>
      <w:rFonts w:ascii="Calibri" w:hAnsi="Calibri" w:eastAsia="宋体" w:cs="Calibri"/>
      <w:kern w:val="2"/>
      <w:sz w:val="21"/>
      <w:szCs w:val="21"/>
      <w:lang w:val="en-US" w:eastAsia="zh-CN" w:bidi="ar-SA"/>
    </w:rPr>
  </w:style>
  <w:style w:type="paragraph" w:customStyle="1" w:styleId="130">
    <w:name w:val=".表1-1-1内容"/>
    <w:basedOn w:val="1"/>
    <w:qFormat/>
    <w:uiPriority w:val="0"/>
    <w:pPr>
      <w:spacing w:line="300" w:lineRule="exact"/>
      <w:jc w:val="center"/>
    </w:pPr>
    <w:rPr>
      <w:rFonts w:ascii="Times New Roman" w:hAnsi="Times New Roman"/>
      <w:kern w:val="0"/>
      <w:szCs w:val="21"/>
    </w:rPr>
  </w:style>
  <w:style w:type="paragraph" w:customStyle="1" w:styleId="131">
    <w:name w:val=".表1-1-1"/>
    <w:basedOn w:val="1"/>
    <w:qFormat/>
    <w:uiPriority w:val="0"/>
    <w:pPr>
      <w:spacing w:line="500" w:lineRule="exact"/>
      <w:jc w:val="center"/>
    </w:pPr>
    <w:rPr>
      <w:rFonts w:ascii="Times New Roman" w:hAnsi="Times New Roman" w:eastAsia="黑体"/>
      <w:kern w:val="0"/>
      <w:sz w:val="24"/>
    </w:rPr>
  </w:style>
  <w:style w:type="paragraph" w:customStyle="1" w:styleId="132">
    <w:name w:val="表格文字"/>
    <w:basedOn w:val="1"/>
    <w:qFormat/>
    <w:uiPriority w:val="0"/>
    <w:pPr>
      <w:jc w:val="center"/>
    </w:pPr>
    <w:rPr>
      <w:rFonts w:ascii="仿宋_GB2312" w:hAnsi="Arial Black" w:eastAsia="仿宋_GB2312"/>
      <w:kern w:val="44"/>
      <w:sz w:val="24"/>
    </w:rPr>
  </w:style>
  <w:style w:type="character" w:customStyle="1" w:styleId="133">
    <w:name w:val="font11"/>
    <w:basedOn w:val="37"/>
    <w:qFormat/>
    <w:uiPriority w:val="0"/>
    <w:rPr>
      <w:rFonts w:hint="default" w:ascii="Times New Roman" w:hAnsi="Times New Roman" w:cs="Times New Roman"/>
      <w:color w:val="1A181D"/>
      <w:sz w:val="20"/>
      <w:szCs w:val="20"/>
      <w:u w:val="none"/>
    </w:rPr>
  </w:style>
  <w:style w:type="character" w:customStyle="1" w:styleId="134">
    <w:name w:val="font01"/>
    <w:basedOn w:val="37"/>
    <w:qFormat/>
    <w:uiPriority w:val="0"/>
    <w:rPr>
      <w:rFonts w:hint="default" w:ascii="Times New Roman" w:hAnsi="Times New Roman" w:cs="Times New Roman"/>
      <w:color w:val="1A181D"/>
      <w:sz w:val="20"/>
      <w:szCs w:val="20"/>
      <w:u w:val="none"/>
    </w:rPr>
  </w:style>
  <w:style w:type="table" w:customStyle="1" w:styleId="135">
    <w:name w:val="网格型7"/>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6">
    <w:name w:val="BodyText"/>
    <w:basedOn w:val="1"/>
    <w:qFormat/>
    <w:uiPriority w:val="0"/>
    <w:pPr>
      <w:ind w:left="0"/>
      <w:jc w:val="both"/>
      <w:textAlignment w:val="baseline"/>
    </w:pPr>
    <w:rPr>
      <w:rFonts w:ascii="Times New Roman" w:hAnsi="Times New Roman" w:eastAsia="宋体"/>
      <w:kern w:val="2"/>
      <w:sz w:val="24"/>
      <w:szCs w:val="42"/>
      <w:lang w:val="en-US" w:eastAsia="zh-CN" w:bidi="ar-SA"/>
    </w:rPr>
  </w:style>
  <w:style w:type="character" w:customStyle="1" w:styleId="137">
    <w:name w:val="NormalCharacter"/>
    <w:link w:val="1"/>
    <w:semiHidden/>
    <w:qFormat/>
    <w:uiPriority w:val="0"/>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customXml" Target="../customXml/item2.xml"/><Relationship Id="rId91" Type="http://schemas.openxmlformats.org/officeDocument/2006/relationships/numbering" Target="numbering.xml"/><Relationship Id="rId90" Type="http://schemas.openxmlformats.org/officeDocument/2006/relationships/customXml" Target="../customXml/item1.xml"/><Relationship Id="rId9" Type="http://schemas.openxmlformats.org/officeDocument/2006/relationships/footer" Target="footer4.xml"/><Relationship Id="rId89" Type="http://schemas.openxmlformats.org/officeDocument/2006/relationships/image" Target="media/image75.jpeg"/><Relationship Id="rId88" Type="http://schemas.openxmlformats.org/officeDocument/2006/relationships/image" Target="media/image74.jpeg"/><Relationship Id="rId87" Type="http://schemas.openxmlformats.org/officeDocument/2006/relationships/image" Target="media/image73.jpeg"/><Relationship Id="rId86" Type="http://schemas.openxmlformats.org/officeDocument/2006/relationships/image" Target="media/image72.jpeg"/><Relationship Id="rId85" Type="http://schemas.openxmlformats.org/officeDocument/2006/relationships/image" Target="media/image71.jpeg"/><Relationship Id="rId84" Type="http://schemas.openxmlformats.org/officeDocument/2006/relationships/image" Target="media/image70.jpeg"/><Relationship Id="rId83" Type="http://schemas.openxmlformats.org/officeDocument/2006/relationships/image" Target="media/image69.jpeg"/><Relationship Id="rId82" Type="http://schemas.openxmlformats.org/officeDocument/2006/relationships/image" Target="media/image68.jpeg"/><Relationship Id="rId81" Type="http://schemas.openxmlformats.org/officeDocument/2006/relationships/image" Target="media/image67.jpeg"/><Relationship Id="rId80" Type="http://schemas.openxmlformats.org/officeDocument/2006/relationships/image" Target="media/image66.jpeg"/><Relationship Id="rId8" Type="http://schemas.openxmlformats.org/officeDocument/2006/relationships/footer" Target="footer3.xml"/><Relationship Id="rId79" Type="http://schemas.openxmlformats.org/officeDocument/2006/relationships/image" Target="media/image65.jpeg"/><Relationship Id="rId78" Type="http://schemas.openxmlformats.org/officeDocument/2006/relationships/image" Target="media/image64.jpeg"/><Relationship Id="rId77" Type="http://schemas.openxmlformats.org/officeDocument/2006/relationships/image" Target="media/image63.jpeg"/><Relationship Id="rId76" Type="http://schemas.openxmlformats.org/officeDocument/2006/relationships/image" Target="media/image62.jpeg"/><Relationship Id="rId75" Type="http://schemas.openxmlformats.org/officeDocument/2006/relationships/image" Target="media/image61.jpeg"/><Relationship Id="rId74" Type="http://schemas.openxmlformats.org/officeDocument/2006/relationships/image" Target="media/image60.jpeg"/><Relationship Id="rId73" Type="http://schemas.openxmlformats.org/officeDocument/2006/relationships/image" Target="media/image59.jpeg"/><Relationship Id="rId72" Type="http://schemas.openxmlformats.org/officeDocument/2006/relationships/image" Target="media/image58.jpeg"/><Relationship Id="rId71" Type="http://schemas.openxmlformats.org/officeDocument/2006/relationships/image" Target="media/image57.jpeg"/><Relationship Id="rId70" Type="http://schemas.openxmlformats.org/officeDocument/2006/relationships/image" Target="media/image56.jpeg"/><Relationship Id="rId7" Type="http://schemas.openxmlformats.org/officeDocument/2006/relationships/header" Target="header3.xml"/><Relationship Id="rId69" Type="http://schemas.openxmlformats.org/officeDocument/2006/relationships/image" Target="media/image55.jpeg"/><Relationship Id="rId68" Type="http://schemas.openxmlformats.org/officeDocument/2006/relationships/image" Target="media/image54.jpeg"/><Relationship Id="rId67" Type="http://schemas.openxmlformats.org/officeDocument/2006/relationships/image" Target="media/image53.jpeg"/><Relationship Id="rId66" Type="http://schemas.openxmlformats.org/officeDocument/2006/relationships/image" Target="media/image52.jpeg"/><Relationship Id="rId65" Type="http://schemas.openxmlformats.org/officeDocument/2006/relationships/image" Target="media/image51.jpeg"/><Relationship Id="rId64" Type="http://schemas.openxmlformats.org/officeDocument/2006/relationships/image" Target="media/image50.jpeg"/><Relationship Id="rId63" Type="http://schemas.openxmlformats.org/officeDocument/2006/relationships/image" Target="media/image49.jpeg"/><Relationship Id="rId62" Type="http://schemas.openxmlformats.org/officeDocument/2006/relationships/image" Target="media/image48.jpeg"/><Relationship Id="rId61" Type="http://schemas.openxmlformats.org/officeDocument/2006/relationships/image" Target="media/image47.jpeg"/><Relationship Id="rId60" Type="http://schemas.openxmlformats.org/officeDocument/2006/relationships/image" Target="media/image46.jpeg"/><Relationship Id="rId6" Type="http://schemas.openxmlformats.org/officeDocument/2006/relationships/header" Target="header2.xml"/><Relationship Id="rId59" Type="http://schemas.openxmlformats.org/officeDocument/2006/relationships/image" Target="media/image45.jpeg"/><Relationship Id="rId58" Type="http://schemas.openxmlformats.org/officeDocument/2006/relationships/image" Target="media/image44.jpeg"/><Relationship Id="rId57" Type="http://schemas.openxmlformats.org/officeDocument/2006/relationships/image" Target="media/image43.jpeg"/><Relationship Id="rId56" Type="http://schemas.openxmlformats.org/officeDocument/2006/relationships/image" Target="media/image42.jpeg"/><Relationship Id="rId55" Type="http://schemas.openxmlformats.org/officeDocument/2006/relationships/image" Target="media/image41.jpeg"/><Relationship Id="rId54" Type="http://schemas.openxmlformats.org/officeDocument/2006/relationships/image" Target="media/image40.jpeg"/><Relationship Id="rId53" Type="http://schemas.openxmlformats.org/officeDocument/2006/relationships/image" Target="media/image39.jpeg"/><Relationship Id="rId52" Type="http://schemas.openxmlformats.org/officeDocument/2006/relationships/image" Target="media/image38.jpeg"/><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footer" Target="footer2.xml"/><Relationship Id="rId49" Type="http://schemas.openxmlformats.org/officeDocument/2006/relationships/image" Target="media/image35.jpeg"/><Relationship Id="rId48" Type="http://schemas.openxmlformats.org/officeDocument/2006/relationships/image" Target="media/image34.jpeg"/><Relationship Id="rId47" Type="http://schemas.openxmlformats.org/officeDocument/2006/relationships/image" Target="media/image33.jpe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png"/><Relationship Id="rId33" Type="http://schemas.openxmlformats.org/officeDocument/2006/relationships/image" Target="media/image19.jpe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wmf"/><Relationship Id="rId3" Type="http://schemas.openxmlformats.org/officeDocument/2006/relationships/header" Target="header1.xml"/><Relationship Id="rId29" Type="http://schemas.openxmlformats.org/officeDocument/2006/relationships/image" Target="media/image15.wmf"/><Relationship Id="rId28" Type="http://schemas.openxmlformats.org/officeDocument/2006/relationships/image" Target="media/image14.wmf"/><Relationship Id="rId27" Type="http://schemas.openxmlformats.org/officeDocument/2006/relationships/image" Target="media/image13.wmf"/><Relationship Id="rId26" Type="http://schemas.openxmlformats.org/officeDocument/2006/relationships/image" Target="media/image12.wmf"/><Relationship Id="rId25" Type="http://schemas.openxmlformats.org/officeDocument/2006/relationships/image" Target="media/image11.wmf"/><Relationship Id="rId24" Type="http://schemas.openxmlformats.org/officeDocument/2006/relationships/oleObject" Target="embeddings/oleObject2.bin"/><Relationship Id="rId23" Type="http://schemas.openxmlformats.org/officeDocument/2006/relationships/image" Target="media/image10.png"/><Relationship Id="rId22" Type="http://schemas.openxmlformats.org/officeDocument/2006/relationships/image" Target="media/image9.emf"/><Relationship Id="rId21" Type="http://schemas.openxmlformats.org/officeDocument/2006/relationships/oleObject" Target="embeddings/oleObject1.bin"/><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image" Target="media/image3.emf"/><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CD2150-C384-4519-9BE2-0AC31CEF04C7}">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98</Pages>
  <Words>8415</Words>
  <Characters>47968</Characters>
  <Lines>399</Lines>
  <Paragraphs>112</Paragraphs>
  <TotalTime>3</TotalTime>
  <ScaleCrop>false</ScaleCrop>
  <LinksUpToDate>false</LinksUpToDate>
  <CharactersWithSpaces>56271</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2020-02-12T02:33:00Z</dcterms:created>
  <dc:creator>陈</dc:creator>
  <cp:lastModifiedBy>Administrator</cp:lastModifiedBy>
  <cp:lastPrinted>2019-07-22T06:13:00Z</cp:lastPrinted>
  <dcterms:modified xsi:type="dcterms:W3CDTF">2020-12-03T07:46:36Z</dcterms:modified>
  <dc:title>建设项目环境影响报告表</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