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sz w:val="36"/>
          <w:szCs w:val="36"/>
        </w:rPr>
      </w:pPr>
      <w:r>
        <w:rPr>
          <w:rFonts w:hint="eastAsia"/>
          <w:b/>
          <w:sz w:val="36"/>
          <w:szCs w:val="36"/>
        </w:rPr>
        <w:br w:type="textWrapping"/>
      </w:r>
      <w:r>
        <w:rPr>
          <w:rFonts w:hint="eastAsia"/>
          <w:b/>
          <w:sz w:val="36"/>
          <w:szCs w:val="36"/>
          <w:lang w:eastAsia="zh-CN"/>
        </w:rPr>
        <w:t>《</w:t>
      </w:r>
      <w:r>
        <w:rPr>
          <w:rFonts w:hint="eastAsia"/>
          <w:b/>
          <w:sz w:val="36"/>
          <w:szCs w:val="36"/>
        </w:rPr>
        <w:t>同江市人民政府关于修订同江市统筹整合财政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 w:val="36"/>
          <w:szCs w:val="36"/>
        </w:rPr>
      </w:pPr>
      <w:r>
        <w:rPr>
          <w:rFonts w:hint="eastAsia"/>
          <w:b/>
          <w:sz w:val="36"/>
          <w:szCs w:val="36"/>
        </w:rPr>
        <w:t>涉农资金管理办法部分条款的通知</w:t>
      </w:r>
      <w:r>
        <w:rPr>
          <w:rFonts w:hint="eastAsia"/>
          <w:b/>
          <w:sz w:val="36"/>
          <w:szCs w:val="36"/>
          <w:lang w:eastAsia="zh-CN"/>
        </w:rPr>
        <w:t>》政策解读</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经二</w:t>
      </w:r>
      <w:r>
        <w:rPr>
          <w:rFonts w:hint="default" w:ascii="Times New Roman" w:hAnsi="Times New Roman" w:eastAsia="仿宋" w:cs="Times New Roman"/>
          <w:color w:val="000000"/>
          <w:sz w:val="32"/>
          <w:szCs w:val="32"/>
        </w:rPr>
        <w:t>〇</w:t>
      </w:r>
      <w:r>
        <w:rPr>
          <w:rFonts w:hint="default" w:ascii="Times New Roman" w:hAnsi="Times New Roman" w:eastAsia="仿宋_GB2312" w:cs="Times New Roman"/>
          <w:color w:val="000000"/>
          <w:sz w:val="32"/>
          <w:szCs w:val="32"/>
        </w:rPr>
        <w:t>一八年一月二十五日市政府第十六次常务会议讨论通过，制定了《</w:t>
      </w:r>
      <w:r>
        <w:rPr>
          <w:rFonts w:hint="default" w:ascii="Times New Roman" w:hAnsi="Times New Roman" w:eastAsia="仿宋_GB2312" w:cs="Times New Roman"/>
          <w:bCs/>
          <w:kern w:val="0"/>
          <w:sz w:val="32"/>
          <w:szCs w:val="32"/>
        </w:rPr>
        <w:t>同江市统筹整合财政涉农资金管理办法</w:t>
      </w:r>
      <w:r>
        <w:rPr>
          <w:rFonts w:hint="default" w:ascii="Times New Roman" w:hAnsi="Times New Roman" w:eastAsia="仿宋_GB2312" w:cs="Times New Roman"/>
          <w:color w:val="000000"/>
          <w:sz w:val="32"/>
          <w:szCs w:val="32"/>
        </w:rPr>
        <w:t>》（同政规</w:t>
      </w:r>
      <w:r>
        <w:rPr>
          <w:rFonts w:hint="default" w:ascii="Times New Roman" w:hAnsi="Times New Roman" w:eastAsia="仿宋_GB2312" w:cs="Times New Roman"/>
          <w:color w:val="000000"/>
          <w:kern w:val="0"/>
          <w:sz w:val="32"/>
          <w:szCs w:val="32"/>
        </w:rPr>
        <w:t>〔2018〕</w:t>
      </w:r>
      <w:r>
        <w:rPr>
          <w:rFonts w:hint="default" w:ascii="Times New Roman" w:hAnsi="Times New Roman" w:eastAsia="仿宋_GB2312" w:cs="Times New Roman"/>
          <w:color w:val="000000"/>
          <w:sz w:val="32"/>
          <w:szCs w:val="32"/>
        </w:rPr>
        <w:t>1号），经省扶贫办、省财政厅联合对《</w:t>
      </w:r>
      <w:r>
        <w:rPr>
          <w:rFonts w:hint="default" w:ascii="Times New Roman" w:hAnsi="Times New Roman" w:eastAsia="仿宋_GB2312" w:cs="Times New Roman"/>
          <w:bCs/>
          <w:kern w:val="0"/>
          <w:sz w:val="32"/>
          <w:szCs w:val="32"/>
        </w:rPr>
        <w:t>同</w:t>
      </w:r>
      <w:bookmarkStart w:id="0" w:name="_GoBack"/>
      <w:bookmarkEnd w:id="0"/>
      <w:r>
        <w:rPr>
          <w:rFonts w:hint="default" w:ascii="Times New Roman" w:hAnsi="Times New Roman" w:eastAsia="仿宋_GB2312" w:cs="Times New Roman"/>
          <w:bCs/>
          <w:kern w:val="0"/>
          <w:sz w:val="32"/>
          <w:szCs w:val="32"/>
        </w:rPr>
        <w:t>江市统筹整合财政涉农资金管理办法</w:t>
      </w:r>
      <w:r>
        <w:rPr>
          <w:rFonts w:hint="default" w:ascii="Times New Roman" w:hAnsi="Times New Roman" w:eastAsia="仿宋_GB2312" w:cs="Times New Roman"/>
          <w:color w:val="000000"/>
          <w:sz w:val="32"/>
          <w:szCs w:val="32"/>
        </w:rPr>
        <w:t>》审核并提出修改意见，2019年对《</w:t>
      </w:r>
      <w:r>
        <w:rPr>
          <w:rFonts w:hint="default" w:ascii="Times New Roman" w:hAnsi="Times New Roman" w:eastAsia="仿宋_GB2312" w:cs="Times New Roman"/>
          <w:bCs/>
          <w:kern w:val="0"/>
          <w:sz w:val="32"/>
          <w:szCs w:val="32"/>
        </w:rPr>
        <w:t>同江市统筹整合财政涉农资金管理办法</w:t>
      </w:r>
      <w:r>
        <w:rPr>
          <w:rFonts w:hint="default" w:ascii="Times New Roman" w:hAnsi="Times New Roman" w:eastAsia="仿宋_GB2312" w:cs="Times New Roman"/>
          <w:color w:val="000000"/>
          <w:sz w:val="32"/>
          <w:szCs w:val="32"/>
        </w:rPr>
        <w:t>》进行修订。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一、修订</w:t>
      </w:r>
      <w:r>
        <w:rPr>
          <w:rFonts w:hint="eastAsia" w:ascii="黑体" w:hAnsi="黑体" w:eastAsia="黑体" w:cs="黑体"/>
          <w:b w:val="0"/>
          <w:bCs/>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《黑龙江省人民政府办公厅关于进一步支持贫困县开展统筹整合使用财政涉农资金试点的实施意见》（黑政办发〔2017〕70号</w:t>
      </w:r>
      <w:r>
        <w:rPr>
          <w:rFonts w:hint="eastAsia" w:ascii="Times New Roman" w:hAnsi="Times New Roman" w:eastAsia="仿宋_GB2312" w:cs="Times New Roman"/>
          <w:color w:val="000000"/>
          <w:sz w:val="32"/>
          <w:szCs w:val="32"/>
          <w:lang w:eastAsia="zh-CN"/>
        </w:rPr>
        <w:t>）及省扶贫办、省财政厅联合对《同江市统筹整合财政涉农资金管理办法》（同政规〔2018〕1号）提出的修改意见。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二、修订内容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shd w:val="clear" w:color="auto" w:fill="FFFFFF"/>
          <w:lang w:eastAsia="zh-CN"/>
        </w:rPr>
      </w:pPr>
      <w:r>
        <w:rPr>
          <w:rFonts w:hint="eastAsia" w:ascii="黑体" w:hAnsi="黑体" w:eastAsia="黑体" w:cs="黑体"/>
          <w:b w:val="0"/>
          <w:bCs w:val="0"/>
          <w:color w:val="auto"/>
          <w:sz w:val="32"/>
          <w:szCs w:val="32"/>
          <w:shd w:val="clear" w:color="auto" w:fill="FFFFFF"/>
        </w:rPr>
        <w:t>修订一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auto"/>
          <w:sz w:val="32"/>
          <w:szCs w:val="32"/>
          <w:shd w:val="clear" w:color="auto" w:fill="FFFFFF"/>
        </w:rPr>
        <w:t>原文</w:t>
      </w:r>
      <w:r>
        <w:rPr>
          <w:rFonts w:hint="eastAsia" w:ascii="Times New Roman" w:hAnsi="Times New Roman" w:eastAsia="仿宋_GB2312" w:cs="Times New Roman"/>
          <w:b/>
          <w:bCs/>
          <w:color w:val="auto"/>
          <w:sz w:val="32"/>
          <w:szCs w:val="32"/>
          <w:shd w:val="clear" w:color="auto" w:fill="FFFFFF"/>
          <w:lang w:eastAsia="zh-CN"/>
        </w:rPr>
        <w:t>：</w:t>
      </w:r>
      <w:r>
        <w:rPr>
          <w:rFonts w:hint="default" w:ascii="Times New Roman" w:hAnsi="Times New Roman" w:eastAsia="仿宋_GB2312" w:cs="Times New Roman"/>
          <w:color w:val="000000"/>
          <w:sz w:val="32"/>
          <w:szCs w:val="32"/>
        </w:rPr>
        <w:t>第二条  涉农整合资金以实现“精准扶贫、精准脱贫”为目标，统筹整合相关财政涉农资金（具体包括：财政专项扶贫资金；农田水利设施建设和水土保持补助资金；农业技术推广与服务补助资金；农业综合开发补助资金；农村综合改革转移支付；农村危房改造补助资金；中央专项彩票公益金支持扶贫资金；产粮大县奖励资金；农业资源及生态保护补助资金；旅游发展基金），支持贫困村、贫困人口解决脱贫问题，提高资金使用精准性和绩效性，确保如期完成脱贫攻坚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b/>
          <w:bCs/>
          <w:color w:val="auto"/>
          <w:sz w:val="32"/>
          <w:szCs w:val="32"/>
          <w:shd w:val="clear" w:color="auto" w:fill="FFFFFF"/>
          <w:lang w:eastAsia="zh-CN"/>
        </w:rPr>
        <w:t>修订</w:t>
      </w:r>
      <w:r>
        <w:rPr>
          <w:rFonts w:hint="default" w:ascii="Times New Roman" w:hAnsi="Times New Roman" w:eastAsia="仿宋_GB2312" w:cs="Times New Roman"/>
          <w:b/>
          <w:bCs/>
          <w:color w:val="auto"/>
          <w:sz w:val="32"/>
          <w:szCs w:val="32"/>
          <w:shd w:val="clear" w:color="auto" w:fill="FFFFFF"/>
        </w:rPr>
        <w:t>为：</w:t>
      </w:r>
      <w:r>
        <w:rPr>
          <w:rFonts w:hint="default" w:ascii="Times New Roman" w:hAnsi="Times New Roman" w:eastAsia="仿宋_GB2312" w:cs="Times New Roman"/>
          <w:color w:val="auto"/>
          <w:sz w:val="32"/>
          <w:szCs w:val="32"/>
          <w:shd w:val="clear" w:color="auto" w:fill="FFFFFF"/>
        </w:rPr>
        <w:t>第二条  涉农整合资金以实现“精准扶贫、精准脱贫”为目标，统筹整合相关财政涉农资金，是指黑政办发〔2017〕70号文件规定的20项财政涉农专项资金和市、县本级财政安排的专项扶贫资金</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具体包括：财政专项扶贫资金；农田水利设施建设和水土保持补助资金；现代农业生产发展资金；农业技术推广与服务补助资金；林业补助资金；农业综合开发补助资金；农村综合改革转移支付；新增建设用地土地有偿使用费安排的高标准基本农田建设补助资金；农村环境连片整治示范资金；车辆购置税收入补助地方用于一般公路建设项目资</w:t>
      </w:r>
      <w:r>
        <w:rPr>
          <w:rFonts w:hint="eastAsia" w:ascii="Times New Roman" w:hAnsi="Times New Roman" w:eastAsia="仿宋_GB2312" w:cs="Times New Roman"/>
          <w:color w:val="auto"/>
          <w:sz w:val="32"/>
          <w:szCs w:val="32"/>
          <w:shd w:val="clear" w:color="auto" w:fill="FFFFFF"/>
          <w:lang w:eastAsia="zh-CN"/>
        </w:rPr>
        <w:t>金</w:t>
      </w:r>
      <w:r>
        <w:rPr>
          <w:rFonts w:hint="default" w:ascii="Times New Roman" w:hAnsi="Times New Roman" w:eastAsia="仿宋_GB2312" w:cs="Times New Roman"/>
          <w:color w:val="auto"/>
          <w:sz w:val="32"/>
          <w:szCs w:val="32"/>
          <w:shd w:val="clear" w:color="auto" w:fill="FFFFFF"/>
        </w:rPr>
        <w:t>（支持农村公路部分）；农村危房改造补助资金；中央专项彩票公益金支持扶贫资金；产粮大县奖励资金；生猪（牛羊）调出大县奖励资金（省级统筹部分）；农业资源及生态保护补助资金（对农民的直接补贴除外）；服务业发展专项资金（支持新农村现代流通服务网络工程部分）；江河湖库水系综合整治资金；全国山洪灾害防治经费；旅游发展基金以及中央预算内投资用于“三农”建设部分（不包括重大引调水工程；重点水源工程；江河湖泊治理骨干重大工程；跨界河流开发治理工程；新型大型灌区；大中型灌区续建配套和节水改造；大中型病险水库水闸除险加固；生态建设方面的支出），支持贫困村、贫困人口解决脱贫问题，提高资金使用精准性和绩效性，确保如期完成脱贫攻坚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修订二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原文</w:t>
      </w:r>
      <w:r>
        <w:rPr>
          <w:rFonts w:hint="eastAsia" w:ascii="Times New Roman" w:hAnsi="Times New Roman" w:eastAsia="仿宋_GB2312" w:cs="Times New Roman"/>
          <w:b/>
          <w:bCs/>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第五条  涉农整合资金支付实行零余额账户管理，严格按照财政国库管理有关规定执行，要加快扶贫资金支出进度，减少审批环节，优化项目资金审批和拨付流程。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项目管理费从涉农整合中央财政专项扶贫资金中，按最高不超过1%提取列支项目管理费，不足部分由本级财政解决。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项目管理费专门用于扶贫规划编制、项目评估、检查验收、成果宣传、档案管理、项目公告公示等方面的开支。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b/>
          <w:bCs/>
          <w:color w:val="auto"/>
          <w:sz w:val="32"/>
          <w:szCs w:val="32"/>
          <w:shd w:val="clear" w:color="auto" w:fill="FFFFFF"/>
          <w:lang w:eastAsia="zh-CN"/>
        </w:rPr>
        <w:t>修订</w:t>
      </w:r>
      <w:r>
        <w:rPr>
          <w:rFonts w:hint="default" w:ascii="Times New Roman" w:hAnsi="Times New Roman" w:eastAsia="仿宋_GB2312" w:cs="Times New Roman"/>
          <w:b/>
          <w:bCs/>
          <w:color w:val="auto"/>
          <w:sz w:val="32"/>
          <w:szCs w:val="32"/>
          <w:shd w:val="clear" w:color="auto" w:fill="FFFFFF"/>
        </w:rPr>
        <w:t>为</w:t>
      </w:r>
      <w:r>
        <w:rPr>
          <w:rFonts w:hint="default" w:ascii="Times New Roman" w:hAnsi="Times New Roman" w:eastAsia="仿宋_GB2312" w:cs="Times New Roman"/>
          <w:color w:val="auto"/>
          <w:sz w:val="32"/>
          <w:szCs w:val="32"/>
          <w:shd w:val="clear" w:color="auto" w:fill="FFFFFF"/>
        </w:rPr>
        <w:t>：第五条  涉农整合资金支付实行零余额账户管理，严格按照财政国库管理有关规定执行，要加快扶贫资金支出进度，减少审批环节，优化项目资金审批和拨付流程。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项目管理费从涉农整合中央财政专项扶贫资金中，按最高不超过1%的比例据实列支项目管理费，并由市级安排使用，不足部分由市级财政解决。其他统筹整合财政涉农资基金项目管理费，在市级财政安排的专项扶贫资金中的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项目管理费专门用于项目前期准备和实施；资金管理相关的经费开支。前期准备费用包括立项评估；项目可研；方案编制等环节发生的费用，项目实施和资金管理费用包括检验查收等方面发生的费用。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 xml:space="preserve">修订三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原文</w:t>
      </w:r>
      <w:r>
        <w:rPr>
          <w:rFonts w:hint="eastAsia" w:ascii="Times New Roman" w:hAnsi="Times New Roman" w:eastAsia="仿宋_GB2312" w:cs="Times New Roman"/>
          <w:b/>
          <w:bCs/>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第十三条  项目资金的使用和管理严格按照财务管理制度执行，积极推行建设项目公示制、项目管理责任制、项目招投标制度、监理制、监督跟踪制和绩效考评制。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按照“既推进整合，又加强管理”的要求，全面推进“阳光操作”，不断探索完善涉农资金的整合方式方法，探索完善涉农整合资金扶贫项目实施过程中的事前、事中、事后的全程监督检查。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审计部门切实加强对扶贫项目的资金审计监督。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b/>
          <w:bCs/>
          <w:color w:val="auto"/>
          <w:sz w:val="32"/>
          <w:szCs w:val="32"/>
          <w:shd w:val="clear" w:color="auto" w:fill="FFFFFF"/>
          <w:lang w:eastAsia="zh-CN"/>
        </w:rPr>
        <w:t>修订</w:t>
      </w:r>
      <w:r>
        <w:rPr>
          <w:rFonts w:hint="default" w:ascii="Times New Roman" w:hAnsi="Times New Roman" w:eastAsia="仿宋_GB2312" w:cs="Times New Roman"/>
          <w:b/>
          <w:bCs/>
          <w:color w:val="auto"/>
          <w:sz w:val="32"/>
          <w:szCs w:val="32"/>
          <w:shd w:val="clear" w:color="auto" w:fill="FFFFFF"/>
        </w:rPr>
        <w:t>为：</w:t>
      </w:r>
      <w:r>
        <w:rPr>
          <w:rFonts w:hint="default" w:ascii="Times New Roman" w:hAnsi="Times New Roman" w:eastAsia="仿宋_GB2312" w:cs="Times New Roman"/>
          <w:color w:val="auto"/>
          <w:sz w:val="32"/>
          <w:szCs w:val="32"/>
          <w:shd w:val="clear" w:color="auto" w:fill="FFFFFF"/>
        </w:rPr>
        <w:t>第十三条  项目资金的使用和管理严格按照财务管理制度执行，积极推行建设项目公示制、项目管理责任制、项目招投标制度、监理制、监督跟踪制和绩效考评制。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按照“谁实施、谁负责、谁主管、谁监督”的原则，与统筹整合财政涉农资金使用管理相关的部门按照职责分工履行资金使用管理职责。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审计部门切实加强对扶贫项目的资金审计监督。</w:t>
      </w:r>
    </w:p>
    <w:p>
      <w:pPr>
        <w:jc w:val="left"/>
        <w:rPr>
          <w:rFonts w:ascii="仿宋_GB2312" w:eastAsia="仿宋_GB2312" w:cs="Times New Roman" w:hAnsiTheme="minorEastAsia"/>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460E"/>
    <w:rsid w:val="00091684"/>
    <w:rsid w:val="001D1170"/>
    <w:rsid w:val="001E0BB8"/>
    <w:rsid w:val="00245446"/>
    <w:rsid w:val="00326BDB"/>
    <w:rsid w:val="00346A5C"/>
    <w:rsid w:val="00387F46"/>
    <w:rsid w:val="004241A6"/>
    <w:rsid w:val="00430333"/>
    <w:rsid w:val="00474654"/>
    <w:rsid w:val="00580D96"/>
    <w:rsid w:val="005A1C56"/>
    <w:rsid w:val="006E1D93"/>
    <w:rsid w:val="007B73B0"/>
    <w:rsid w:val="007C347E"/>
    <w:rsid w:val="007C4614"/>
    <w:rsid w:val="007D123E"/>
    <w:rsid w:val="00870879"/>
    <w:rsid w:val="008E0048"/>
    <w:rsid w:val="008E6DA9"/>
    <w:rsid w:val="009554A2"/>
    <w:rsid w:val="009A20C8"/>
    <w:rsid w:val="009D25F9"/>
    <w:rsid w:val="00AD13EA"/>
    <w:rsid w:val="00AE3C5D"/>
    <w:rsid w:val="00BB1912"/>
    <w:rsid w:val="00BE5954"/>
    <w:rsid w:val="00C141E2"/>
    <w:rsid w:val="00C93286"/>
    <w:rsid w:val="00CB5C7B"/>
    <w:rsid w:val="00D0460E"/>
    <w:rsid w:val="00D350C5"/>
    <w:rsid w:val="00DB5CD2"/>
    <w:rsid w:val="00DD7219"/>
    <w:rsid w:val="00E37920"/>
    <w:rsid w:val="00E629AA"/>
    <w:rsid w:val="1D9D2893"/>
    <w:rsid w:val="31857D9E"/>
    <w:rsid w:val="37292AC6"/>
    <w:rsid w:val="60693220"/>
    <w:rsid w:val="6B19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No Spacing1"/>
    <w:qFormat/>
    <w:uiPriority w:val="99"/>
    <w:pPr>
      <w:widowControl w:val="0"/>
      <w:jc w:val="both"/>
    </w:pPr>
    <w:rPr>
      <w:rFonts w:ascii="Calibri" w:hAnsi="Calibri" w:eastAsia="宋体" w:cs="Times New Roman"/>
      <w:kern w:val="2"/>
      <w:sz w:val="32"/>
      <w:szCs w:val="32"/>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szCs w:val="24"/>
    </w:rPr>
  </w:style>
  <w:style w:type="character" w:styleId="9">
    <w:name w:val="Strong"/>
    <w:basedOn w:val="8"/>
    <w:qFormat/>
    <w:uiPriority w:val="0"/>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190</Words>
  <Characters>1085</Characters>
  <Lines>9</Lines>
  <Paragraphs>2</Paragraphs>
  <TotalTime>5</TotalTime>
  <ScaleCrop>false</ScaleCrop>
  <LinksUpToDate>false</LinksUpToDate>
  <CharactersWithSpaces>1273</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2018-08-29T02:59:00Z</dcterms:created>
  <dc:creator>Microsoft</dc:creator>
  <cp:lastModifiedBy>李磊</cp:lastModifiedBy>
  <cp:lastPrinted>2019-06-19T02:01:33Z</cp:lastPrinted>
  <dcterms:modified xsi:type="dcterms:W3CDTF">2019-06-19T02:05:46Z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