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cs="Times New Roman"/>
          <w:b/>
          <w:color w:val="000000"/>
          <w:spacing w:val="-20"/>
          <w:sz w:val="36"/>
          <w:szCs w:val="36"/>
        </w:rPr>
      </w:pPr>
      <w:r>
        <w:rPr>
          <w:rFonts w:hint="default" w:ascii="Times New Roman" w:hAnsi="Times New Roman" w:cs="Times New Roman"/>
          <w:b/>
          <w:color w:val="000000"/>
          <w:spacing w:val="-20"/>
          <w:sz w:val="36"/>
          <w:szCs w:val="36"/>
        </w:rPr>
        <w:t>同江</w:t>
      </w:r>
      <w:r>
        <w:rPr>
          <w:rFonts w:hint="default" w:ascii="Times New Roman" w:hAnsi="Times New Roman" w:cs="Times New Roman"/>
          <w:b/>
          <w:color w:val="000000"/>
          <w:spacing w:val="-20"/>
          <w:sz w:val="36"/>
          <w:szCs w:val="36"/>
          <w:lang w:eastAsia="zh-CN"/>
        </w:rPr>
        <w:t>市</w:t>
      </w:r>
      <w:r>
        <w:rPr>
          <w:rFonts w:hint="default" w:ascii="Times New Roman" w:hAnsi="Times New Roman" w:cs="Times New Roman"/>
          <w:b/>
          <w:color w:val="000000"/>
          <w:spacing w:val="-20"/>
          <w:sz w:val="36"/>
          <w:szCs w:val="36"/>
        </w:rPr>
        <w:t>涉旅投诉先行赔付快速处理实施细则（试行）</w:t>
      </w:r>
    </w:p>
    <w:p>
      <w:pPr>
        <w:spacing w:line="560" w:lineRule="exact"/>
        <w:jc w:val="center"/>
        <w:rPr>
          <w:rFonts w:hint="default" w:ascii="Times New Roman" w:hAnsi="Times New Roman" w:cs="Times New Roman"/>
          <w:b/>
          <w:color w:val="000000"/>
          <w:spacing w:val="-20"/>
          <w:sz w:val="36"/>
          <w:szCs w:val="36"/>
          <w:lang w:eastAsia="zh-CN"/>
        </w:rPr>
      </w:pPr>
      <w:r>
        <w:rPr>
          <w:rFonts w:hint="default" w:ascii="Times New Roman" w:hAnsi="Times New Roman" w:cs="Times New Roman"/>
          <w:b/>
          <w:color w:val="000000"/>
          <w:spacing w:val="-20"/>
          <w:sz w:val="36"/>
          <w:szCs w:val="36"/>
          <w:lang w:eastAsia="zh-CN"/>
        </w:rPr>
        <w:t>政策解读</w:t>
      </w:r>
    </w:p>
    <w:p>
      <w:pPr>
        <w:spacing w:line="560" w:lineRule="exact"/>
        <w:jc w:val="center"/>
        <w:rPr>
          <w:rFonts w:hint="default" w:ascii="Times New Roman" w:hAnsi="Times New Roman" w:cs="Times New Roman"/>
          <w:b/>
          <w:color w:val="000000"/>
          <w:spacing w:val="-20"/>
          <w:sz w:val="36"/>
          <w:szCs w:val="36"/>
          <w:lang w:eastAsia="zh-CN"/>
        </w:rPr>
      </w:pPr>
    </w:p>
    <w:p>
      <w:pPr>
        <w:widowControl/>
        <w:shd w:val="clear" w:color="auto" w:fill="FFFFFF"/>
        <w:spacing w:line="560" w:lineRule="exact"/>
        <w:ind w:firstLine="645"/>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为切实保护旅游消费者合法权益，营造良好的旅游市场环境，给游客提供简明快捷的维权通道，进一步提升我市旅游环境和城市形象，按照《黑龙江省文化和旅游厅关于加快设立旅游诚信基金提高旅游投诉处理效率的通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黑文旅发</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2019</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31号</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《佳木斯市文化广电和旅游局关于设立旅游诚信基金、整合旅游投诉举报电话的通知》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佳文广旅发</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2019</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10号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文件精神，</w:t>
      </w:r>
      <w:r>
        <w:rPr>
          <w:rFonts w:hint="default" w:ascii="Times New Roman" w:hAnsi="Times New Roman" w:eastAsia="仿宋_GB2312" w:cs="Times New Roman"/>
          <w:color w:val="000000"/>
          <w:kern w:val="0"/>
          <w:sz w:val="32"/>
          <w:szCs w:val="32"/>
        </w:rPr>
        <w:t>参照《佳木斯市涉旅投诉先行赔付快速处理实施细则(试行)》《哈尔滨涉旅投诉先行赔付快速处理实施细则(试行)》，结合我市实际，制定《</w:t>
      </w:r>
      <w:r>
        <w:rPr>
          <w:rFonts w:hint="default" w:ascii="Times New Roman" w:hAnsi="Times New Roman" w:eastAsia="仿宋_GB2312" w:cs="Times New Roman"/>
          <w:color w:val="000000"/>
          <w:spacing w:val="-20"/>
          <w:sz w:val="32"/>
          <w:szCs w:val="32"/>
        </w:rPr>
        <w:t>同江</w:t>
      </w:r>
      <w:r>
        <w:rPr>
          <w:rFonts w:hint="default" w:ascii="Times New Roman" w:hAnsi="Times New Roman" w:eastAsia="仿宋_GB2312" w:cs="Times New Roman"/>
          <w:color w:val="000000"/>
          <w:spacing w:val="-20"/>
          <w:sz w:val="32"/>
          <w:szCs w:val="32"/>
          <w:lang w:eastAsia="zh-CN"/>
        </w:rPr>
        <w:t>市</w:t>
      </w:r>
      <w:r>
        <w:rPr>
          <w:rFonts w:hint="default" w:ascii="Times New Roman" w:hAnsi="Times New Roman" w:eastAsia="仿宋_GB2312" w:cs="Times New Roman"/>
          <w:color w:val="000000"/>
          <w:spacing w:val="-20"/>
          <w:sz w:val="32"/>
          <w:szCs w:val="32"/>
        </w:rPr>
        <w:t>涉旅投诉先行赔付快速处理实施细则（试行）</w:t>
      </w:r>
      <w:r>
        <w:rPr>
          <w:rFonts w:hint="default" w:ascii="Times New Roman" w:hAnsi="Times New Roman" w:eastAsia="仿宋_GB2312" w:cs="Times New Roman"/>
          <w:color w:val="000000"/>
          <w:kern w:val="0"/>
          <w:sz w:val="32"/>
          <w:szCs w:val="32"/>
        </w:rPr>
        <w:t>》。</w:t>
      </w:r>
    </w:p>
    <w:p>
      <w:pPr>
        <w:widowControl/>
        <w:shd w:val="clear" w:color="auto" w:fill="FFFFFF"/>
        <w:spacing w:line="560" w:lineRule="exact"/>
        <w:jc w:val="left"/>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 xml:space="preserve">　  </w:t>
      </w:r>
      <w:r>
        <w:rPr>
          <w:rFonts w:hint="default" w:ascii="Times New Roman" w:hAnsi="Times New Roman" w:eastAsia="黑体" w:cs="Times New Roman"/>
          <w:b w:val="0"/>
          <w:bCs/>
          <w:color w:val="000000"/>
          <w:kern w:val="0"/>
          <w:sz w:val="32"/>
          <w:szCs w:val="32"/>
        </w:rPr>
        <w:t>一、法律依据 </w:t>
      </w:r>
    </w:p>
    <w:p>
      <w:pPr>
        <w:widowControl/>
        <w:shd w:val="clear" w:color="auto" w:fill="FFFFFF"/>
        <w:spacing w:line="560" w:lineRule="exact"/>
        <w:ind w:firstLine="697" w:firstLineChars="218"/>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根据《中华人民共和国旅游法》《中华人民共和国消费者权益保护法》《侵犯消费者权益处罚办法》《中华人民共和国行政处罚法》《旅游投诉处理办法》等有关法律、法规的规定为基本依据。 </w:t>
      </w:r>
    </w:p>
    <w:p>
      <w:pPr>
        <w:widowControl/>
        <w:shd w:val="clear" w:color="auto" w:fill="FFFFFF"/>
        <w:spacing w:line="560" w:lineRule="exact"/>
        <w:ind w:firstLine="640" w:firstLineChars="200"/>
        <w:jc w:val="left"/>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二、目标任务 </w:t>
      </w:r>
    </w:p>
    <w:p>
      <w:pPr>
        <w:widowControl/>
        <w:shd w:val="clear" w:color="auto" w:fill="FFFFFF"/>
        <w:spacing w:line="560" w:lineRule="exact"/>
        <w:ind w:firstLine="640" w:firstLineChars="200"/>
        <w:jc w:val="both"/>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设立旅游诚信基金金额10万元，纳入财政预算。旅游者、游客在接受旅游服务中发生投诉游览、住宿、购物、餐饮、安全等经营者违约责任的或涉及到影响我市旅游形象等方面的纠纷行为时</w:t>
      </w:r>
      <w:r>
        <w:rPr>
          <w:rFonts w:hint="default" w:ascii="Times New Roman" w:hAnsi="Times New Roman" w:eastAsia="仿宋_GB2312" w:cs="Times New Roman"/>
          <w:bCs/>
          <w:color w:val="000000"/>
          <w:sz w:val="32"/>
          <w:szCs w:val="32"/>
          <w:shd w:val="clear" w:color="auto" w:fill="FFFFFF"/>
        </w:rPr>
        <w:t>，</w:t>
      </w:r>
      <w:r>
        <w:rPr>
          <w:rFonts w:hint="default" w:ascii="Times New Roman" w:hAnsi="Times New Roman" w:eastAsia="仿宋_GB2312" w:cs="Times New Roman"/>
          <w:color w:val="000000"/>
          <w:sz w:val="32"/>
          <w:szCs w:val="32"/>
        </w:rPr>
        <w:t>对游客第一时间先行赔付，使权益受损游客得到快速理赔、妥善处理，保障游客合法权益</w:t>
      </w:r>
      <w:r>
        <w:rPr>
          <w:rFonts w:hint="eastAsia" w:ascii="Times New Roman" w:hAnsi="Times New Roman" w:eastAsia="仿宋_GB2312" w:cs="Times New Roman"/>
          <w:color w:val="000000"/>
          <w:sz w:val="32"/>
          <w:szCs w:val="32"/>
          <w:lang w:eastAsia="zh-CN"/>
        </w:rPr>
        <w:t>。</w:t>
      </w:r>
    </w:p>
    <w:p>
      <w:pPr>
        <w:widowControl/>
        <w:shd w:val="clear" w:color="auto" w:fill="FFFFFF"/>
        <w:spacing w:line="560" w:lineRule="exact"/>
        <w:ind w:firstLine="640" w:firstLineChars="200"/>
        <w:jc w:val="left"/>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三、主要内容和要求</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《同江涉旅投诉先行赔付快速处理实施细则（试行）》共八章三十条内容，包括总则、组织机构及分工、受案范围、赔付情形、执行程序、投诉转行政处罚案规定、法律责任、附则。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该实施细则</w:t>
      </w:r>
      <w:r>
        <w:rPr>
          <w:rFonts w:hint="default" w:ascii="Times New Roman" w:hAnsi="Times New Roman" w:eastAsia="仿宋_GB2312" w:cs="Times New Roman"/>
          <w:color w:val="000000"/>
          <w:kern w:val="0"/>
          <w:sz w:val="32"/>
          <w:szCs w:val="32"/>
        </w:rPr>
        <w:t>明确了成员单位的工作任务和职责，对于符合赔付情形</w:t>
      </w:r>
      <w:r>
        <w:rPr>
          <w:rFonts w:hint="default" w:ascii="Times New Roman" w:hAnsi="Times New Roman" w:eastAsia="仿宋_GB2312" w:cs="Times New Roman"/>
          <w:color w:val="000000"/>
          <w:sz w:val="32"/>
          <w:szCs w:val="32"/>
        </w:rPr>
        <w:t>由相关执法部门确定责任划分明确后，且责任方是经营者但不接受调解结论的，由政府先行赔付旅游者，再向责任方立案调查，采取司法程序追偿</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旅游者、游客在接受旅游服务中所发生投诉游览、住宿、购物、餐饮、安全等经营者违约责任的或者涉及到影响我市旅游形象等方面发生纠纷的行为，适用本实施细则，实施细则第十条规定情形不属于快速处理受理范围。</w:t>
      </w:r>
      <w:r>
        <w:rPr>
          <w:rFonts w:hint="default" w:ascii="Times New Roman" w:hAnsi="Times New Roman" w:eastAsia="仿宋_GB2312" w:cs="Times New Roman"/>
          <w:color w:val="000000"/>
          <w:kern w:val="0"/>
          <w:sz w:val="32"/>
          <w:szCs w:val="32"/>
        </w:rPr>
        <w:t>对于事实不清、证据不足等疑难复杂投诉，不适用快速处理程序，按照法定程序和时限办理。</w:t>
      </w:r>
      <w:r>
        <w:rPr>
          <w:rFonts w:hint="default" w:ascii="Times New Roman" w:hAnsi="Times New Roman" w:eastAsia="仿宋_GB2312" w:cs="Times New Roman"/>
          <w:bCs/>
          <w:sz w:val="32"/>
          <w:szCs w:val="32"/>
        </w:rPr>
        <w:t>符合快速受理先行赔付的，向投诉者发放</w:t>
      </w:r>
      <w:r>
        <w:rPr>
          <w:rFonts w:hint="default" w:ascii="Times New Roman" w:hAnsi="Times New Roman" w:eastAsia="仿宋_GB2312" w:cs="Times New Roman"/>
          <w:sz w:val="32"/>
          <w:szCs w:val="32"/>
        </w:rPr>
        <w:t>《同江市涉旅投诉快速处理申请表》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包含申请人基本信息、申请原因、赔付金额等内容，两名（或以上）执法人员共同认定符合先行赔付快速处理案件的，在申请表“执法部门审核意见”栏签署“同意”意见并签字。</w:t>
      </w:r>
    </w:p>
    <w:p>
      <w:pPr>
        <w:widowControl/>
        <w:shd w:val="clear" w:color="auto" w:fill="FFFFFF"/>
        <w:spacing w:line="560" w:lineRule="exact"/>
        <w:ind w:firstLine="64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后附：同江市涉旅投诉快速处理申请表</w:t>
      </w:r>
    </w:p>
    <w:p>
      <w:pPr>
        <w:widowControl/>
        <w:shd w:val="clear" w:color="auto" w:fill="FFFFFF"/>
        <w:spacing w:line="560" w:lineRule="exact"/>
        <w:ind w:firstLine="640"/>
        <w:jc w:val="left"/>
        <w:rPr>
          <w:rFonts w:hint="default" w:ascii="Times New Roman" w:hAnsi="Times New Roman" w:eastAsia="仿宋_GB2312" w:cs="Times New Roman"/>
          <w:color w:val="000000"/>
          <w:kern w:val="0"/>
          <w:sz w:val="32"/>
          <w:szCs w:val="32"/>
        </w:rPr>
      </w:pPr>
    </w:p>
    <w:p>
      <w:pPr>
        <w:widowControl/>
        <w:shd w:val="clear" w:color="auto" w:fill="FFFFFF"/>
        <w:spacing w:line="560" w:lineRule="exact"/>
        <w:ind w:firstLine="640"/>
        <w:jc w:val="left"/>
        <w:rPr>
          <w:rFonts w:hint="default" w:ascii="Times New Roman" w:hAnsi="Times New Roman" w:eastAsia="仿宋_GB2312" w:cs="Times New Roman"/>
          <w:color w:val="000000"/>
          <w:kern w:val="0"/>
          <w:sz w:val="32"/>
          <w:szCs w:val="32"/>
        </w:rPr>
      </w:pPr>
    </w:p>
    <w:p>
      <w:pPr>
        <w:widowControl/>
        <w:shd w:val="clear" w:color="auto" w:fill="FFFFFF"/>
        <w:wordWrap w:val="0"/>
        <w:spacing w:line="560" w:lineRule="exact"/>
        <w:jc w:val="right"/>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同江市文体广电和旅游局</w:t>
      </w:r>
      <w:r>
        <w:rPr>
          <w:rFonts w:hint="default" w:ascii="Times New Roman" w:hAnsi="Times New Roman" w:eastAsia="仿宋_GB2312" w:cs="Times New Roman"/>
          <w:color w:val="000000"/>
          <w:kern w:val="0"/>
          <w:sz w:val="32"/>
          <w:szCs w:val="32"/>
          <w:lang w:val="en-US" w:eastAsia="zh-CN"/>
        </w:rPr>
        <w:t xml:space="preserve">        </w:t>
      </w:r>
    </w:p>
    <w:p>
      <w:pPr>
        <w:widowControl/>
        <w:shd w:val="clear" w:color="auto" w:fill="FFFFFF"/>
        <w:spacing w:line="560" w:lineRule="exact"/>
        <w:jc w:val="righ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2019</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日</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w:t>
      </w:r>
    </w:p>
    <w:tbl>
      <w:tblPr>
        <w:tblStyle w:val="4"/>
        <w:tblW w:w="8340" w:type="dxa"/>
        <w:tblInd w:w="0" w:type="dxa"/>
        <w:tblLayout w:type="fixed"/>
        <w:tblCellMar>
          <w:top w:w="0" w:type="dxa"/>
          <w:left w:w="0" w:type="dxa"/>
          <w:bottom w:w="0" w:type="dxa"/>
          <w:right w:w="0" w:type="dxa"/>
        </w:tblCellMar>
      </w:tblPr>
      <w:tblGrid>
        <w:gridCol w:w="1788"/>
        <w:gridCol w:w="962"/>
        <w:gridCol w:w="1319"/>
        <w:gridCol w:w="51"/>
        <w:gridCol w:w="1154"/>
        <w:gridCol w:w="51"/>
        <w:gridCol w:w="1318"/>
        <w:gridCol w:w="51"/>
        <w:gridCol w:w="1646"/>
      </w:tblGrid>
      <w:tr>
        <w:tblPrEx>
          <w:tblLayout w:type="fixed"/>
          <w:tblCellMar>
            <w:top w:w="0" w:type="dxa"/>
            <w:left w:w="0" w:type="dxa"/>
            <w:bottom w:w="0" w:type="dxa"/>
            <w:right w:w="0" w:type="dxa"/>
          </w:tblCellMar>
        </w:tblPrEx>
        <w:trPr>
          <w:trHeight w:val="713" w:hRule="atLeast"/>
        </w:trPr>
        <w:tc>
          <w:tcPr>
            <w:tcW w:w="834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40"/>
                <w:szCs w:val="40"/>
                <w:u w:val="none"/>
              </w:rPr>
            </w:pPr>
            <w:bookmarkStart w:id="0" w:name="_GoBack"/>
            <w:bookmarkEnd w:id="0"/>
            <w:r>
              <w:rPr>
                <w:rFonts w:hint="default" w:ascii="Times New Roman" w:hAnsi="Times New Roman" w:eastAsia="宋体" w:cs="Times New Roman"/>
                <w:i w:val="0"/>
                <w:color w:val="000000"/>
                <w:kern w:val="0"/>
                <w:sz w:val="40"/>
                <w:szCs w:val="40"/>
                <w:u w:val="none"/>
                <w:lang w:val="en-US" w:eastAsia="zh-CN" w:bidi="ar"/>
              </w:rPr>
              <w:t>同江市涉旅投诉快速处理申请表</w:t>
            </w:r>
          </w:p>
        </w:tc>
      </w:tr>
      <w:tr>
        <w:tblPrEx>
          <w:tblLayout w:type="fixed"/>
          <w:tblCellMar>
            <w:top w:w="0" w:type="dxa"/>
            <w:left w:w="0" w:type="dxa"/>
            <w:bottom w:w="0" w:type="dxa"/>
            <w:right w:w="0" w:type="dxa"/>
          </w:tblCellMar>
        </w:tblPrEx>
        <w:trPr>
          <w:trHeight w:val="541" w:hRule="atLeast"/>
        </w:trPr>
        <w:tc>
          <w:tcPr>
            <w:tcW w:w="8340"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来访来电日期：  年  月  日  时  分          编号：</w:t>
            </w:r>
          </w:p>
        </w:tc>
      </w:tr>
      <w:tr>
        <w:tblPrEx>
          <w:tblLayout w:type="fixed"/>
          <w:tblCellMar>
            <w:top w:w="0" w:type="dxa"/>
            <w:left w:w="0" w:type="dxa"/>
            <w:bottom w:w="0" w:type="dxa"/>
            <w:right w:w="0" w:type="dxa"/>
          </w:tblCellMar>
        </w:tblPrEx>
        <w:trPr>
          <w:trHeight w:val="1166" w:hRule="atLeast"/>
        </w:trPr>
        <w:tc>
          <w:tcPr>
            <w:tcW w:w="1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申请人基本  信</w:t>
            </w:r>
            <w:r>
              <w:rPr>
                <w:rFonts w:hint="eastAsia" w:ascii="Times New Roman" w:hAnsi="Times New Roman" w:eastAsia="楷体_GB2312" w:cs="Times New Roman"/>
                <w:i w:val="0"/>
                <w:color w:val="000000"/>
                <w:kern w:val="0"/>
                <w:sz w:val="28"/>
                <w:szCs w:val="28"/>
                <w:u w:val="none"/>
                <w:lang w:val="en-US" w:eastAsia="zh-CN" w:bidi="ar"/>
              </w:rPr>
              <w:t xml:space="preserve">  </w:t>
            </w:r>
            <w:r>
              <w:rPr>
                <w:rFonts w:hint="default" w:ascii="Times New Roman" w:hAnsi="Times New Roman" w:eastAsia="楷体_GB2312" w:cs="Times New Roman"/>
                <w:i w:val="0"/>
                <w:color w:val="000000"/>
                <w:kern w:val="0"/>
                <w:sz w:val="28"/>
                <w:szCs w:val="28"/>
                <w:u w:val="none"/>
                <w:lang w:val="en-US" w:eastAsia="zh-CN" w:bidi="ar"/>
              </w:rPr>
              <w:t>息</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姓名</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12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kern w:val="0"/>
                <w:sz w:val="28"/>
                <w:szCs w:val="28"/>
                <w:u w:val="none"/>
                <w:lang w:val="en-US" w:eastAsia="zh-CN" w:bidi="ar"/>
              </w:rPr>
            </w:pPr>
            <w:r>
              <w:rPr>
                <w:rFonts w:hint="default" w:ascii="Times New Roman" w:hAnsi="Times New Roman" w:eastAsia="楷体_GB2312" w:cs="Times New Roman"/>
                <w:i w:val="0"/>
                <w:color w:val="000000"/>
                <w:kern w:val="0"/>
                <w:sz w:val="28"/>
                <w:szCs w:val="28"/>
                <w:u w:val="none"/>
                <w:lang w:val="en-US" w:eastAsia="zh-CN" w:bidi="ar"/>
              </w:rPr>
              <w:t>申</w:t>
            </w:r>
            <w:r>
              <w:rPr>
                <w:rFonts w:hint="eastAsia" w:ascii="Times New Roman" w:hAnsi="Times New Roman" w:eastAsia="楷体_GB2312" w:cs="Times New Roman"/>
                <w:i w:val="0"/>
                <w:color w:val="000000"/>
                <w:kern w:val="0"/>
                <w:sz w:val="28"/>
                <w:szCs w:val="28"/>
                <w:u w:val="none"/>
                <w:lang w:val="en-US" w:eastAsia="zh-CN" w:bidi="ar"/>
              </w:rPr>
              <w:t xml:space="preserve">  </w:t>
            </w:r>
            <w:r>
              <w:rPr>
                <w:rFonts w:hint="default" w:ascii="Times New Roman" w:hAnsi="Times New Roman" w:eastAsia="楷体_GB2312" w:cs="Times New Roman"/>
                <w:i w:val="0"/>
                <w:color w:val="000000"/>
                <w:kern w:val="0"/>
                <w:sz w:val="28"/>
                <w:szCs w:val="28"/>
                <w:u w:val="none"/>
                <w:lang w:val="en-US" w:eastAsia="zh-CN" w:bidi="ar"/>
              </w:rPr>
              <w:t>请</w:t>
            </w:r>
          </w:p>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内</w:t>
            </w:r>
            <w:r>
              <w:rPr>
                <w:rFonts w:hint="eastAsia" w:ascii="Times New Roman" w:hAnsi="Times New Roman" w:eastAsia="楷体_GB2312" w:cs="Times New Roman"/>
                <w:i w:val="0"/>
                <w:color w:val="000000"/>
                <w:kern w:val="0"/>
                <w:sz w:val="28"/>
                <w:szCs w:val="28"/>
                <w:u w:val="none"/>
                <w:lang w:val="en-US" w:eastAsia="zh-CN" w:bidi="ar"/>
              </w:rPr>
              <w:t xml:space="preserve">  </w:t>
            </w:r>
            <w:r>
              <w:rPr>
                <w:rFonts w:hint="default" w:ascii="Times New Roman" w:hAnsi="Times New Roman" w:eastAsia="楷体_GB2312" w:cs="Times New Roman"/>
                <w:i w:val="0"/>
                <w:color w:val="000000"/>
                <w:kern w:val="0"/>
                <w:sz w:val="28"/>
                <w:szCs w:val="28"/>
                <w:u w:val="none"/>
                <w:lang w:val="en-US" w:eastAsia="zh-CN" w:bidi="ar"/>
              </w:rPr>
              <w:t>容</w:t>
            </w:r>
          </w:p>
        </w:tc>
        <w:tc>
          <w:tcPr>
            <w:tcW w:w="13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申</w:t>
            </w:r>
            <w:r>
              <w:rPr>
                <w:rFonts w:hint="eastAsia" w:ascii="Times New Roman" w:hAnsi="Times New Roman" w:eastAsia="楷体_GB2312" w:cs="Times New Roman"/>
                <w:i w:val="0"/>
                <w:color w:val="000000"/>
                <w:kern w:val="0"/>
                <w:sz w:val="28"/>
                <w:szCs w:val="28"/>
                <w:u w:val="none"/>
                <w:lang w:val="en-US" w:eastAsia="zh-CN" w:bidi="ar"/>
              </w:rPr>
              <w:t xml:space="preserve">  </w:t>
            </w:r>
            <w:r>
              <w:rPr>
                <w:rFonts w:hint="default" w:ascii="Times New Roman" w:hAnsi="Times New Roman" w:eastAsia="楷体_GB2312" w:cs="Times New Roman"/>
                <w:i w:val="0"/>
                <w:color w:val="000000"/>
                <w:kern w:val="0"/>
                <w:sz w:val="28"/>
                <w:szCs w:val="28"/>
                <w:u w:val="none"/>
                <w:lang w:val="en-US" w:eastAsia="zh-CN" w:bidi="ar"/>
              </w:rPr>
              <w:t>诉    原</w:t>
            </w:r>
            <w:r>
              <w:rPr>
                <w:rFonts w:hint="eastAsia" w:ascii="Times New Roman" w:hAnsi="Times New Roman" w:eastAsia="楷体_GB2312" w:cs="Times New Roman"/>
                <w:i w:val="0"/>
                <w:color w:val="000000"/>
                <w:kern w:val="0"/>
                <w:sz w:val="28"/>
                <w:szCs w:val="28"/>
                <w:u w:val="none"/>
                <w:lang w:val="en-US" w:eastAsia="zh-CN" w:bidi="ar"/>
              </w:rPr>
              <w:t xml:space="preserve">  </w:t>
            </w:r>
            <w:r>
              <w:rPr>
                <w:rFonts w:hint="default" w:ascii="Times New Roman" w:hAnsi="Times New Roman" w:eastAsia="楷体_GB2312" w:cs="Times New Roman"/>
                <w:i w:val="0"/>
                <w:color w:val="000000"/>
                <w:kern w:val="0"/>
                <w:sz w:val="28"/>
                <w:szCs w:val="28"/>
                <w:u w:val="none"/>
                <w:lang w:val="en-US" w:eastAsia="zh-CN" w:bidi="ar"/>
              </w:rPr>
              <w:t>因</w:t>
            </w:r>
          </w:p>
        </w:tc>
        <w:tc>
          <w:tcPr>
            <w:tcW w:w="16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r>
      <w:tr>
        <w:tblPrEx>
          <w:tblLayout w:type="fixed"/>
          <w:tblCellMar>
            <w:top w:w="0" w:type="dxa"/>
            <w:left w:w="0" w:type="dxa"/>
            <w:bottom w:w="0" w:type="dxa"/>
            <w:right w:w="0" w:type="dxa"/>
          </w:tblCellMar>
        </w:tblPrEx>
        <w:trPr>
          <w:trHeight w:val="1246"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电话</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13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申请赔付金</w:t>
            </w:r>
            <w:r>
              <w:rPr>
                <w:rFonts w:hint="eastAsia" w:ascii="Times New Roman" w:hAnsi="Times New Roman" w:eastAsia="楷体_GB2312" w:cs="Times New Roman"/>
                <w:i w:val="0"/>
                <w:color w:val="000000"/>
                <w:kern w:val="0"/>
                <w:sz w:val="28"/>
                <w:szCs w:val="28"/>
                <w:u w:val="none"/>
                <w:lang w:val="en-US" w:eastAsia="zh-CN" w:bidi="ar"/>
              </w:rPr>
              <w:t xml:space="preserve">  </w:t>
            </w:r>
            <w:r>
              <w:rPr>
                <w:rFonts w:hint="default" w:ascii="Times New Roman" w:hAnsi="Times New Roman" w:eastAsia="楷体_GB2312" w:cs="Times New Roman"/>
                <w:i w:val="0"/>
                <w:color w:val="000000"/>
                <w:kern w:val="0"/>
                <w:sz w:val="28"/>
                <w:szCs w:val="28"/>
                <w:u w:val="none"/>
                <w:lang w:val="en-US" w:eastAsia="zh-CN" w:bidi="ar"/>
              </w:rPr>
              <w:t>额</w:t>
            </w:r>
          </w:p>
        </w:tc>
        <w:tc>
          <w:tcPr>
            <w:tcW w:w="16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r>
      <w:tr>
        <w:tblPrEx>
          <w:tblLayout w:type="fixed"/>
          <w:tblCellMar>
            <w:top w:w="0" w:type="dxa"/>
            <w:left w:w="0" w:type="dxa"/>
            <w:bottom w:w="0" w:type="dxa"/>
            <w:right w:w="0" w:type="dxa"/>
          </w:tblCellMar>
        </w:tblPrEx>
        <w:trPr>
          <w:trHeight w:val="803"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身份证</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13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银行卡号</w:t>
            </w:r>
          </w:p>
        </w:tc>
        <w:tc>
          <w:tcPr>
            <w:tcW w:w="16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r>
      <w:tr>
        <w:tblPrEx>
          <w:tblLayout w:type="fixed"/>
          <w:tblCellMar>
            <w:top w:w="0" w:type="dxa"/>
            <w:left w:w="0" w:type="dxa"/>
            <w:bottom w:w="0" w:type="dxa"/>
            <w:right w:w="0" w:type="dxa"/>
          </w:tblCellMar>
        </w:tblPrEx>
        <w:trPr>
          <w:trHeight w:val="1209" w:hRule="atLeast"/>
        </w:trPr>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申请人诉求  事</w:t>
            </w:r>
            <w:r>
              <w:rPr>
                <w:rFonts w:hint="eastAsia" w:ascii="Times New Roman" w:hAnsi="Times New Roman" w:eastAsia="楷体_GB2312" w:cs="Times New Roman"/>
                <w:i w:val="0"/>
                <w:color w:val="000000"/>
                <w:kern w:val="0"/>
                <w:sz w:val="28"/>
                <w:szCs w:val="28"/>
                <w:u w:val="none"/>
                <w:lang w:val="en-US" w:eastAsia="zh-CN" w:bidi="ar"/>
              </w:rPr>
              <w:t xml:space="preserve">  </w:t>
            </w:r>
            <w:r>
              <w:rPr>
                <w:rFonts w:hint="default" w:ascii="Times New Roman" w:hAnsi="Times New Roman" w:eastAsia="楷体_GB2312" w:cs="Times New Roman"/>
                <w:i w:val="0"/>
                <w:color w:val="000000"/>
                <w:kern w:val="0"/>
                <w:sz w:val="28"/>
                <w:szCs w:val="28"/>
                <w:u w:val="none"/>
                <w:lang w:val="en-US" w:eastAsia="zh-CN" w:bidi="ar"/>
              </w:rPr>
              <w:t>实</w:t>
            </w:r>
          </w:p>
        </w:tc>
        <w:tc>
          <w:tcPr>
            <w:tcW w:w="655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r>
      <w:tr>
        <w:tblPrEx>
          <w:tblLayout w:type="fixed"/>
          <w:tblCellMar>
            <w:top w:w="0" w:type="dxa"/>
            <w:left w:w="0" w:type="dxa"/>
            <w:bottom w:w="0" w:type="dxa"/>
            <w:right w:w="0" w:type="dxa"/>
          </w:tblCellMar>
        </w:tblPrEx>
        <w:trPr>
          <w:trHeight w:val="1246" w:hRule="atLeast"/>
        </w:trPr>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旅行社基本 信　息</w:t>
            </w:r>
          </w:p>
        </w:tc>
        <w:tc>
          <w:tcPr>
            <w:tcW w:w="655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r>
      <w:tr>
        <w:tblPrEx>
          <w:tblLayout w:type="fixed"/>
          <w:tblCellMar>
            <w:top w:w="0" w:type="dxa"/>
            <w:left w:w="0" w:type="dxa"/>
            <w:bottom w:w="0" w:type="dxa"/>
            <w:right w:w="0" w:type="dxa"/>
          </w:tblCellMar>
        </w:tblPrEx>
        <w:trPr>
          <w:trHeight w:val="1153" w:hRule="atLeast"/>
        </w:trPr>
        <w:tc>
          <w:tcPr>
            <w:tcW w:w="1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kern w:val="0"/>
                <w:sz w:val="28"/>
                <w:szCs w:val="28"/>
                <w:u w:val="none"/>
                <w:lang w:val="en-US" w:eastAsia="zh-CN" w:bidi="ar"/>
              </w:rPr>
            </w:pPr>
            <w:r>
              <w:rPr>
                <w:rFonts w:hint="default" w:ascii="Times New Roman" w:hAnsi="Times New Roman" w:eastAsia="楷体_GB2312" w:cs="Times New Roman"/>
                <w:i w:val="0"/>
                <w:color w:val="000000"/>
                <w:kern w:val="0"/>
                <w:sz w:val="28"/>
                <w:szCs w:val="28"/>
                <w:u w:val="none"/>
                <w:lang w:val="en-US" w:eastAsia="zh-CN" w:bidi="ar"/>
              </w:rPr>
              <w:t>处理中心</w:t>
            </w:r>
          </w:p>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记</w:t>
            </w:r>
            <w:r>
              <w:rPr>
                <w:rFonts w:hint="eastAsia" w:ascii="Times New Roman" w:hAnsi="Times New Roman" w:eastAsia="楷体_GB2312" w:cs="Times New Roman"/>
                <w:i w:val="0"/>
                <w:color w:val="000000"/>
                <w:kern w:val="0"/>
                <w:sz w:val="28"/>
                <w:szCs w:val="28"/>
                <w:u w:val="none"/>
                <w:lang w:val="en-US" w:eastAsia="zh-CN" w:bidi="ar"/>
              </w:rPr>
              <w:t xml:space="preserve">  </w:t>
            </w:r>
            <w:r>
              <w:rPr>
                <w:rFonts w:hint="default" w:ascii="Times New Roman" w:hAnsi="Times New Roman" w:eastAsia="楷体_GB2312" w:cs="Times New Roman"/>
                <w:i w:val="0"/>
                <w:color w:val="000000"/>
                <w:kern w:val="0"/>
                <w:sz w:val="28"/>
                <w:szCs w:val="28"/>
                <w:u w:val="none"/>
                <w:lang w:val="en-US" w:eastAsia="zh-CN" w:bidi="ar"/>
              </w:rPr>
              <w:t>录</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接线员</w:t>
            </w:r>
          </w:p>
        </w:tc>
        <w:tc>
          <w:tcPr>
            <w:tcW w:w="1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kern w:val="0"/>
                <w:sz w:val="28"/>
                <w:szCs w:val="28"/>
                <w:u w:val="none"/>
                <w:lang w:val="en-US" w:eastAsia="zh-CN" w:bidi="ar"/>
              </w:rPr>
            </w:pPr>
            <w:r>
              <w:rPr>
                <w:rFonts w:hint="default" w:ascii="Times New Roman" w:hAnsi="Times New Roman" w:eastAsia="楷体_GB2312" w:cs="Times New Roman"/>
                <w:i w:val="0"/>
                <w:color w:val="000000"/>
                <w:kern w:val="0"/>
                <w:sz w:val="28"/>
                <w:szCs w:val="28"/>
                <w:u w:val="none"/>
                <w:lang w:val="en-US" w:eastAsia="zh-CN" w:bidi="ar"/>
              </w:rPr>
              <w:t>申请表</w:t>
            </w:r>
          </w:p>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核发人</w:t>
            </w:r>
          </w:p>
        </w:tc>
        <w:tc>
          <w:tcPr>
            <w:tcW w:w="12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13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kern w:val="0"/>
                <w:sz w:val="28"/>
                <w:szCs w:val="28"/>
                <w:u w:val="none"/>
                <w:lang w:val="en-US" w:eastAsia="zh-CN" w:bidi="ar"/>
              </w:rPr>
            </w:pPr>
            <w:r>
              <w:rPr>
                <w:rFonts w:hint="default" w:ascii="Times New Roman" w:hAnsi="Times New Roman" w:eastAsia="楷体_GB2312" w:cs="Times New Roman"/>
                <w:i w:val="0"/>
                <w:color w:val="000000"/>
                <w:kern w:val="0"/>
                <w:sz w:val="28"/>
                <w:szCs w:val="28"/>
                <w:u w:val="none"/>
                <w:lang w:val="en-US" w:eastAsia="zh-CN" w:bidi="ar"/>
              </w:rPr>
              <w:t>申请表</w:t>
            </w:r>
          </w:p>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受理人</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1、        2、</w:t>
            </w:r>
          </w:p>
        </w:tc>
      </w:tr>
      <w:tr>
        <w:tblPrEx>
          <w:tblLayout w:type="fixed"/>
          <w:tblCellMar>
            <w:top w:w="0" w:type="dxa"/>
            <w:left w:w="0" w:type="dxa"/>
            <w:bottom w:w="0" w:type="dxa"/>
            <w:right w:w="0" w:type="dxa"/>
          </w:tblCellMar>
        </w:tblPrEx>
        <w:trPr>
          <w:trHeight w:val="1116"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证明人</w:t>
            </w:r>
          </w:p>
        </w:tc>
        <w:tc>
          <w:tcPr>
            <w:tcW w:w="1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kern w:val="0"/>
                <w:sz w:val="28"/>
                <w:szCs w:val="28"/>
                <w:u w:val="none"/>
                <w:lang w:val="en-US" w:eastAsia="zh-CN" w:bidi="ar"/>
              </w:rPr>
            </w:pPr>
            <w:r>
              <w:rPr>
                <w:rFonts w:hint="default" w:ascii="Times New Roman" w:hAnsi="Times New Roman" w:eastAsia="楷体_GB2312" w:cs="Times New Roman"/>
                <w:i w:val="0"/>
                <w:color w:val="000000"/>
                <w:kern w:val="0"/>
                <w:sz w:val="28"/>
                <w:szCs w:val="28"/>
                <w:u w:val="none"/>
                <w:lang w:val="en-US" w:eastAsia="zh-CN" w:bidi="ar"/>
              </w:rPr>
              <w:t>核发</w:t>
            </w:r>
          </w:p>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时间</w:t>
            </w:r>
          </w:p>
        </w:tc>
        <w:tc>
          <w:tcPr>
            <w:tcW w:w="12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13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到达现场时间</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r>
      <w:tr>
        <w:tblPrEx>
          <w:tblLayout w:type="fixed"/>
          <w:tblCellMar>
            <w:top w:w="0" w:type="dxa"/>
            <w:left w:w="0" w:type="dxa"/>
            <w:bottom w:w="0" w:type="dxa"/>
            <w:right w:w="0" w:type="dxa"/>
          </w:tblCellMar>
        </w:tblPrEx>
        <w:trPr>
          <w:trHeight w:val="1246" w:hRule="atLeast"/>
        </w:trPr>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执法部门审核意</w:t>
            </w:r>
            <w:r>
              <w:rPr>
                <w:rFonts w:hint="eastAsia" w:ascii="Times New Roman" w:hAnsi="Times New Roman" w:eastAsia="楷体_GB2312" w:cs="Times New Roman"/>
                <w:i w:val="0"/>
                <w:color w:val="000000"/>
                <w:kern w:val="0"/>
                <w:sz w:val="28"/>
                <w:szCs w:val="28"/>
                <w:u w:val="none"/>
                <w:lang w:val="en-US" w:eastAsia="zh-CN" w:bidi="ar"/>
              </w:rPr>
              <w:t xml:space="preserve">  </w:t>
            </w:r>
            <w:r>
              <w:rPr>
                <w:rFonts w:hint="default" w:ascii="Times New Roman" w:hAnsi="Times New Roman" w:eastAsia="楷体_GB2312" w:cs="Times New Roman"/>
                <w:i w:val="0"/>
                <w:color w:val="000000"/>
                <w:kern w:val="0"/>
                <w:sz w:val="28"/>
                <w:szCs w:val="28"/>
                <w:u w:val="none"/>
                <w:lang w:val="en-US" w:eastAsia="zh-CN" w:bidi="ar"/>
              </w:rPr>
              <w:t>见</w:t>
            </w:r>
          </w:p>
        </w:tc>
        <w:tc>
          <w:tcPr>
            <w:tcW w:w="655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r>
      <w:tr>
        <w:tblPrEx>
          <w:tblLayout w:type="fixed"/>
          <w:tblCellMar>
            <w:top w:w="0" w:type="dxa"/>
            <w:left w:w="0" w:type="dxa"/>
            <w:bottom w:w="0" w:type="dxa"/>
            <w:right w:w="0" w:type="dxa"/>
          </w:tblCellMar>
        </w:tblPrEx>
        <w:trPr>
          <w:trHeight w:val="330" w:hRule="atLeast"/>
        </w:trPr>
        <w:tc>
          <w:tcPr>
            <w:tcW w:w="1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申请人承诺</w:t>
            </w:r>
          </w:p>
        </w:tc>
        <w:tc>
          <w:tcPr>
            <w:tcW w:w="655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1、承诺本人提供的情况真实准确，并为此承担法律责任。</w:t>
            </w:r>
          </w:p>
        </w:tc>
      </w:tr>
      <w:tr>
        <w:tblPrEx>
          <w:tblLayout w:type="fixed"/>
          <w:tblCellMar>
            <w:top w:w="0" w:type="dxa"/>
            <w:left w:w="0" w:type="dxa"/>
            <w:bottom w:w="0" w:type="dxa"/>
            <w:right w:w="0" w:type="dxa"/>
          </w:tblCellMar>
        </w:tblPrEx>
        <w:trPr>
          <w:trHeight w:val="407" w:hRule="atLeast"/>
        </w:trPr>
        <w:tc>
          <w:tcPr>
            <w:tcW w:w="1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楷体_GB2312" w:cs="Times New Roman"/>
                <w:i w:val="0"/>
                <w:color w:val="000000"/>
                <w:sz w:val="28"/>
                <w:szCs w:val="28"/>
                <w:u w:val="none"/>
              </w:rPr>
            </w:pPr>
          </w:p>
        </w:tc>
        <w:tc>
          <w:tcPr>
            <w:tcW w:w="655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2、承诺对投诉问题现场解决后，不再采取其他方式重复投诉。</w:t>
            </w:r>
          </w:p>
        </w:tc>
      </w:tr>
      <w:tr>
        <w:tblPrEx>
          <w:tblLayout w:type="fixed"/>
          <w:tblCellMar>
            <w:top w:w="0" w:type="dxa"/>
            <w:left w:w="0" w:type="dxa"/>
            <w:bottom w:w="0" w:type="dxa"/>
            <w:right w:w="0" w:type="dxa"/>
          </w:tblCellMar>
        </w:tblPrEx>
        <w:trPr>
          <w:trHeight w:val="1246" w:hRule="atLeast"/>
        </w:trPr>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投诉人签字</w:t>
            </w:r>
          </w:p>
        </w:tc>
        <w:tc>
          <w:tcPr>
            <w:tcW w:w="655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8"/>
                <w:szCs w:val="28"/>
                <w:u w:val="none"/>
              </w:rPr>
            </w:pPr>
            <w:r>
              <w:rPr>
                <w:rFonts w:hint="default" w:ascii="Times New Roman" w:hAnsi="Times New Roman" w:eastAsia="楷体_GB2312" w:cs="Times New Roman"/>
                <w:i w:val="0"/>
                <w:color w:val="000000"/>
                <w:kern w:val="0"/>
                <w:sz w:val="28"/>
                <w:szCs w:val="28"/>
                <w:u w:val="none"/>
                <w:lang w:val="en-US" w:eastAsia="zh-CN" w:bidi="ar"/>
              </w:rPr>
              <w:t>必须由投诉人写明：同意承诺内容及处理意见。                    签字：        时间：</w:t>
            </w:r>
          </w:p>
        </w:tc>
      </w:tr>
      <w:tr>
        <w:tblPrEx>
          <w:tblLayout w:type="fixed"/>
          <w:tblCellMar>
            <w:top w:w="0" w:type="dxa"/>
            <w:left w:w="0" w:type="dxa"/>
            <w:bottom w:w="0" w:type="dxa"/>
            <w:right w:w="0" w:type="dxa"/>
          </w:tblCellMar>
        </w:tblPrEx>
        <w:trPr>
          <w:trHeight w:val="421" w:hRule="atLeast"/>
        </w:trPr>
        <w:tc>
          <w:tcPr>
            <w:tcW w:w="1788"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6552" w:type="dxa"/>
            <w:gridSpan w:val="8"/>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本申请表一式三份：申请人、执法部门、上级部门各一份</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F30B8"/>
    <w:rsid w:val="26BF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2019-07-09T08:17:00Z</dcterms:created>
  <dc:creator>李磊</dc:creator>
  <cp:lastModifiedBy>李磊</cp:lastModifiedBy>
  <dcterms:modified xsi:type="dcterms:W3CDTF">2019-07-09T08:18:11Z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