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黑</w:t>
      </w:r>
      <w:r>
        <w:rPr>
          <w:sz w:val="32"/>
          <w:szCs w:val="32"/>
        </w:rPr>
        <w:t>皓检字【2020】第A0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66千伏街津口变电站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  <w:u w:val="none"/>
        </w:rPr>
        <w:t xml:space="preserve">             </w:t>
      </w:r>
      <w:r>
        <w:rPr>
          <w:sz w:val="32"/>
          <w:szCs w:val="32"/>
          <w:u w:val="none"/>
        </w:rPr>
        <w:t xml:space="preserve"> 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 xml:space="preserve"> </w:t>
      </w:r>
      <w:r>
        <w:rPr>
          <w:rFonts w:hint="eastAsia"/>
          <w:sz w:val="32"/>
          <w:szCs w:val="32"/>
          <w:u w:val="none"/>
        </w:rPr>
        <w:t xml:space="preserve">      </w:t>
      </w:r>
      <w:r>
        <w:rPr>
          <w:sz w:val="32"/>
          <w:szCs w:val="32"/>
          <w:u w:val="none"/>
        </w:rPr>
        <w:t xml:space="preserve"> </w:t>
      </w:r>
      <w:r>
        <w:rPr>
          <w:rFonts w:hint="eastAsia"/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 xml:space="preserve">  </w:t>
      </w:r>
    </w:p>
    <w:p>
      <w:pPr>
        <w:spacing w:line="360" w:lineRule="auto"/>
        <w:ind w:firstLine="160" w:firstLineChars="50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</w:rPr>
        <w:t>委托单位：</w:t>
      </w:r>
      <w:r>
        <w:rPr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 </w:t>
      </w:r>
      <w:r>
        <w:rPr>
          <w:color w:val="auto"/>
          <w:sz w:val="32"/>
          <w:szCs w:val="32"/>
          <w:u w:val="single"/>
        </w:rPr>
        <w:t>国网黑龙江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同江市电业局</w:t>
      </w:r>
      <w:r>
        <w:rPr>
          <w:color w:val="auto"/>
          <w:sz w:val="32"/>
          <w:szCs w:val="32"/>
          <w:u w:val="single"/>
        </w:rPr>
        <w:t xml:space="preserve">有限公司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color w:val="auto"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  <w:lang w:val="en-US" w:eastAsia="zh-CN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  <w:lang w:val="en-US" w:eastAsia="zh-CN"/>
        </w:rPr>
        <w:t>33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</w:t>
            </w:r>
            <w:r>
              <w:rPr>
                <w:rFonts w:hint="eastAsia"/>
                <w:color w:val="000000"/>
                <w:lang w:eastAsia="zh-CN"/>
              </w:rPr>
              <w:t>街津口</w:t>
            </w:r>
            <w:r>
              <w:rPr>
                <w:rFonts w:hint="eastAsia"/>
                <w:color w:val="000000"/>
              </w:rPr>
              <w:t>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color w:val="auto"/>
                <w:sz w:val="21"/>
                <w:szCs w:val="21"/>
                <w:u w:val="none"/>
              </w:rPr>
              <w:t>国网黑龙江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同江市电业局</w:t>
            </w:r>
            <w:r>
              <w:rPr>
                <w:color w:val="auto"/>
                <w:sz w:val="21"/>
                <w:szCs w:val="21"/>
                <w:u w:val="none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color w:val="auto"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186****</w:t>
            </w:r>
            <w:bookmarkStart w:id="4" w:name="_GoBack"/>
            <w:bookmarkEnd w:id="4"/>
            <w:r>
              <w:rPr>
                <w:rFonts w:hint="eastAsia"/>
                <w:color w:val="auto"/>
                <w:lang w:val="en-US" w:eastAsia="zh-CN"/>
              </w:rPr>
              <w:t>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  <w:vAlign w:val="top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  <w:vAlign w:val="top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5.5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1.9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  <w:lang w:val="en-US" w:eastAsia="zh-CN"/>
              </w:rPr>
              <w:t>73.3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rFonts w:hint="eastAsia" w:eastAsia="宋体"/>
                <w:bCs/>
                <w:highlight w:val="red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佳木斯同江</w:t>
            </w:r>
            <w:r>
              <w:rPr>
                <w:rFonts w:hint="eastAsia"/>
                <w:bCs/>
              </w:rPr>
              <w:t>市</w:t>
            </w:r>
            <w:r>
              <w:rPr>
                <w:rFonts w:hint="eastAsia"/>
                <w:bCs/>
                <w:lang w:eastAsia="zh-CN"/>
              </w:rPr>
              <w:t>街津口村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66千伏街津口变电站</w:t>
            </w:r>
            <w:r>
              <w:rPr>
                <w:bCs/>
                <w:color w:val="000000"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40.3-42.5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35.0-37.6</w:t>
            </w:r>
            <w:r>
              <w:rPr>
                <w:kern w:val="0"/>
                <w:sz w:val="21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66千伏街津口变电站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0.96-80.68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66千伏街津口变电站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>0.0093-0.0313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lang w:eastAsia="zh-CN"/>
              </w:rPr>
              <w:t>66千伏街津口变电站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40.3-42.4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36.1-37.9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  <w:lang w:eastAsia="zh-CN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0"/>
                <w:lang w:eastAsia="zh-CN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tabs>
                <w:tab w:val="left" w:pos="4174"/>
              </w:tabs>
              <w:spacing w:line="240" w:lineRule="atLeast"/>
              <w:ind w:firstLine="420" w:firstLineChars="200"/>
              <w:jc w:val="left"/>
            </w:pPr>
            <w:r>
              <w:rPr>
                <w:rFonts w:hint="eastAsia"/>
                <w:color w:val="000000"/>
                <w:lang w:eastAsia="zh-CN"/>
              </w:rPr>
              <w:t>66千伏街津口变电站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0.96-80.68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>0.0093-0.0313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  <w:lang w:eastAsia="zh-CN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0"/>
                <w:lang w:eastAsia="zh-CN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9409835"/>
      <w:bookmarkStart w:id="1" w:name="_Ref357068011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bookmarkStart w:id="2" w:name="OLE_LINK1"/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rFonts w:hint="eastAsia"/>
          <w:b/>
          <w:sz w:val="21"/>
          <w:szCs w:val="21"/>
        </w:rPr>
        <w:t xml:space="preserve">  66千伏</w:t>
      </w:r>
      <w:r>
        <w:rPr>
          <w:rFonts w:hint="eastAsia"/>
          <w:b/>
          <w:sz w:val="21"/>
          <w:szCs w:val="21"/>
          <w:lang w:eastAsia="zh-CN"/>
        </w:rPr>
        <w:t>街津口</w:t>
      </w:r>
      <w:r>
        <w:rPr>
          <w:rFonts w:hint="eastAsia"/>
          <w:b/>
          <w:sz w:val="21"/>
          <w:szCs w:val="21"/>
        </w:rPr>
        <w:t>变电站声环境检测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42.2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40.3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40.4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42.7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41.6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42.4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40.6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40.2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41.0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41.1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37.6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33.7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38.4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  <w:lang w:eastAsia="zh-CN"/>
        </w:rPr>
        <w:t>66千伏街津口变电站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66千伏街津口变电站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3</w:t>
      </w:r>
      <w:r>
        <w:rPr>
          <w:rFonts w:hint="eastAsia"/>
          <w:b/>
          <w:sz w:val="21"/>
          <w:szCs w:val="21"/>
        </w:rPr>
        <w:t xml:space="preserve">  66千伏</w:t>
      </w:r>
      <w:r>
        <w:rPr>
          <w:rFonts w:hint="eastAsia"/>
          <w:b/>
          <w:sz w:val="21"/>
          <w:szCs w:val="21"/>
          <w:lang w:eastAsia="zh-CN"/>
        </w:rPr>
        <w:t>街津口</w:t>
      </w:r>
      <w:r>
        <w:rPr>
          <w:rFonts w:hint="eastAsia"/>
          <w:b/>
          <w:sz w:val="21"/>
          <w:szCs w:val="21"/>
        </w:rPr>
        <w:t>变电站</w:t>
      </w:r>
      <w:r>
        <w:rPr>
          <w:rFonts w:hint="eastAsia"/>
          <w:b/>
          <w:sz w:val="21"/>
          <w:szCs w:val="21"/>
          <w:lang w:eastAsia="zh-CN"/>
        </w:rPr>
        <w:t>电场</w:t>
      </w:r>
      <w:r>
        <w:rPr>
          <w:rFonts w:hint="eastAsia"/>
          <w:b/>
          <w:sz w:val="21"/>
          <w:szCs w:val="21"/>
        </w:rPr>
        <w:t>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5.84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6.02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15.12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15.16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14.99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79.99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80.98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81.07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10.41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10.30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10.38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4</w:t>
      </w:r>
      <w:r>
        <w:rPr>
          <w:rFonts w:hint="eastAsia"/>
          <w:b/>
          <w:sz w:val="21"/>
          <w:szCs w:val="21"/>
        </w:rPr>
        <w:t xml:space="preserve">  66千伏</w:t>
      </w:r>
      <w:r>
        <w:rPr>
          <w:rFonts w:hint="eastAsia"/>
          <w:b/>
          <w:sz w:val="21"/>
          <w:szCs w:val="21"/>
          <w:lang w:eastAsia="zh-CN"/>
        </w:rPr>
        <w:t>街津口</w:t>
      </w:r>
      <w:r>
        <w:rPr>
          <w:rFonts w:hint="eastAsia"/>
          <w:b/>
          <w:sz w:val="21"/>
          <w:szCs w:val="21"/>
        </w:rPr>
        <w:t>变电站</w:t>
      </w:r>
      <w:r>
        <w:rPr>
          <w:rFonts w:hint="eastAsia"/>
          <w:b/>
          <w:sz w:val="21"/>
          <w:szCs w:val="21"/>
          <w:lang w:eastAsia="zh-CN"/>
        </w:rPr>
        <w:t>磁场</w:t>
      </w:r>
      <w:r>
        <w:rPr>
          <w:rFonts w:hint="eastAsia"/>
          <w:b/>
          <w:sz w:val="21"/>
          <w:szCs w:val="21"/>
        </w:rPr>
        <w:t>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0.0140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0.0141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0.0093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0.0092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0.0093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0.0093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0.0116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0.0115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0.0201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0.0201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0.0203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0.0205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0.0119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0.0314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0.0308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0.0130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0.0127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0.0096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0.0095 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  </w:t>
      </w:r>
      <w:r>
        <w:rPr>
          <w:rFonts w:hint="eastAsia"/>
          <w:b/>
          <w:lang w:eastAsia="zh-CN"/>
        </w:rPr>
        <w:t>66千伏街津口变电站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66千伏街津口变电站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jc w:val="center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围墙西南侧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围墙东南侧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  <w:rPr>
          <w:rFonts w:hint="eastAsia" w:eastAsia="宋体"/>
          <w:lang w:eastAsia="zh-CN"/>
        </w:rPr>
      </w:pPr>
      <w:bookmarkStart w:id="3" w:name="OLE_LINK18"/>
    </w:p>
    <w:p>
      <w:pPr>
        <w:tabs>
          <w:tab w:val="left" w:pos="4580"/>
        </w:tabs>
        <w:spacing w:line="240" w:lineRule="atLeast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4810" cy="4234180"/>
            <wp:effectExtent l="0" t="0" r="2540" b="13970"/>
            <wp:docPr id="3" name="图片 3" descr="微信图片_20200921105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21105010"/>
                    <pic:cNvPicPr>
                      <a:picLocks noChangeAspect="1"/>
                    </pic:cNvPicPr>
                  </pic:nvPicPr>
                  <pic:blipFill>
                    <a:blip r:embed="rId12"/>
                    <a:srcRect l="11212" t="24348" r="24628" b="19353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  <w:lang w:val="en-US" w:eastAsia="zh-CN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  <w:lang w:eastAsia="zh-CN"/>
        </w:rPr>
        <w:t>66千伏街津口变电站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</w:t>
                </w:r>
                <w:r>
                  <w:rPr>
                    <w:rFonts w:hint="eastAsia"/>
                    <w:sz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1 页 共 </w:t>
                </w:r>
                <w:r>
                  <w:rPr>
                    <w:rFonts w:hint="eastAsia"/>
                    <w:sz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822E7"/>
    <w:rsid w:val="00182610"/>
    <w:rsid w:val="001837D6"/>
    <w:rsid w:val="00185D98"/>
    <w:rsid w:val="001928F4"/>
    <w:rsid w:val="00193D9B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B78"/>
    <w:rsid w:val="00FD60A6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4E06B00"/>
    <w:rsid w:val="052A77EF"/>
    <w:rsid w:val="06A7678E"/>
    <w:rsid w:val="06E86F92"/>
    <w:rsid w:val="079C0ECC"/>
    <w:rsid w:val="08C12345"/>
    <w:rsid w:val="09040B98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685DA4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20724D7B"/>
    <w:rsid w:val="222E55B1"/>
    <w:rsid w:val="23D12047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00670DE"/>
    <w:rsid w:val="618F28B6"/>
    <w:rsid w:val="61BF2FA8"/>
    <w:rsid w:val="62F64BE4"/>
    <w:rsid w:val="62F86D33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FA777DE"/>
    <w:rsid w:val="70C340F1"/>
    <w:rsid w:val="718D6B33"/>
    <w:rsid w:val="72B235F0"/>
    <w:rsid w:val="72FB0D3F"/>
    <w:rsid w:val="73A67ABC"/>
    <w:rsid w:val="740C7283"/>
    <w:rsid w:val="74D303FC"/>
    <w:rsid w:val="74F56459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5D934-8A43-4DB0-8BA4-98B9513C4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1608</Words>
  <Characters>1461</Characters>
  <Lines>12</Lines>
  <Paragraphs>6</Paragraphs>
  <TotalTime>0</TotalTime>
  <ScaleCrop>false</ScaleCrop>
  <LinksUpToDate>false</LinksUpToDate>
  <CharactersWithSpaces>3063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2020-10-14T01:52:59Z</dcterms:modified>
  <dc:title>哈尔滨嘉实瑞德检测站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