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00"/>
        </w:tabs>
        <w:jc w:val="center"/>
        <w:rPr>
          <w:rFonts w:hint="default" w:ascii="Times New Roman" w:hAnsi="Times New Roman" w:eastAsia="宋体" w:cs="Times New Roman"/>
          <w:color w:val="FF0000"/>
          <w:sz w:val="72"/>
          <w:szCs w:val="72"/>
          <w:highlight w:val="none"/>
        </w:rPr>
      </w:pPr>
    </w:p>
    <w:p>
      <w:pPr>
        <w:jc w:val="center"/>
        <w:rPr>
          <w:rFonts w:hint="default" w:ascii="Times New Roman" w:hAnsi="Times New Roman" w:eastAsia="宋体" w:cs="Times New Roman"/>
          <w:b/>
          <w:color w:val="FF0000"/>
          <w:sz w:val="72"/>
          <w:szCs w:val="72"/>
          <w:highlight w:val="none"/>
        </w:rPr>
      </w:pPr>
    </w:p>
    <w:p>
      <w:pPr>
        <w:jc w:val="center"/>
        <w:rPr>
          <w:rFonts w:hint="default" w:ascii="Times New Roman" w:hAnsi="Times New Roman" w:eastAsia="宋体" w:cs="Times New Roman"/>
          <w:b/>
          <w:color w:val="auto"/>
          <w:sz w:val="72"/>
          <w:szCs w:val="72"/>
          <w:highlight w:val="none"/>
        </w:rPr>
      </w:pPr>
      <w:r>
        <w:rPr>
          <w:rFonts w:hint="default" w:ascii="Times New Roman" w:hAnsi="Times New Roman" w:eastAsia="宋体" w:cs="Times New Roman"/>
          <w:b/>
          <w:color w:val="auto"/>
          <w:sz w:val="72"/>
          <w:szCs w:val="72"/>
          <w:highlight w:val="none"/>
        </w:rPr>
        <w:t>建设项目环境影响报告表</w:t>
      </w:r>
    </w:p>
    <w:p>
      <w:pPr>
        <w:jc w:val="center"/>
        <w:rPr>
          <w:rFonts w:hint="default" w:ascii="Times New Roman" w:hAnsi="Times New Roman" w:eastAsia="宋体" w:cs="Times New Roman"/>
          <w:b/>
          <w:color w:val="FF0000"/>
          <w:sz w:val="72"/>
          <w:szCs w:val="72"/>
          <w:highlight w:val="none"/>
        </w:rPr>
      </w:pPr>
    </w:p>
    <w:p>
      <w:pPr>
        <w:rPr>
          <w:rFonts w:hint="default" w:ascii="Times New Roman" w:hAnsi="Times New Roman" w:eastAsia="宋体" w:cs="Times New Roman"/>
          <w:b/>
          <w:color w:val="FF0000"/>
          <w:sz w:val="72"/>
          <w:szCs w:val="72"/>
          <w:highlight w:val="none"/>
        </w:rPr>
      </w:pPr>
    </w:p>
    <w:p>
      <w:pPr>
        <w:jc w:val="center"/>
        <w:rPr>
          <w:rFonts w:hint="default" w:ascii="Times New Roman" w:hAnsi="Times New Roman" w:eastAsia="宋体" w:cs="Times New Roman"/>
          <w:b/>
          <w:color w:val="FF0000"/>
          <w:sz w:val="72"/>
          <w:szCs w:val="72"/>
          <w:highlight w:val="none"/>
        </w:rPr>
      </w:pPr>
    </w:p>
    <w:p>
      <w:pPr>
        <w:jc w:val="center"/>
        <w:rPr>
          <w:rFonts w:hint="default" w:ascii="Times New Roman" w:hAnsi="Times New Roman" w:eastAsia="宋体" w:cs="Times New Roman"/>
          <w:b/>
          <w:color w:val="FF0000"/>
          <w:sz w:val="72"/>
          <w:szCs w:val="72"/>
          <w:highlight w:val="none"/>
        </w:rPr>
      </w:pPr>
    </w:p>
    <w:p>
      <w:pPr>
        <w:jc w:val="center"/>
        <w:rPr>
          <w:rFonts w:hint="default" w:ascii="Times New Roman" w:hAnsi="Times New Roman" w:eastAsia="宋体" w:cs="Times New Roman"/>
          <w:b/>
          <w:color w:val="FF0000"/>
          <w:sz w:val="72"/>
          <w:szCs w:val="72"/>
          <w:highlight w:val="none"/>
        </w:rPr>
      </w:pPr>
    </w:p>
    <w:p>
      <w:pPr>
        <w:spacing w:line="360" w:lineRule="auto"/>
        <w:rPr>
          <w:rFonts w:hint="default" w:ascii="Times New Roman" w:hAnsi="Times New Roman" w:eastAsia="宋体" w:cs="Times New Roman"/>
          <w:b/>
          <w:color w:val="auto"/>
          <w:kern w:val="0"/>
          <w:sz w:val="32"/>
          <w:szCs w:val="32"/>
          <w:u w:val="single"/>
        </w:rPr>
      </w:pPr>
      <w:r>
        <w:rPr>
          <w:rFonts w:hint="default" w:ascii="Times New Roman" w:hAnsi="Times New Roman" w:eastAsia="宋体" w:cs="Times New Roman"/>
          <w:b/>
          <w:color w:val="auto"/>
          <w:sz w:val="32"/>
          <w:szCs w:val="32"/>
        </w:rPr>
        <w:t>项目名称：</w:t>
      </w:r>
      <w:r>
        <w:rPr>
          <w:rFonts w:hint="eastAsia" w:ascii="Times New Roman" w:hAnsi="Times New Roman" w:eastAsia="宋体" w:cs="Times New Roman"/>
          <w:b/>
          <w:color w:val="auto"/>
          <w:kern w:val="0"/>
          <w:sz w:val="32"/>
          <w:szCs w:val="32"/>
          <w:u w:val="thick"/>
          <w:lang w:val="en-US" w:eastAsia="zh-CN"/>
        </w:rPr>
        <w:t>中国石油天然气股份有限公司黑龙江佳木斯同江经营部第三加油站</w:t>
      </w:r>
      <w:r>
        <w:rPr>
          <w:rFonts w:hint="default" w:ascii="Times New Roman" w:hAnsi="Times New Roman" w:eastAsia="宋体" w:cs="Times New Roman"/>
          <w:b/>
          <w:color w:val="auto"/>
          <w:kern w:val="0"/>
          <w:sz w:val="32"/>
          <w:szCs w:val="32"/>
          <w:u w:val="thick"/>
          <w:lang w:val="en-US" w:eastAsia="zh-CN"/>
        </w:rPr>
        <w:t>项目</w:t>
      </w:r>
    </w:p>
    <w:p>
      <w:pPr>
        <w:rPr>
          <w:rFonts w:hint="default" w:ascii="Times New Roman" w:hAnsi="Times New Roman" w:eastAsia="宋体" w:cs="Times New Roman"/>
          <w:b/>
          <w:color w:val="auto"/>
          <w:sz w:val="32"/>
          <w:szCs w:val="32"/>
          <w:u w:val="single"/>
          <w:lang w:val="en-US"/>
        </w:rPr>
      </w:pPr>
      <w:r>
        <w:rPr>
          <w:rFonts w:hint="default" w:ascii="Times New Roman" w:hAnsi="Times New Roman" w:eastAsia="宋体" w:cs="Times New Roman"/>
          <w:b/>
          <w:color w:val="auto"/>
          <w:sz w:val="32"/>
          <w:szCs w:val="32"/>
        </w:rPr>
        <w:t>建设单位（公章）：</w:t>
      </w:r>
      <w:r>
        <w:rPr>
          <w:rFonts w:hint="eastAsia" w:ascii="Times New Roman" w:hAnsi="Times New Roman" w:eastAsia="宋体" w:cs="Times New Roman"/>
          <w:b/>
          <w:color w:val="auto"/>
          <w:kern w:val="0"/>
          <w:sz w:val="32"/>
          <w:szCs w:val="32"/>
          <w:u w:val="thick"/>
          <w:lang w:val="en-US" w:eastAsia="zh-CN"/>
        </w:rPr>
        <w:t>中国石油天然气股份有限公司黑龙江佳木斯同江经营部</w:t>
      </w:r>
    </w:p>
    <w:p>
      <w:pPr>
        <w:rPr>
          <w:rFonts w:hint="default" w:ascii="Times New Roman" w:hAnsi="Times New Roman" w:eastAsia="宋体" w:cs="Times New Roman"/>
          <w:b/>
          <w:color w:val="auto"/>
          <w:sz w:val="32"/>
          <w:szCs w:val="32"/>
          <w:highlight w:val="none"/>
          <w:u w:val="single"/>
        </w:rPr>
      </w:pPr>
    </w:p>
    <w:p>
      <w:pPr>
        <w:rPr>
          <w:rFonts w:hint="default" w:ascii="Times New Roman" w:hAnsi="Times New Roman" w:eastAsia="宋体" w:cs="Times New Roman"/>
          <w:b/>
          <w:color w:val="FF0000"/>
          <w:sz w:val="32"/>
          <w:szCs w:val="32"/>
          <w:highlight w:val="none"/>
          <w:u w:val="single"/>
        </w:rPr>
      </w:pPr>
    </w:p>
    <w:p>
      <w:pPr>
        <w:rPr>
          <w:rFonts w:hint="default" w:ascii="Times New Roman" w:hAnsi="Times New Roman" w:eastAsia="宋体" w:cs="Times New Roman"/>
          <w:b/>
          <w:color w:val="FF0000"/>
          <w:sz w:val="32"/>
          <w:szCs w:val="32"/>
          <w:highlight w:val="none"/>
          <w:u w:val="single"/>
        </w:rPr>
      </w:pPr>
    </w:p>
    <w:p>
      <w:pPr>
        <w:rPr>
          <w:rFonts w:hint="default" w:ascii="Times New Roman" w:hAnsi="Times New Roman" w:eastAsia="宋体" w:cs="Times New Roman"/>
          <w:b/>
          <w:color w:val="FF0000"/>
          <w:sz w:val="32"/>
          <w:szCs w:val="32"/>
          <w:highlight w:val="none"/>
          <w:u w:val="single"/>
        </w:rPr>
      </w:pPr>
    </w:p>
    <w:p>
      <w:pPr>
        <w:widowControl/>
        <w:shd w:val="clear" w:color="auto" w:fill="FFFFFF"/>
        <w:spacing w:line="447" w:lineRule="atLeast"/>
        <w:jc w:val="center"/>
        <w:rPr>
          <w:rFonts w:hint="default" w:ascii="Times New Roman" w:hAnsi="Times New Roman" w:eastAsia="宋体" w:cs="Times New Roman"/>
          <w:b/>
          <w:bCs/>
          <w:color w:val="auto"/>
          <w:kern w:val="0"/>
          <w:sz w:val="32"/>
          <w:szCs w:val="32"/>
        </w:rPr>
      </w:pPr>
      <w:r>
        <w:rPr>
          <w:rFonts w:hint="eastAsia" w:ascii="Times New Roman" w:hAnsi="Times New Roman" w:eastAsia="宋体" w:cs="Times New Roman"/>
          <w:b/>
          <w:bCs/>
          <w:color w:val="auto"/>
          <w:kern w:val="0"/>
          <w:sz w:val="32"/>
          <w:szCs w:val="32"/>
          <w:lang w:eastAsia="zh-CN"/>
        </w:rPr>
        <w:t>黑龙江环盛环保科技开发有限公司</w:t>
      </w:r>
      <w:r>
        <w:rPr>
          <w:rFonts w:hint="default" w:ascii="Times New Roman" w:hAnsi="Times New Roman" w:eastAsia="宋体" w:cs="Times New Roman"/>
          <w:b/>
          <w:bCs/>
          <w:color w:val="auto"/>
          <w:kern w:val="0"/>
          <w:sz w:val="32"/>
          <w:szCs w:val="32"/>
        </w:rPr>
        <w:t>制</w:t>
      </w:r>
    </w:p>
    <w:p>
      <w:pPr>
        <w:jc w:val="center"/>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rPr>
        <w:t>20</w:t>
      </w:r>
      <w:r>
        <w:rPr>
          <w:rFonts w:hint="default" w:ascii="Times New Roman" w:hAnsi="Times New Roman" w:eastAsia="宋体" w:cs="Times New Roman"/>
          <w:b/>
          <w:color w:val="auto"/>
          <w:sz w:val="32"/>
          <w:szCs w:val="32"/>
          <w:lang w:val="en-US" w:eastAsia="zh-CN"/>
        </w:rPr>
        <w:t>20</w:t>
      </w:r>
      <w:r>
        <w:rPr>
          <w:rFonts w:hint="default" w:ascii="Times New Roman" w:hAnsi="Times New Roman" w:eastAsia="宋体" w:cs="Times New Roman"/>
          <w:b/>
          <w:color w:val="auto"/>
          <w:sz w:val="32"/>
          <w:szCs w:val="32"/>
        </w:rPr>
        <w:t>年</w:t>
      </w:r>
      <w:r>
        <w:rPr>
          <w:rFonts w:hint="eastAsia" w:ascii="Times New Roman" w:hAnsi="Times New Roman" w:eastAsia="宋体" w:cs="Times New Roman"/>
          <w:b/>
          <w:color w:val="auto"/>
          <w:sz w:val="32"/>
          <w:szCs w:val="32"/>
          <w:lang w:val="en-US" w:eastAsia="zh-CN"/>
        </w:rPr>
        <w:t>5</w:t>
      </w:r>
      <w:r>
        <w:rPr>
          <w:rFonts w:hint="default" w:ascii="Times New Roman" w:hAnsi="Times New Roman" w:eastAsia="宋体" w:cs="Times New Roman"/>
          <w:b/>
          <w:color w:val="auto"/>
          <w:sz w:val="32"/>
          <w:szCs w:val="32"/>
        </w:rPr>
        <w:t>月</w:t>
      </w:r>
    </w:p>
    <w:p>
      <w:pPr>
        <w:pStyle w:val="34"/>
        <w:rPr>
          <w:rFonts w:hint="default" w:ascii="Times New Roman" w:hAnsi="Times New Roman" w:eastAsia="宋体" w:cs="Times New Roman"/>
          <w:color w:val="FF0000"/>
        </w:rPr>
      </w:pPr>
    </w:p>
    <w:p>
      <w:pPr>
        <w:rPr>
          <w:rFonts w:hint="eastAsia" w:eastAsia="宋体"/>
          <w:lang w:eastAsia="zh-CN"/>
        </w:rPr>
        <w:sectPr>
          <w:footerReference r:id="rId3" w:type="even"/>
          <w:pgSz w:w="11906" w:h="16838"/>
          <w:pgMar w:top="1440" w:right="1418" w:bottom="1440" w:left="1418" w:header="851" w:footer="992" w:gutter="0"/>
          <w:pgBorders>
            <w:top w:val="none" w:sz="0" w:space="0"/>
            <w:left w:val="none" w:sz="0" w:space="0"/>
            <w:bottom w:val="none" w:sz="0" w:space="0"/>
            <w:right w:val="none" w:sz="0" w:space="0"/>
          </w:pgBorders>
          <w:cols w:space="720" w:num="1"/>
          <w:titlePg/>
          <w:docGrid w:type="lines" w:linePitch="312" w:charSpace="0"/>
        </w:sectPr>
      </w:pPr>
      <w:bookmarkStart w:id="305" w:name="_GoBack"/>
      <w:r>
        <w:rPr>
          <w:rFonts w:hint="eastAsia" w:eastAsia="宋体"/>
          <w:lang w:eastAsia="zh-CN"/>
        </w:rPr>
        <w:drawing>
          <wp:inline distT="0" distB="0" distL="114300" distR="114300">
            <wp:extent cx="5760085" cy="8279765"/>
            <wp:effectExtent l="0" t="0" r="12065" b="6985"/>
            <wp:docPr id="30" name="图片 30" descr="f6db8bac99588e3cdef9368f488671c"/>
            <wp:cNvGraphicFramePr/>
            <a:graphic xmlns:a="http://schemas.openxmlformats.org/drawingml/2006/main">
              <a:graphicData uri="http://schemas.openxmlformats.org/drawingml/2006/picture">
                <pic:pic xmlns:pic="http://schemas.openxmlformats.org/drawingml/2006/picture">
                  <pic:nvPicPr>
                    <pic:cNvPr id="30" name="图片 30" descr="f6db8bac99588e3cdef9368f488671c"/>
                    <pic:cNvPicPr/>
                  </pic:nvPicPr>
                  <pic:blipFill>
                    <a:blip r:embed="rId8"/>
                    <a:stretch>
                      <a:fillRect/>
                    </a:stretch>
                  </pic:blipFill>
                  <pic:spPr>
                    <a:xfrm>
                      <a:off x="0" y="0"/>
                      <a:ext cx="5760085" cy="8279765"/>
                    </a:xfrm>
                    <a:prstGeom prst="rect">
                      <a:avLst/>
                    </a:prstGeom>
                  </pic:spPr>
                </pic:pic>
              </a:graphicData>
            </a:graphic>
          </wp:inline>
        </w:drawing>
      </w:r>
      <w:bookmarkEnd w:id="305"/>
    </w:p>
    <w:p>
      <w:pPr>
        <w:jc w:val="center"/>
        <w:rPr>
          <w:rFonts w:hint="default" w:ascii="Times New Roman" w:hAnsi="Times New Roman" w:eastAsia="宋体" w:cs="Times New Roman"/>
          <w:b/>
          <w:color w:val="auto"/>
          <w:sz w:val="32"/>
          <w:szCs w:val="32"/>
          <w:highlight w:val="none"/>
        </w:rPr>
      </w:pPr>
      <w:bookmarkStart w:id="0" w:name="_Toc251921949"/>
      <w:r>
        <w:rPr>
          <w:rFonts w:hint="default" w:ascii="Times New Roman" w:hAnsi="Times New Roman" w:eastAsia="宋体" w:cs="Times New Roman"/>
          <w:b/>
          <w:color w:val="auto"/>
          <w:sz w:val="32"/>
          <w:szCs w:val="32"/>
          <w:highlight w:val="none"/>
        </w:rPr>
        <w:t>目   录</w:t>
      </w:r>
      <w:bookmarkEnd w:id="0"/>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b/>
          <w:color w:val="auto"/>
          <w:highlight w:val="none"/>
        </w:rPr>
        <w:fldChar w:fldCharType="begin"/>
      </w:r>
      <w:r>
        <w:rPr>
          <w:rFonts w:hint="default" w:ascii="Times New Roman" w:hAnsi="Times New Roman" w:eastAsia="宋体" w:cs="Times New Roman"/>
          <w:b/>
          <w:color w:val="auto"/>
          <w:highlight w:val="none"/>
        </w:rPr>
        <w:instrText xml:space="preserve"> TOC \o "1-3" \h \z \u </w:instrText>
      </w:r>
      <w:r>
        <w:rPr>
          <w:rFonts w:hint="default" w:ascii="Times New Roman" w:hAnsi="Times New Roman" w:eastAsia="宋体" w:cs="Times New Roman"/>
          <w:b/>
          <w:color w:val="auto"/>
          <w:highlight w:val="none"/>
        </w:rPr>
        <w:fldChar w:fldCharType="separate"/>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_Toc29212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一、建设项目基本情况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_Toc29212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_Toc17778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rPr>
        <w:t>建设项目所在地自然环境简况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_Toc17778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_Toc10607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三、环境质量状况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_Toc10607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_Toc7017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四、评价适用标准</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_Toc7017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_Toc15838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五、建设项目工程分析及主要污染工序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_Toc15838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_Toc12812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六、项目主要污染物产生及预计排放情况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_Toc12812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_Toc8934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七、环境影响分析和污染防治措施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_Toc8934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_Toc11456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八、建设项目拟采取的防治措施及预期治理效果</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_Toc11456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_Toc7535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九、风险分析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_Toc7535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pStyle w:val="2"/>
        <w:tabs>
          <w:tab w:val="right" w:leader="dot" w:pos="9026"/>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_Toc17649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十、结论与建议</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_Toc17649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highlight w:val="none"/>
        </w:rPr>
        <w:fldChar w:fldCharType="end"/>
      </w:r>
    </w:p>
    <w:p>
      <w:pPr>
        <w:spacing w:line="400" w:lineRule="exact"/>
        <w:ind w:left="410" w:hanging="408" w:hangingChars="17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
          <w:color w:val="auto"/>
          <w:highlight w:val="none"/>
        </w:rPr>
        <w:t>附图：</w:t>
      </w:r>
    </w:p>
    <w:p>
      <w:pPr>
        <w:spacing w:line="400" w:lineRule="exact"/>
        <w:ind w:firstLine="705" w:firstLineChars="294"/>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附图1 建设项目地理位置图</w:t>
      </w:r>
    </w:p>
    <w:p>
      <w:pPr>
        <w:spacing w:line="400" w:lineRule="exact"/>
        <w:ind w:firstLine="705" w:firstLineChars="294"/>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附图2平面布置图</w:t>
      </w:r>
    </w:p>
    <w:p>
      <w:pPr>
        <w:spacing w:line="400" w:lineRule="exact"/>
        <w:ind w:firstLine="705" w:firstLineChars="294"/>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附图3环境保护目标图</w:t>
      </w:r>
    </w:p>
    <w:p>
      <w:pPr>
        <w:spacing w:line="400" w:lineRule="exact"/>
        <w:ind w:firstLine="705" w:firstLineChars="294"/>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附图4项目区域现状图</w:t>
      </w:r>
    </w:p>
    <w:p>
      <w:pPr>
        <w:spacing w:line="400" w:lineRule="exact"/>
        <w:ind w:left="410" w:hanging="410" w:hangingChars="17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附件：</w:t>
      </w:r>
    </w:p>
    <w:p>
      <w:pPr>
        <w:spacing w:line="360" w:lineRule="auto"/>
        <w:ind w:firstLine="705" w:firstLineChars="294"/>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 xml:space="preserve">附件1 营业执照 </w:t>
      </w:r>
    </w:p>
    <w:p>
      <w:pPr>
        <w:spacing w:line="360" w:lineRule="auto"/>
        <w:ind w:firstLine="705" w:firstLineChars="294"/>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附件</w:t>
      </w:r>
      <w:r>
        <w:rPr>
          <w:rFonts w:hint="eastAsia" w:ascii="Times New Roman" w:hAnsi="Times New Roman" w:eastAsia="宋体" w:cs="Times New Roman"/>
          <w:bCs/>
          <w:color w:val="auto"/>
          <w:highlight w:val="none"/>
          <w:lang w:val="en-US" w:eastAsia="zh-CN"/>
        </w:rPr>
        <w:t>2</w:t>
      </w:r>
      <w:r>
        <w:rPr>
          <w:rFonts w:hint="default" w:ascii="Times New Roman" w:hAnsi="Times New Roman" w:eastAsia="宋体" w:cs="Times New Roman"/>
          <w:bCs/>
          <w:color w:val="auto"/>
          <w:highlight w:val="none"/>
          <w:lang w:val="en-US" w:eastAsia="zh-CN"/>
        </w:rPr>
        <w:t xml:space="preserve"> </w:t>
      </w:r>
      <w:r>
        <w:rPr>
          <w:rFonts w:hint="default" w:ascii="Times New Roman" w:hAnsi="Times New Roman" w:eastAsia="宋体" w:cs="Times New Roman"/>
          <w:bCs/>
          <w:color w:val="auto"/>
          <w:highlight w:val="none"/>
        </w:rPr>
        <w:t>大气污染物计算说明</w:t>
      </w:r>
    </w:p>
    <w:p>
      <w:pPr>
        <w:spacing w:line="360" w:lineRule="auto"/>
        <w:ind w:firstLine="705" w:firstLineChars="294"/>
        <w:rPr>
          <w:rFonts w:hint="default" w:ascii="Times New Roman" w:hAnsi="Times New Roman" w:eastAsia="宋体" w:cs="Times New Roman"/>
          <w:bCs/>
          <w:color w:val="auto"/>
          <w:highlight w:val="none"/>
          <w:lang w:val="en-US"/>
        </w:rPr>
      </w:pPr>
      <w:r>
        <w:rPr>
          <w:rFonts w:hint="default" w:ascii="Times New Roman" w:hAnsi="Times New Roman" w:eastAsia="宋体" w:cs="Times New Roman"/>
          <w:bCs/>
          <w:color w:val="auto"/>
          <w:highlight w:val="none"/>
          <w:lang w:val="en-US" w:eastAsia="zh-CN"/>
        </w:rPr>
        <w:t>附件</w:t>
      </w:r>
      <w:r>
        <w:rPr>
          <w:rFonts w:hint="eastAsia" w:ascii="Times New Roman" w:hAnsi="Times New Roman" w:eastAsia="宋体" w:cs="Times New Roman"/>
          <w:bCs/>
          <w:color w:val="auto"/>
          <w:highlight w:val="none"/>
          <w:lang w:val="en-US" w:eastAsia="zh-CN"/>
        </w:rPr>
        <w:t>3</w:t>
      </w:r>
      <w:r>
        <w:rPr>
          <w:rFonts w:hint="default" w:ascii="Times New Roman" w:hAnsi="Times New Roman" w:eastAsia="宋体" w:cs="Times New Roman"/>
          <w:bCs/>
          <w:color w:val="auto"/>
          <w:highlight w:val="none"/>
          <w:lang w:val="en-US" w:eastAsia="zh-CN"/>
        </w:rPr>
        <w:t xml:space="preserve"> </w:t>
      </w:r>
      <w:r>
        <w:rPr>
          <w:rFonts w:hint="eastAsia" w:ascii="Times New Roman" w:hAnsi="Times New Roman" w:eastAsia="宋体" w:cs="Times New Roman"/>
          <w:bCs/>
          <w:color w:val="auto"/>
          <w:highlight w:val="none"/>
          <w:lang w:val="en-US" w:eastAsia="zh-CN"/>
        </w:rPr>
        <w:t>土地文件</w:t>
      </w:r>
    </w:p>
    <w:p>
      <w:pPr>
        <w:spacing w:line="360" w:lineRule="auto"/>
        <w:ind w:firstLine="705" w:firstLineChars="294"/>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附件</w:t>
      </w:r>
      <w:r>
        <w:rPr>
          <w:rFonts w:hint="eastAsia" w:ascii="Times New Roman" w:hAnsi="Times New Roman" w:eastAsia="宋体" w:cs="Times New Roman"/>
          <w:bCs/>
          <w:color w:val="auto"/>
          <w:highlight w:val="none"/>
          <w:lang w:val="en-US" w:eastAsia="zh-CN"/>
        </w:rPr>
        <w:t>4</w:t>
      </w:r>
      <w:r>
        <w:rPr>
          <w:rFonts w:hint="default" w:ascii="Times New Roman" w:hAnsi="Times New Roman" w:eastAsia="宋体" w:cs="Times New Roman"/>
          <w:bCs/>
          <w:color w:val="auto"/>
          <w:highlight w:val="none"/>
          <w:lang w:val="en-US" w:eastAsia="zh-CN"/>
        </w:rPr>
        <w:t xml:space="preserve"> </w:t>
      </w:r>
      <w:r>
        <w:rPr>
          <w:rFonts w:hint="default" w:ascii="Times New Roman" w:hAnsi="Times New Roman" w:eastAsia="宋体" w:cs="Times New Roman"/>
          <w:bCs/>
          <w:color w:val="auto"/>
          <w:highlight w:val="none"/>
        </w:rPr>
        <w:t>大气环境影响评价自查表</w:t>
      </w:r>
    </w:p>
    <w:p>
      <w:pPr>
        <w:pStyle w:val="34"/>
        <w:spacing w:line="360" w:lineRule="auto"/>
        <w:ind w:firstLine="720" w:firstLineChars="3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附件</w:t>
      </w:r>
      <w:r>
        <w:rPr>
          <w:rFonts w:hint="eastAsia" w:ascii="Times New Roman" w:cs="Times New Roman"/>
          <w:bCs/>
          <w:color w:val="auto"/>
          <w:highlight w:val="none"/>
          <w:lang w:val="en-US" w:eastAsia="zh-CN"/>
        </w:rPr>
        <w:t>5</w:t>
      </w:r>
      <w:r>
        <w:rPr>
          <w:rFonts w:hint="default" w:ascii="Times New Roman" w:hAnsi="Times New Roman" w:eastAsia="宋体" w:cs="Times New Roman"/>
          <w:bCs/>
          <w:color w:val="auto"/>
          <w:highlight w:val="none"/>
          <w:lang w:val="en-US" w:eastAsia="zh-CN"/>
        </w:rPr>
        <w:t xml:space="preserve"> </w:t>
      </w:r>
      <w:r>
        <w:rPr>
          <w:rFonts w:hint="default" w:ascii="Times New Roman" w:hAnsi="Times New Roman" w:eastAsia="宋体" w:cs="Times New Roman"/>
          <w:bCs/>
          <w:color w:val="auto"/>
          <w:highlight w:val="none"/>
        </w:rPr>
        <w:t>风险自查表</w:t>
      </w:r>
    </w:p>
    <w:p>
      <w:pPr>
        <w:pStyle w:val="34"/>
        <w:spacing w:line="360" w:lineRule="auto"/>
        <w:ind w:firstLine="720" w:firstLineChars="300"/>
        <w:rPr>
          <w:rFonts w:hint="eastAsia"/>
          <w:b w:val="0"/>
          <w:bCs w:val="0"/>
          <w:color w:val="auto"/>
          <w:lang w:val="en-US" w:eastAsia="zh-CN"/>
        </w:rPr>
      </w:pPr>
      <w:r>
        <w:rPr>
          <w:rFonts w:hint="eastAsia" w:ascii="Times New Roman" w:cs="Times New Roman"/>
          <w:b w:val="0"/>
          <w:bCs w:val="0"/>
          <w:color w:val="auto"/>
          <w:sz w:val="24"/>
          <w:szCs w:val="24"/>
          <w:lang w:val="en-US" w:eastAsia="zh-CN"/>
        </w:rPr>
        <w:t xml:space="preserve">附件6 </w:t>
      </w:r>
      <w:r>
        <w:rPr>
          <w:rFonts w:hint="eastAsia"/>
          <w:b w:val="0"/>
          <w:bCs w:val="0"/>
          <w:color w:val="auto"/>
          <w:lang w:val="en-US" w:eastAsia="zh-CN"/>
        </w:rPr>
        <w:t>地表水环境影响评价自查表</w:t>
      </w:r>
    </w:p>
    <w:p>
      <w:pPr>
        <w:pStyle w:val="34"/>
        <w:spacing w:line="360" w:lineRule="auto"/>
        <w:ind w:firstLine="720" w:firstLineChars="300"/>
        <w:rPr>
          <w:rFonts w:hint="default"/>
          <w:color w:val="auto"/>
          <w:lang w:val="en-US" w:eastAsia="zh-CN"/>
        </w:rPr>
      </w:pPr>
      <w:r>
        <w:rPr>
          <w:rFonts w:hint="eastAsia" w:ascii="Times New Roman" w:cs="Times New Roman"/>
          <w:b w:val="0"/>
          <w:bCs w:val="0"/>
          <w:color w:val="auto"/>
          <w:sz w:val="24"/>
          <w:szCs w:val="24"/>
          <w:lang w:val="en-US" w:eastAsia="zh-CN"/>
        </w:rPr>
        <w:t>附件7 检测报告</w:t>
      </w:r>
    </w:p>
    <w:p>
      <w:pPr>
        <w:spacing w:line="400" w:lineRule="exact"/>
        <w:ind w:left="410" w:hanging="410" w:hangingChars="17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建设项目环评审批基础信息表</w:t>
      </w:r>
    </w:p>
    <w:p>
      <w:pPr>
        <w:ind w:left="408" w:hanging="408" w:hangingChars="170"/>
        <w:rPr>
          <w:rFonts w:hint="default" w:ascii="Times New Roman" w:hAnsi="Times New Roman" w:eastAsia="宋体" w:cs="Times New Roman"/>
          <w:bCs/>
          <w:color w:val="FF0000"/>
          <w:highlight w:val="none"/>
        </w:rPr>
      </w:pPr>
    </w:p>
    <w:p>
      <w:pPr>
        <w:ind w:left="408" w:hanging="408" w:hangingChars="170"/>
        <w:rPr>
          <w:rFonts w:hint="default" w:ascii="Times New Roman" w:hAnsi="Times New Roman" w:eastAsia="宋体" w:cs="Times New Roman"/>
          <w:bCs/>
          <w:color w:val="FF0000"/>
          <w:highlight w:val="none"/>
        </w:rPr>
        <w:sectPr>
          <w:footerReference r:id="rId4" w:type="default"/>
          <w:pgSz w:w="11906" w:h="16838"/>
          <w:pgMar w:top="1418" w:right="1440" w:bottom="1418"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3"/>
        <w:spacing w:before="0" w:after="0" w:line="413" w:lineRule="auto"/>
        <w:rPr>
          <w:rFonts w:hint="default" w:ascii="Times New Roman" w:hAnsi="Times New Roman" w:eastAsia="宋体" w:cs="Times New Roman"/>
          <w:color w:val="auto"/>
          <w:highlight w:val="none"/>
        </w:rPr>
      </w:pPr>
      <w:bookmarkStart w:id="1" w:name="_Toc251921950"/>
      <w:bookmarkStart w:id="2" w:name="_Toc29212"/>
      <w:r>
        <w:rPr>
          <w:rFonts w:hint="default" w:ascii="Times New Roman" w:hAnsi="Times New Roman" w:eastAsia="宋体" w:cs="Times New Roman"/>
          <w:color w:val="auto"/>
          <w:highlight w:val="none"/>
        </w:rPr>
        <w:t>一、建设项目基本情况</w:t>
      </w:r>
      <w:bookmarkEnd w:id="1"/>
      <w:bookmarkEnd w:id="2"/>
    </w:p>
    <w:tbl>
      <w:tblPr>
        <w:tblStyle w:val="27"/>
        <w:tblW w:w="931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906"/>
        <w:gridCol w:w="1480"/>
        <w:gridCol w:w="728"/>
        <w:gridCol w:w="142"/>
        <w:gridCol w:w="118"/>
        <w:gridCol w:w="493"/>
        <w:gridCol w:w="523"/>
        <w:gridCol w:w="892"/>
        <w:gridCol w:w="564"/>
        <w:gridCol w:w="951"/>
        <w:gridCol w:w="250"/>
        <w:gridCol w:w="1195"/>
        <w:gridCol w:w="44"/>
        <w:gridCol w:w="3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项目名称</w:t>
            </w:r>
          </w:p>
        </w:tc>
        <w:tc>
          <w:tcPr>
            <w:tcW w:w="7410" w:type="dxa"/>
            <w:gridSpan w:val="13"/>
            <w:vAlign w:val="center"/>
          </w:tcPr>
          <w:p>
            <w:pPr>
              <w:spacing w:line="480" w:lineRule="auto"/>
              <w:jc w:val="center"/>
              <w:rPr>
                <w:rFonts w:hint="default" w:ascii="Times New Roman" w:hAnsi="Times New Roman" w:eastAsia="宋体" w:cs="Times New Roman"/>
                <w:bCs/>
                <w:color w:val="auto"/>
                <w:sz w:val="28"/>
                <w:szCs w:val="28"/>
                <w:highlight w:val="none"/>
              </w:rPr>
            </w:pPr>
            <w:r>
              <w:rPr>
                <w:rFonts w:hint="eastAsia" w:ascii="Times New Roman" w:hAnsi="Times New Roman" w:eastAsia="宋体" w:cs="Times New Roman"/>
                <w:bCs/>
                <w:color w:val="auto"/>
                <w:sz w:val="28"/>
                <w:szCs w:val="28"/>
                <w:lang w:eastAsia="zh-CN"/>
              </w:rPr>
              <w:t>中国石油天然气股份有限公司黑龙江佳木斯同江经营部第三加油站</w:t>
            </w:r>
            <w:r>
              <w:rPr>
                <w:rFonts w:hint="default" w:ascii="Times New Roman" w:hAnsi="Times New Roman" w:eastAsia="宋体" w:cs="Times New Roman"/>
                <w:bCs/>
                <w:color w:val="auto"/>
                <w:sz w:val="28"/>
                <w:szCs w:val="28"/>
                <w:lang w:eastAsia="zh-CN"/>
              </w:rPr>
              <w:t>项目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54"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建设单位</w:t>
            </w:r>
          </w:p>
        </w:tc>
        <w:tc>
          <w:tcPr>
            <w:tcW w:w="7410" w:type="dxa"/>
            <w:gridSpan w:val="13"/>
            <w:vAlign w:val="center"/>
          </w:tcPr>
          <w:p>
            <w:pPr>
              <w:spacing w:line="480" w:lineRule="auto"/>
              <w:jc w:val="center"/>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bCs/>
                <w:color w:val="auto"/>
                <w:sz w:val="28"/>
                <w:szCs w:val="28"/>
                <w:lang w:eastAsia="zh-CN"/>
              </w:rPr>
              <w:t>中国石油天然气股份有限公司黑龙江佳木斯同江经营部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法人代表</w:t>
            </w:r>
          </w:p>
        </w:tc>
        <w:tc>
          <w:tcPr>
            <w:tcW w:w="2350" w:type="dxa"/>
            <w:gridSpan w:val="3"/>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孟昭岚</w:t>
            </w:r>
          </w:p>
        </w:tc>
        <w:tc>
          <w:tcPr>
            <w:tcW w:w="2590" w:type="dxa"/>
            <w:gridSpan w:val="5"/>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rPr>
              <w:t>联系人</w:t>
            </w:r>
          </w:p>
        </w:tc>
        <w:tc>
          <w:tcPr>
            <w:tcW w:w="2470" w:type="dxa"/>
            <w:gridSpan w:val="5"/>
            <w:vAlign w:val="center"/>
          </w:tcPr>
          <w:p>
            <w:pPr>
              <w:spacing w:line="480" w:lineRule="auto"/>
              <w:jc w:val="center"/>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张驰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54"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通讯地址</w:t>
            </w:r>
          </w:p>
        </w:tc>
        <w:tc>
          <w:tcPr>
            <w:tcW w:w="7410" w:type="dxa"/>
            <w:gridSpan w:val="13"/>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同江市开发区平安大道南、市政搅拌站西侧</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1906" w:type="dxa"/>
            <w:vAlign w:val="center"/>
          </w:tcPr>
          <w:p>
            <w:pPr>
              <w:spacing w:line="480" w:lineRule="auto"/>
              <w:jc w:val="center"/>
              <w:rPr>
                <w:rFonts w:hint="default" w:ascii="Times New Roman" w:hAnsi="Times New Roman" w:eastAsia="宋体" w:cs="Times New Roman"/>
                <w:i w:val="0"/>
                <w:caps w:val="0"/>
                <w:color w:val="auto"/>
                <w:spacing w:val="0"/>
                <w:sz w:val="28"/>
                <w:szCs w:val="28"/>
                <w:shd w:val="clear" w:fill="FFFFFF"/>
              </w:rPr>
            </w:pPr>
            <w:r>
              <w:rPr>
                <w:rFonts w:hint="default" w:ascii="Times New Roman" w:hAnsi="Times New Roman" w:eastAsia="宋体" w:cs="Times New Roman"/>
                <w:i w:val="0"/>
                <w:caps w:val="0"/>
                <w:color w:val="auto"/>
                <w:spacing w:val="0"/>
                <w:sz w:val="28"/>
                <w:szCs w:val="28"/>
                <w:shd w:val="clear" w:fill="FFFFFF"/>
              </w:rPr>
              <w:t>联系电话</w:t>
            </w:r>
          </w:p>
        </w:tc>
        <w:tc>
          <w:tcPr>
            <w:tcW w:w="2208" w:type="dxa"/>
            <w:gridSpan w:val="2"/>
            <w:vAlign w:val="center"/>
          </w:tcPr>
          <w:p>
            <w:pPr>
              <w:spacing w:line="480" w:lineRule="auto"/>
              <w:jc w:val="center"/>
              <w:rPr>
                <w:rFonts w:hint="default" w:ascii="Times New Roman" w:hAnsi="Times New Roman" w:eastAsia="宋体" w:cs="Times New Roman"/>
                <w:i w:val="0"/>
                <w:caps w:val="0"/>
                <w:color w:val="auto"/>
                <w:spacing w:val="0"/>
                <w:sz w:val="28"/>
                <w:szCs w:val="28"/>
                <w:shd w:val="clear" w:fill="FFFFFF"/>
              </w:rPr>
            </w:pPr>
            <w:r>
              <w:rPr>
                <w:rFonts w:hint="eastAsia" w:ascii="Times New Roman" w:hAnsi="Times New Roman" w:eastAsia="宋体" w:cs="Times New Roman"/>
                <w:i w:val="0"/>
                <w:caps w:val="0"/>
                <w:color w:val="auto"/>
                <w:spacing w:val="0"/>
                <w:sz w:val="28"/>
                <w:szCs w:val="28"/>
                <w:shd w:val="clear" w:fill="FFFFFF"/>
              </w:rPr>
              <w:t>13</w:t>
            </w:r>
            <w:r>
              <w:rPr>
                <w:rFonts w:hint="eastAsia" w:ascii="Times New Roman" w:hAnsi="Times New Roman" w:eastAsia="宋体" w:cs="Times New Roman"/>
                <w:i w:val="0"/>
                <w:caps w:val="0"/>
                <w:color w:val="auto"/>
                <w:spacing w:val="0"/>
                <w:sz w:val="28"/>
                <w:szCs w:val="28"/>
                <w:shd w:val="clear" w:fill="FFFFFF"/>
                <w:lang w:val="en-US" w:eastAsia="zh-CN"/>
              </w:rPr>
              <w:t>351645168</w:t>
            </w:r>
          </w:p>
        </w:tc>
        <w:tc>
          <w:tcPr>
            <w:tcW w:w="1276" w:type="dxa"/>
            <w:gridSpan w:val="4"/>
            <w:vAlign w:val="center"/>
          </w:tcPr>
          <w:p>
            <w:pPr>
              <w:spacing w:line="480" w:lineRule="auto"/>
              <w:jc w:val="center"/>
              <w:rPr>
                <w:rFonts w:hint="default" w:ascii="Times New Roman" w:hAnsi="Times New Roman" w:eastAsia="宋体" w:cs="Times New Roman"/>
                <w:i w:val="0"/>
                <w:caps w:val="0"/>
                <w:color w:val="auto"/>
                <w:spacing w:val="0"/>
                <w:sz w:val="28"/>
                <w:szCs w:val="28"/>
                <w:shd w:val="clear" w:fill="FFFFFF"/>
              </w:rPr>
            </w:pPr>
            <w:r>
              <w:rPr>
                <w:rFonts w:hint="default" w:ascii="Times New Roman" w:hAnsi="Times New Roman" w:eastAsia="宋体" w:cs="Times New Roman"/>
                <w:i w:val="0"/>
                <w:caps w:val="0"/>
                <w:color w:val="auto"/>
                <w:spacing w:val="0"/>
                <w:sz w:val="28"/>
                <w:szCs w:val="28"/>
                <w:shd w:val="clear" w:fill="FFFFFF"/>
              </w:rPr>
              <w:t>传真</w:t>
            </w:r>
          </w:p>
        </w:tc>
        <w:tc>
          <w:tcPr>
            <w:tcW w:w="892" w:type="dxa"/>
            <w:vAlign w:val="center"/>
          </w:tcPr>
          <w:p>
            <w:pPr>
              <w:spacing w:line="480" w:lineRule="auto"/>
              <w:jc w:val="center"/>
              <w:rPr>
                <w:rFonts w:hint="default" w:ascii="Times New Roman" w:hAnsi="Times New Roman" w:eastAsia="宋体" w:cs="Times New Roman"/>
                <w:i w:val="0"/>
                <w:caps w:val="0"/>
                <w:color w:val="auto"/>
                <w:spacing w:val="0"/>
                <w:sz w:val="28"/>
                <w:szCs w:val="28"/>
                <w:shd w:val="clear" w:fill="FFFFFF"/>
              </w:rPr>
            </w:pPr>
          </w:p>
        </w:tc>
        <w:tc>
          <w:tcPr>
            <w:tcW w:w="1515" w:type="dxa"/>
            <w:gridSpan w:val="2"/>
            <w:vAlign w:val="center"/>
          </w:tcPr>
          <w:p>
            <w:pPr>
              <w:spacing w:line="480" w:lineRule="auto"/>
              <w:jc w:val="center"/>
              <w:rPr>
                <w:rFonts w:hint="default" w:ascii="Times New Roman" w:hAnsi="Times New Roman" w:eastAsia="宋体" w:cs="Times New Roman"/>
                <w:i w:val="0"/>
                <w:caps w:val="0"/>
                <w:color w:val="auto"/>
                <w:spacing w:val="0"/>
                <w:sz w:val="28"/>
                <w:szCs w:val="28"/>
                <w:shd w:val="clear" w:fill="FFFFFF"/>
              </w:rPr>
            </w:pPr>
            <w:r>
              <w:rPr>
                <w:rFonts w:hint="default" w:ascii="Times New Roman" w:hAnsi="Times New Roman" w:eastAsia="宋体" w:cs="Times New Roman"/>
                <w:i w:val="0"/>
                <w:caps w:val="0"/>
                <w:color w:val="auto"/>
                <w:spacing w:val="0"/>
                <w:sz w:val="28"/>
                <w:szCs w:val="28"/>
                <w:shd w:val="clear" w:fill="FFFFFF"/>
              </w:rPr>
              <w:t>邮编</w:t>
            </w:r>
          </w:p>
        </w:tc>
        <w:tc>
          <w:tcPr>
            <w:tcW w:w="1519" w:type="dxa"/>
            <w:gridSpan w:val="4"/>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i w:val="0"/>
                <w:caps w:val="0"/>
                <w:color w:val="auto"/>
                <w:spacing w:val="0"/>
                <w:sz w:val="28"/>
                <w:szCs w:val="28"/>
                <w:shd w:val="clear" w:fill="FFFFFF"/>
              </w:rPr>
              <w:t>15</w:t>
            </w:r>
            <w:r>
              <w:rPr>
                <w:rFonts w:hint="eastAsia" w:ascii="Times New Roman" w:hAnsi="Times New Roman" w:eastAsia="宋体" w:cs="Times New Roman"/>
                <w:i w:val="0"/>
                <w:caps w:val="0"/>
                <w:color w:val="auto"/>
                <w:spacing w:val="0"/>
                <w:sz w:val="28"/>
                <w:szCs w:val="28"/>
                <w:shd w:val="clear" w:fill="FFFFFF"/>
                <w:lang w:val="en-US" w:eastAsia="zh-CN"/>
              </w:rPr>
              <w:t>6400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889"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建设地点</w:t>
            </w:r>
          </w:p>
        </w:tc>
        <w:tc>
          <w:tcPr>
            <w:tcW w:w="7410" w:type="dxa"/>
            <w:gridSpan w:val="13"/>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同江市开发区平安大道南、市政搅拌站西侧</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立项</w:t>
            </w:r>
          </w:p>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审批部门</w:t>
            </w:r>
          </w:p>
        </w:tc>
        <w:tc>
          <w:tcPr>
            <w:tcW w:w="2468"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w:t>
            </w:r>
          </w:p>
        </w:tc>
        <w:tc>
          <w:tcPr>
            <w:tcW w:w="2472"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批准文号</w:t>
            </w:r>
          </w:p>
        </w:tc>
        <w:tc>
          <w:tcPr>
            <w:tcW w:w="2470" w:type="dxa"/>
            <w:gridSpan w:val="5"/>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54"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建设性质</w:t>
            </w:r>
          </w:p>
        </w:tc>
        <w:tc>
          <w:tcPr>
            <w:tcW w:w="2468" w:type="dxa"/>
            <w:gridSpan w:val="4"/>
            <w:vAlign w:val="center"/>
          </w:tcPr>
          <w:p>
            <w:pPr>
              <w:spacing w:line="480" w:lineRule="auto"/>
              <w:jc w:val="center"/>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新建</w:t>
            </w:r>
          </w:p>
        </w:tc>
        <w:tc>
          <w:tcPr>
            <w:tcW w:w="2472"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行业类别及代码</w:t>
            </w:r>
          </w:p>
        </w:tc>
        <w:tc>
          <w:tcPr>
            <w:tcW w:w="2470" w:type="dxa"/>
            <w:gridSpan w:val="5"/>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机动车燃料零售</w:t>
            </w:r>
          </w:p>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F5265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占地面积</w:t>
            </w:r>
          </w:p>
        </w:tc>
        <w:tc>
          <w:tcPr>
            <w:tcW w:w="2468"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lang w:val="en-US" w:eastAsia="zh-CN"/>
              </w:rPr>
              <w:t>4054</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m</w:t>
            </w:r>
            <w:r>
              <w:rPr>
                <w:rFonts w:hint="default" w:ascii="Times New Roman" w:hAnsi="Times New Roman" w:eastAsia="宋体" w:cs="Times New Roman"/>
                <w:color w:val="auto"/>
                <w:sz w:val="28"/>
                <w:szCs w:val="28"/>
                <w:vertAlign w:val="superscript"/>
              </w:rPr>
              <w:t>2</w:t>
            </w:r>
          </w:p>
        </w:tc>
        <w:tc>
          <w:tcPr>
            <w:tcW w:w="2472"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rPr>
              <w:t>站房建筑面积</w:t>
            </w:r>
          </w:p>
        </w:tc>
        <w:tc>
          <w:tcPr>
            <w:tcW w:w="2470" w:type="dxa"/>
            <w:gridSpan w:val="5"/>
            <w:vAlign w:val="center"/>
          </w:tcPr>
          <w:p>
            <w:pPr>
              <w:spacing w:line="480" w:lineRule="auto"/>
              <w:jc w:val="center"/>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lang w:val="en-US" w:eastAsia="zh-CN"/>
              </w:rPr>
              <w:t>171.7</w:t>
            </w:r>
            <w:r>
              <w:rPr>
                <w:rFonts w:hint="default" w:ascii="Times New Roman" w:hAnsi="Times New Roman" w:eastAsia="宋体" w:cs="Times New Roman"/>
                <w:color w:val="auto"/>
                <w:sz w:val="28"/>
                <w:szCs w:val="28"/>
              </w:rPr>
              <w:t>m</w:t>
            </w:r>
            <w:r>
              <w:rPr>
                <w:rFonts w:hint="default" w:ascii="Times New Roman" w:hAnsi="Times New Roman" w:eastAsia="宋体" w:cs="Times New Roman"/>
                <w:color w:val="auto"/>
                <w:sz w:val="28"/>
                <w:szCs w:val="28"/>
                <w:vertAlign w:val="superscript"/>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680"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总投资</w:t>
            </w:r>
          </w:p>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（万元）</w:t>
            </w:r>
          </w:p>
        </w:tc>
        <w:tc>
          <w:tcPr>
            <w:tcW w:w="1480" w:type="dxa"/>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655</w:t>
            </w:r>
          </w:p>
        </w:tc>
        <w:tc>
          <w:tcPr>
            <w:tcW w:w="1481" w:type="dxa"/>
            <w:gridSpan w:val="4"/>
            <w:vAlign w:val="center"/>
          </w:tcPr>
          <w:p>
            <w:pPr>
              <w:spacing w:line="480" w:lineRule="auto"/>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环保投资</w:t>
            </w:r>
          </w:p>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rPr>
              <w:t>（万元）</w:t>
            </w:r>
          </w:p>
        </w:tc>
        <w:tc>
          <w:tcPr>
            <w:tcW w:w="1415" w:type="dxa"/>
            <w:gridSpan w:val="2"/>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20.5</w:t>
            </w:r>
          </w:p>
        </w:tc>
        <w:tc>
          <w:tcPr>
            <w:tcW w:w="1765" w:type="dxa"/>
            <w:gridSpan w:val="3"/>
            <w:vAlign w:val="center"/>
          </w:tcPr>
          <w:p>
            <w:pPr>
              <w:spacing w:line="480" w:lineRule="auto"/>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环保投资占</w:t>
            </w:r>
          </w:p>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rPr>
              <w:t>总投资比例</w:t>
            </w:r>
          </w:p>
        </w:tc>
        <w:tc>
          <w:tcPr>
            <w:tcW w:w="1269" w:type="dxa"/>
            <w:gridSpan w:val="3"/>
            <w:vAlign w:val="center"/>
          </w:tcPr>
          <w:p>
            <w:pPr>
              <w:spacing w:line="480" w:lineRule="auto"/>
              <w:jc w:val="center"/>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lang w:val="en-US" w:eastAsia="zh-CN"/>
              </w:rPr>
              <w:t>3.13</w:t>
            </w:r>
            <w:r>
              <w:rPr>
                <w:rFonts w:hint="default" w:ascii="Times New Roman" w:hAnsi="Times New Roman" w:eastAsia="宋体" w:cs="Times New Roman"/>
                <w:color w:val="auto"/>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48" w:hRule="atLeast"/>
          <w:jc w:val="center"/>
        </w:trPr>
        <w:tc>
          <w:tcPr>
            <w:tcW w:w="1906" w:type="dxa"/>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评价经费</w:t>
            </w:r>
          </w:p>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（万元）</w:t>
            </w:r>
          </w:p>
        </w:tc>
        <w:tc>
          <w:tcPr>
            <w:tcW w:w="2468"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rPr>
              <w:t>/</w:t>
            </w:r>
          </w:p>
        </w:tc>
        <w:tc>
          <w:tcPr>
            <w:tcW w:w="2472" w:type="dxa"/>
            <w:gridSpan w:val="4"/>
            <w:vAlign w:val="center"/>
          </w:tcPr>
          <w:p>
            <w:pPr>
              <w:spacing w:line="480" w:lineRule="auto"/>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rPr>
              <w:t>预计投产日期</w:t>
            </w:r>
          </w:p>
        </w:tc>
        <w:tc>
          <w:tcPr>
            <w:tcW w:w="2470" w:type="dxa"/>
            <w:gridSpan w:val="5"/>
            <w:vAlign w:val="center"/>
          </w:tcPr>
          <w:p>
            <w:pPr>
              <w:spacing w:line="480" w:lineRule="auto"/>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lang w:val="en-US" w:eastAsia="zh-CN"/>
              </w:rPr>
              <w:t>2020</w:t>
            </w:r>
            <w:r>
              <w:rPr>
                <w:rFonts w:hint="default"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4" w:type="dxa"/>
          <w:trHeight w:val="13932" w:hRule="atLeast"/>
          <w:jc w:val="center"/>
        </w:trPr>
        <w:tc>
          <w:tcPr>
            <w:tcW w:w="9242" w:type="dxa"/>
            <w:gridSpan w:val="12"/>
          </w:tcPr>
          <w:p>
            <w:pPr>
              <w:pStyle w:val="3"/>
              <w:spacing w:before="0" w:after="0" w:line="413" w:lineRule="auto"/>
              <w:rPr>
                <w:rFonts w:hint="default" w:ascii="Times New Roman" w:hAnsi="Times New Roman" w:eastAsia="宋体" w:cs="Times New Roman"/>
                <w:color w:val="auto"/>
                <w:highlight w:val="none"/>
              </w:rPr>
            </w:pPr>
            <w:bookmarkStart w:id="3" w:name="_Toc1209512"/>
            <w:bookmarkStart w:id="4" w:name="_Toc9130"/>
            <w:r>
              <w:rPr>
                <w:rFonts w:hint="default" w:ascii="Times New Roman" w:hAnsi="Times New Roman" w:eastAsia="宋体" w:cs="Times New Roman"/>
                <w:color w:val="auto"/>
                <w:highlight w:val="none"/>
              </w:rPr>
              <w:t>工程内容及规模</w:t>
            </w:r>
            <w:bookmarkEnd w:id="3"/>
            <w:bookmarkEnd w:id="4"/>
          </w:p>
          <w:p>
            <w:pPr>
              <w:spacing w:line="440" w:lineRule="atLeas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一、项目由来</w:t>
            </w:r>
          </w:p>
          <w:p>
            <w:pPr>
              <w:keepNext w:val="0"/>
              <w:keepLines w:val="0"/>
              <w:widowControl/>
              <w:suppressLineNumbers w:val="0"/>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随着我国国民经济的高速发展及交通运输业的繁荣，社会对成品油资源的需求也在逐年增加。近年来黑龙江省经济发展速度不断加快，成品油市场的需求量不断增加。</w:t>
            </w:r>
            <w:r>
              <w:rPr>
                <w:rFonts w:hint="eastAsia" w:ascii="Times New Roman" w:hAnsi="Times New Roman" w:eastAsia="宋体" w:cs="Times New Roman"/>
                <w:color w:val="auto"/>
                <w:kern w:val="0"/>
                <w:sz w:val="24"/>
                <w:szCs w:val="24"/>
                <w:lang w:val="en-US" w:eastAsia="zh-CN" w:bidi="ar"/>
              </w:rPr>
              <w:t>同江市开发区平安大道南、市政搅拌站西侧中国石油天然气股份有限公司黑龙江佳木斯同江经营部</w:t>
            </w:r>
            <w:r>
              <w:rPr>
                <w:rFonts w:hint="default" w:ascii="Times New Roman" w:hAnsi="Times New Roman" w:eastAsia="宋体" w:cs="Times New Roman"/>
                <w:color w:val="auto"/>
                <w:kern w:val="0"/>
                <w:sz w:val="24"/>
                <w:szCs w:val="24"/>
                <w:lang w:val="en-US" w:eastAsia="zh-CN" w:bidi="ar"/>
              </w:rPr>
              <w:t>拟在</w:t>
            </w:r>
            <w:r>
              <w:rPr>
                <w:rFonts w:hint="eastAsia" w:ascii="Times New Roman" w:hAnsi="Times New Roman" w:eastAsia="宋体" w:cs="Times New Roman"/>
                <w:color w:val="auto"/>
                <w:kern w:val="0"/>
                <w:sz w:val="24"/>
                <w:szCs w:val="24"/>
                <w:lang w:val="en-US" w:eastAsia="zh-CN" w:bidi="ar"/>
              </w:rPr>
              <w:t>同江市开发区平安大道南、市政搅拌站西侧中国石油天然气股份有限公司黑龙江佳木斯同江经营部第三加油站</w:t>
            </w:r>
            <w:r>
              <w:rPr>
                <w:rFonts w:hint="default" w:ascii="Times New Roman" w:hAnsi="Times New Roman" w:eastAsia="宋体" w:cs="Times New Roman"/>
                <w:color w:val="auto"/>
                <w:kern w:val="0"/>
                <w:sz w:val="24"/>
                <w:szCs w:val="24"/>
                <w:lang w:val="en-US" w:eastAsia="zh-CN" w:bidi="ar"/>
              </w:rPr>
              <w:t>项目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根据《关于加油站原地改建有关工作事宜的通知》（黑商发[2016]337号）及《黑龙江省人民政府办公厅关于推进加油站地下油罐防渗改造有关工作的通知》（黑政办发[2016]133号）文件要求，</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新建</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座双层埋地储罐，（其中，双层钢制汽油罐</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；双层钢制柴油罐</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bCs/>
                <w:color w:val="auto"/>
              </w:rPr>
              <w:t>。</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rPr>
              <w:t>根据《中华人民共和国环境保护法》、《中华人民共和国环境影响评价法》、国务院令第682号《建设项目环境保护管理条例》等文件中的有关规定</w:t>
            </w:r>
            <w:r>
              <w:rPr>
                <w:rFonts w:hint="default" w:ascii="Times New Roman" w:hAnsi="Times New Roman" w:eastAsia="宋体" w:cs="Times New Roman"/>
                <w:bCs/>
                <w:color w:val="auto"/>
                <w:sz w:val="24"/>
                <w:szCs w:val="24"/>
              </w:rPr>
              <w:t>， “</w:t>
            </w:r>
            <w:r>
              <w:rPr>
                <w:rFonts w:hint="eastAsia" w:ascii="Times New Roman" w:hAnsi="Times New Roman" w:eastAsia="宋体" w:cs="Times New Roman"/>
                <w:bCs/>
                <w:color w:val="auto"/>
                <w:sz w:val="24"/>
                <w:szCs w:val="24"/>
                <w:lang w:eastAsia="zh-CN"/>
              </w:rPr>
              <w:t>中国石油天然气股份有限公司黑龙江佳木斯同江经营部第三加油站</w:t>
            </w:r>
            <w:r>
              <w:rPr>
                <w:rFonts w:hint="default" w:ascii="Times New Roman" w:hAnsi="Times New Roman" w:eastAsia="宋体" w:cs="Times New Roman"/>
                <w:bCs/>
                <w:color w:val="auto"/>
                <w:sz w:val="24"/>
                <w:szCs w:val="24"/>
              </w:rPr>
              <w:t>”应进行环境影响评价工作。</w:t>
            </w:r>
            <w:r>
              <w:rPr>
                <w:rFonts w:hint="default" w:ascii="Times New Roman" w:hAnsi="Times New Roman" w:eastAsia="宋体" w:cs="Times New Roman"/>
                <w:color w:val="auto"/>
                <w:sz w:val="24"/>
                <w:szCs w:val="24"/>
              </w:rPr>
              <w:t>根据《建设项目分类管理名录》（生态环境部令第1号，2018年4月28日修订），本项目属于“1</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 xml:space="preserve"> 加油、加气站”中的</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，应当编制环境影响报告表。</w:t>
            </w:r>
            <w:r>
              <w:rPr>
                <w:rFonts w:hint="default" w:ascii="Times New Roman" w:hAnsi="Times New Roman" w:eastAsia="宋体" w:cs="Times New Roman"/>
                <w:bCs/>
                <w:color w:val="auto"/>
                <w:sz w:val="24"/>
                <w:szCs w:val="24"/>
              </w:rPr>
              <w:t>经过现场踏勘，并根据相关环境影响评价技术导则要求和工程有关资料，就项目建设可能对环境的影响范围和程度进行全面、客观地分析、预测和评价，提出相应预防、减轻不良环境影响的对策和措施，并编制完成《</w:t>
            </w:r>
            <w:r>
              <w:rPr>
                <w:rFonts w:hint="eastAsia" w:ascii="Times New Roman" w:hAnsi="Times New Roman" w:eastAsia="宋体" w:cs="Times New Roman"/>
                <w:bCs/>
                <w:color w:val="auto"/>
                <w:sz w:val="24"/>
                <w:szCs w:val="24"/>
                <w:lang w:eastAsia="zh-CN"/>
              </w:rPr>
              <w:t>中国石油天然气股份有限公司黑龙江佳木斯同江经营部第三加油站</w:t>
            </w: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bCs/>
                <w:color w:val="auto"/>
                <w:sz w:val="24"/>
                <w:szCs w:val="24"/>
              </w:rPr>
              <w:t>环境影响报告表》，报相关环境保护行政主管部门审批。</w:t>
            </w:r>
          </w:p>
          <w:p>
            <w:pPr>
              <w:spacing w:line="440" w:lineRule="atLeas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二、产业政策符合性分析</w:t>
            </w:r>
          </w:p>
          <w:p>
            <w:pPr>
              <w:spacing w:line="440" w:lineRule="atLeast"/>
              <w:ind w:firstLine="480" w:firstLineChars="20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中国石油天然气股份有限公司黑龙江佳木斯同江经营部第三加油站</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不属于《产业结构调整指导目录（201</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年本）》中的“限制类”和“淘汰类”项目，属于“允许类”项目，符合国家产业政策要求。因此，从产业政策符合性角度分析，本项目建设可行。</w:t>
            </w:r>
          </w:p>
          <w:p>
            <w:pPr>
              <w:spacing w:line="440" w:lineRule="atLeas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三、工程内容</w:t>
            </w:r>
          </w:p>
          <w:p>
            <w:pPr>
              <w:numPr>
                <w:ilvl w:val="0"/>
                <w:numId w:val="1"/>
              </w:numPr>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项目基本情况</w:t>
            </w:r>
          </w:p>
          <w:p>
            <w:pPr>
              <w:pStyle w:val="7"/>
              <w:adjustRightInd w:val="0"/>
              <w:snapToGrid w:val="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项目名称：</w:t>
            </w:r>
            <w:r>
              <w:rPr>
                <w:rFonts w:hint="eastAsia" w:cs="Times New Roman"/>
                <w:bCs/>
                <w:color w:val="auto"/>
                <w:sz w:val="24"/>
                <w:szCs w:val="24"/>
                <w:lang w:eastAsia="zh-CN"/>
              </w:rPr>
              <w:t>中国石油天然气股份有限公司黑龙江佳木斯同江经营部第三加油站</w:t>
            </w:r>
            <w:r>
              <w:rPr>
                <w:rFonts w:hint="default" w:ascii="Times New Roman" w:hAnsi="Times New Roman" w:eastAsia="宋体" w:cs="Times New Roman"/>
                <w:bCs/>
                <w:color w:val="auto"/>
                <w:sz w:val="24"/>
                <w:szCs w:val="24"/>
                <w:lang w:eastAsia="zh-CN"/>
              </w:rPr>
              <w:t>项目</w:t>
            </w:r>
          </w:p>
          <w:p>
            <w:pPr>
              <w:pStyle w:val="7"/>
              <w:adjustRightInd w:val="0"/>
              <w:snapToGrid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建设性质：</w:t>
            </w:r>
            <w:r>
              <w:rPr>
                <w:rFonts w:hint="default" w:ascii="Times New Roman" w:hAnsi="Times New Roman" w:eastAsia="宋体" w:cs="Times New Roman"/>
                <w:color w:val="auto"/>
                <w:sz w:val="24"/>
                <w:szCs w:val="24"/>
                <w:lang w:eastAsia="zh-CN"/>
              </w:rPr>
              <w:t>新建</w:t>
            </w:r>
          </w:p>
          <w:p>
            <w:pPr>
              <w:pStyle w:val="7"/>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项目总投资：</w:t>
            </w:r>
            <w:r>
              <w:rPr>
                <w:rFonts w:hint="eastAsia" w:cs="Times New Roman"/>
                <w:color w:val="auto"/>
                <w:sz w:val="24"/>
                <w:szCs w:val="24"/>
                <w:lang w:val="en-US" w:eastAsia="zh-CN"/>
              </w:rPr>
              <w:t>655万元</w:t>
            </w:r>
          </w:p>
          <w:p>
            <w:pPr>
              <w:pStyle w:val="7"/>
              <w:adjustRightInd w:val="0"/>
              <w:snapToGrid w:val="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项目占地面积：</w:t>
            </w:r>
            <w:r>
              <w:rPr>
                <w:rFonts w:hint="eastAsia" w:cs="Times New Roman"/>
                <w:color w:val="auto"/>
                <w:sz w:val="24"/>
                <w:szCs w:val="24"/>
                <w:lang w:eastAsia="zh-CN"/>
              </w:rPr>
              <w:t>4054 m</w:t>
            </w:r>
            <w:r>
              <w:rPr>
                <w:rFonts w:hint="eastAsia" w:cs="Times New Roman"/>
                <w:color w:val="auto"/>
                <w:sz w:val="24"/>
                <w:szCs w:val="24"/>
                <w:vertAlign w:val="superscript"/>
                <w:lang w:eastAsia="zh-CN"/>
              </w:rPr>
              <w:t>2</w:t>
            </w:r>
          </w:p>
          <w:p>
            <w:pPr>
              <w:pStyle w:val="7"/>
              <w:adjustRightInd w:val="0"/>
              <w:snapToGrid w:val="0"/>
              <w:ind w:left="480" w:leftChars="200" w:firstLine="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生产规模：年销售成品油</w:t>
            </w:r>
            <w:r>
              <w:rPr>
                <w:rFonts w:hint="default" w:ascii="Times New Roman" w:hAnsi="Times New Roman" w:eastAsia="宋体" w:cs="Times New Roman"/>
                <w:color w:val="auto"/>
                <w:sz w:val="24"/>
                <w:szCs w:val="24"/>
                <w:lang w:val="en-US" w:eastAsia="zh-CN"/>
              </w:rPr>
              <w:t xml:space="preserve">3000 </w:t>
            </w:r>
            <w:r>
              <w:rPr>
                <w:rFonts w:hint="default" w:ascii="Times New Roman" w:hAnsi="Times New Roman" w:eastAsia="宋体" w:cs="Times New Roman"/>
                <w:color w:val="auto"/>
                <w:sz w:val="24"/>
                <w:szCs w:val="24"/>
              </w:rPr>
              <w:t>t/a，其中</w:t>
            </w:r>
            <w:r>
              <w:rPr>
                <w:rFonts w:hint="default" w:ascii="Times New Roman" w:hAnsi="Times New Roman" w:eastAsia="宋体" w:cs="Times New Roman"/>
                <w:bCs/>
                <w:color w:val="auto"/>
                <w:sz w:val="24"/>
                <w:szCs w:val="24"/>
              </w:rPr>
              <w:t>柴油</w:t>
            </w:r>
            <w:r>
              <w:rPr>
                <w:rFonts w:hint="default" w:ascii="Times New Roman" w:hAnsi="Times New Roman" w:eastAsia="宋体" w:cs="Times New Roman"/>
                <w:color w:val="auto"/>
                <w:sz w:val="24"/>
                <w:szCs w:val="24"/>
              </w:rPr>
              <w:t>销售</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bCs/>
                <w:color w:val="auto"/>
                <w:sz w:val="24"/>
                <w:szCs w:val="24"/>
              </w:rPr>
              <w:t>t/a、汽油销售量</w:t>
            </w:r>
            <w:r>
              <w:rPr>
                <w:rFonts w:hint="default" w:ascii="Times New Roman" w:hAnsi="Times New Roman" w:eastAsia="宋体" w:cs="Times New Roman"/>
                <w:color w:val="auto"/>
                <w:sz w:val="24"/>
                <w:szCs w:val="24"/>
                <w:lang w:val="en-US" w:eastAsia="zh-CN"/>
              </w:rPr>
              <w:t xml:space="preserve">2000 </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color w:val="auto"/>
                <w:sz w:val="24"/>
                <w:szCs w:val="24"/>
                <w:highlight w:val="none"/>
              </w:rPr>
              <w:t>。</w:t>
            </w:r>
          </w:p>
          <w:p>
            <w:pPr>
              <w:spacing w:line="44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1、建设地点</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rPr>
              <w:t>本项目建设地点位于</w:t>
            </w:r>
            <w:r>
              <w:rPr>
                <w:rFonts w:hint="eastAsia" w:ascii="Times New Roman" w:hAnsi="Times New Roman" w:eastAsia="宋体" w:cs="Times New Roman"/>
                <w:color w:val="auto"/>
                <w:sz w:val="24"/>
                <w:szCs w:val="24"/>
                <w:lang w:val="en-US" w:eastAsia="zh-CN"/>
              </w:rPr>
              <w:t>同江市开发区平安大道南、市政搅拌站西侧</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lang w:val="en-US" w:eastAsia="zh-CN"/>
              </w:rPr>
              <w:t>站址东侧为</w:t>
            </w:r>
            <w:r>
              <w:rPr>
                <w:rFonts w:hint="eastAsia" w:ascii="Times New Roman" w:hAnsi="Times New Roman" w:eastAsia="宋体" w:cs="Times New Roman"/>
                <w:color w:val="auto"/>
                <w:kern w:val="0"/>
                <w:lang w:val="en-US" w:eastAsia="zh-CN"/>
              </w:rPr>
              <w:t>农田</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sz w:val="24"/>
                <w:szCs w:val="24"/>
                <w:lang w:val="en-US" w:eastAsia="zh-CN"/>
              </w:rPr>
              <w:t>站址南侧为</w:t>
            </w:r>
            <w:r>
              <w:rPr>
                <w:rFonts w:hint="eastAsia" w:ascii="Times New Roman" w:hAnsi="Times New Roman" w:eastAsia="宋体" w:cs="Times New Roman"/>
                <w:color w:val="auto"/>
                <w:sz w:val="24"/>
                <w:szCs w:val="24"/>
                <w:lang w:val="en-US" w:eastAsia="zh-CN"/>
              </w:rPr>
              <w:t>树林</w:t>
            </w:r>
            <w:r>
              <w:rPr>
                <w:rFonts w:hint="default" w:ascii="Times New Roman" w:hAnsi="Times New Roman" w:eastAsia="宋体" w:cs="Times New Roman"/>
                <w:color w:val="auto"/>
                <w:kern w:val="0"/>
                <w:lang w:val="en-US" w:eastAsia="zh-CN"/>
              </w:rPr>
              <w:t>；站址西侧为</w:t>
            </w:r>
            <w:r>
              <w:rPr>
                <w:rFonts w:hint="eastAsia" w:ascii="Times New Roman" w:hAnsi="Times New Roman" w:eastAsia="宋体" w:cs="Times New Roman"/>
                <w:color w:val="auto"/>
                <w:kern w:val="0"/>
                <w:lang w:val="en-US" w:eastAsia="zh-CN"/>
              </w:rPr>
              <w:t>树林</w:t>
            </w:r>
            <w:r>
              <w:rPr>
                <w:rFonts w:hint="default" w:ascii="Times New Roman" w:hAnsi="Times New Roman" w:eastAsia="宋体" w:cs="Times New Roman"/>
                <w:color w:val="auto"/>
                <w:kern w:val="0"/>
                <w:lang w:val="en-US" w:eastAsia="zh-CN"/>
              </w:rPr>
              <w:t>；站址北侧</w:t>
            </w:r>
            <w:r>
              <w:rPr>
                <w:rFonts w:hint="eastAsia" w:ascii="Times New Roman" w:cs="Times New Roman"/>
                <w:color w:val="auto"/>
                <w:kern w:val="0"/>
                <w:lang w:val="en-US" w:eastAsia="zh-CN"/>
              </w:rPr>
              <w:t>隔平安大道（城市主干道）</w:t>
            </w:r>
            <w:r>
              <w:rPr>
                <w:rFonts w:hint="default" w:ascii="Times New Roman" w:hAnsi="Times New Roman" w:eastAsia="宋体" w:cs="Times New Roman"/>
                <w:color w:val="auto"/>
                <w:kern w:val="0"/>
                <w:lang w:val="en-US" w:eastAsia="zh-CN"/>
              </w:rPr>
              <w:t>为</w:t>
            </w:r>
            <w:r>
              <w:rPr>
                <w:rFonts w:hint="eastAsia" w:ascii="Times New Roman" w:cs="Times New Roman"/>
                <w:color w:val="auto"/>
                <w:kern w:val="0"/>
                <w:lang w:val="en-US" w:eastAsia="zh-CN"/>
              </w:rPr>
              <w:t>农田</w:t>
            </w:r>
            <w:r>
              <w:rPr>
                <w:rFonts w:hint="default" w:ascii="Times New Roman" w:hAnsi="Times New Roman" w:eastAsia="宋体" w:cs="Times New Roman"/>
                <w:color w:val="auto"/>
              </w:rPr>
              <w:t>。本项目地理位置图见附图1</w:t>
            </w:r>
            <w:r>
              <w:rPr>
                <w:rFonts w:hint="default" w:ascii="Times New Roman" w:hAnsi="Times New Roman" w:eastAsia="宋体" w:cs="Times New Roman"/>
                <w:color w:val="auto"/>
                <w:highlight w:val="none"/>
              </w:rPr>
              <w:t>。</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2、主要建设规模</w:t>
            </w:r>
          </w:p>
          <w:p>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sz w:val="24"/>
                <w:szCs w:val="24"/>
              </w:rPr>
              <w:t>埋地油罐区：</w:t>
            </w:r>
            <w:r>
              <w:rPr>
                <w:rFonts w:hint="default" w:ascii="Times New Roman" w:hAnsi="Times New Roman" w:eastAsia="宋体" w:cs="Times New Roman"/>
                <w:color w:val="auto"/>
                <w:sz w:val="24"/>
                <w:szCs w:val="24"/>
                <w:lang w:val="en-US" w:eastAsia="zh-CN"/>
              </w:rPr>
              <w:t>位于站</w:t>
            </w:r>
            <w:r>
              <w:rPr>
                <w:rFonts w:hint="eastAsia" w:ascii="Times New Roman" w:hAnsi="Times New Roman" w:eastAsia="宋体" w:cs="Times New Roman"/>
                <w:color w:val="auto"/>
                <w:sz w:val="24"/>
                <w:szCs w:val="24"/>
                <w:lang w:val="en-US" w:eastAsia="zh-CN"/>
              </w:rPr>
              <w:t>区西</w:t>
            </w:r>
            <w:r>
              <w:rPr>
                <w:rFonts w:hint="default" w:ascii="Times New Roman" w:hAnsi="Times New Roman" w:eastAsia="宋体" w:cs="Times New Roman"/>
                <w:color w:val="auto"/>
                <w:sz w:val="24"/>
                <w:szCs w:val="24"/>
                <w:lang w:val="en-US" w:eastAsia="zh-CN"/>
              </w:rPr>
              <w:t>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座双层埋地储罐（双层钢制汽油罐</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；双层钢制柴油罐</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），油罐总容积为</w:t>
            </w:r>
            <w:r>
              <w:rPr>
                <w:rFonts w:hint="eastAsia" w:ascii="Times New Roman" w:hAnsi="Times New Roman" w:eastAsia="宋体" w:cs="Times New Roman"/>
                <w:color w:val="auto"/>
                <w:lang w:val="en-US" w:eastAsia="zh-CN"/>
              </w:rPr>
              <w:t>140</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，折合后油罐总容积为</w:t>
            </w:r>
            <w:r>
              <w:rPr>
                <w:rFonts w:hint="eastAsia" w:ascii="Times New Roman" w:hAnsi="Times New Roman" w:eastAsia="宋体" w:cs="Times New Roman"/>
                <w:color w:val="auto"/>
                <w:lang w:val="en-US" w:eastAsia="zh-CN"/>
              </w:rPr>
              <w:t>100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，根据《汽车加油加气站设计与施工规范》（GB 50156-2012）及2014局部修订第3.0.9条对加油站的等级划分的规定，该站属于</w:t>
            </w:r>
            <w:r>
              <w:rPr>
                <w:rFonts w:hint="default" w:ascii="Times New Roman" w:hAnsi="Times New Roman" w:eastAsia="宋体" w:cs="Times New Roman"/>
                <w:color w:val="auto"/>
                <w:lang w:val="en-US" w:eastAsia="zh-CN"/>
              </w:rPr>
              <w:t>二级</w:t>
            </w:r>
            <w:r>
              <w:rPr>
                <w:rFonts w:hint="default" w:ascii="Times New Roman" w:hAnsi="Times New Roman" w:eastAsia="宋体" w:cs="Times New Roman"/>
                <w:color w:val="auto"/>
              </w:rPr>
              <w:t>加油站。</w:t>
            </w:r>
            <w:r>
              <w:rPr>
                <w:rFonts w:hint="default" w:ascii="Times New Roman" w:hAnsi="Times New Roman" w:eastAsia="宋体" w:cs="Times New Roman"/>
                <w:color w:val="auto"/>
                <w:lang w:val="en-US" w:eastAsia="zh-CN"/>
              </w:rPr>
              <w:t>新建</w:t>
            </w:r>
            <w:r>
              <w:rPr>
                <w:rFonts w:hint="default" w:ascii="Times New Roman" w:hAnsi="Times New Roman" w:eastAsia="宋体" w:cs="Times New Roman"/>
                <w:color w:val="auto"/>
              </w:rPr>
              <w:t>输油管线，新建</w:t>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rPr>
              <w:t>级油气回收系统，新建卸油安全架、声光报警系统、人体静电释放装置、紧急切断系统以及更换消防沙箱及消防器材箱。</w:t>
            </w:r>
          </w:p>
          <w:p>
            <w:pPr>
              <w:spacing w:line="520" w:lineRule="exact"/>
              <w:ind w:firstLine="480" w:firstLineChars="200"/>
              <w:rPr>
                <w:rFonts w:hint="default" w:ascii="Times New Roman" w:hAnsi="Times New Roman" w:eastAsia="宋体" w:cs="Times New Roman"/>
                <w:color w:val="FF0000"/>
              </w:rPr>
            </w:pPr>
            <w:r>
              <w:rPr>
                <w:rFonts w:hint="default" w:ascii="Times New Roman" w:hAnsi="Times New Roman" w:eastAsia="宋体" w:cs="Times New Roman"/>
                <w:color w:val="auto"/>
              </w:rPr>
              <w:t>（2）加油区：位于站区</w:t>
            </w:r>
            <w:r>
              <w:rPr>
                <w:rFonts w:hint="eastAsia" w:ascii="Times New Roman" w:hAnsi="Times New Roman" w:eastAsia="宋体" w:cs="Times New Roman"/>
                <w:color w:val="auto"/>
                <w:lang w:val="en-US" w:eastAsia="zh-CN"/>
              </w:rPr>
              <w:t>北</w:t>
            </w:r>
            <w:r>
              <w:rPr>
                <w:rFonts w:hint="default" w:ascii="Times New Roman" w:hAnsi="Times New Roman" w:eastAsia="宋体" w:cs="Times New Roman"/>
                <w:color w:val="auto"/>
                <w:sz w:val="24"/>
                <w:szCs w:val="24"/>
                <w:lang w:val="en-US" w:eastAsia="zh-CN"/>
              </w:rPr>
              <w:t>侧</w:t>
            </w:r>
            <w:r>
              <w:rPr>
                <w:rFonts w:hint="default" w:ascii="Times New Roman" w:hAnsi="Times New Roman" w:eastAsia="宋体" w:cs="Times New Roman"/>
                <w:color w:val="auto"/>
              </w:rPr>
              <w:t>，新建</w:t>
            </w:r>
            <w:r>
              <w:rPr>
                <w:rFonts w:hint="default" w:ascii="Times New Roman" w:hAnsi="Times New Roman" w:eastAsia="宋体" w:cs="Times New Roman"/>
                <w:color w:val="auto"/>
                <w:lang w:eastAsia="zh-CN"/>
              </w:rPr>
              <w:t>型钢结构</w:t>
            </w:r>
            <w:r>
              <w:rPr>
                <w:rFonts w:hint="eastAsia" w:ascii="Times New Roman" w:hAnsi="Times New Roman" w:eastAsia="宋体" w:cs="Times New Roman"/>
                <w:color w:val="auto"/>
                <w:lang w:eastAsia="zh-CN"/>
              </w:rPr>
              <w:t>罩棚288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新建</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台双枪</w:t>
            </w:r>
            <w:r>
              <w:rPr>
                <w:rFonts w:hint="eastAsia" w:ascii="Times New Roman" w:hAnsi="Times New Roman" w:eastAsia="宋体" w:cs="Times New Roman"/>
                <w:color w:val="auto"/>
                <w:lang w:val="en-US" w:eastAsia="zh-CN"/>
              </w:rPr>
              <w:t>单</w:t>
            </w:r>
            <w:r>
              <w:rPr>
                <w:rFonts w:hint="default" w:ascii="Times New Roman" w:hAnsi="Times New Roman" w:eastAsia="宋体" w:cs="Times New Roman"/>
                <w:color w:val="auto"/>
                <w:lang w:val="en-US" w:eastAsia="zh-CN"/>
              </w:rPr>
              <w:t>油品潜油泵汽油加油机（卡机连接式，油气回收型）；</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台双枪</w:t>
            </w:r>
            <w:r>
              <w:rPr>
                <w:rFonts w:hint="eastAsia" w:ascii="Times New Roman" w:hAnsi="Times New Roman" w:eastAsia="宋体" w:cs="Times New Roman"/>
                <w:color w:val="auto"/>
                <w:lang w:val="en-US" w:eastAsia="zh-CN"/>
              </w:rPr>
              <w:t>单</w:t>
            </w:r>
            <w:r>
              <w:rPr>
                <w:rFonts w:hint="default" w:ascii="Times New Roman" w:hAnsi="Times New Roman" w:eastAsia="宋体" w:cs="Times New Roman"/>
                <w:color w:val="auto"/>
                <w:lang w:val="en-US" w:eastAsia="zh-CN"/>
              </w:rPr>
              <w:t>油品潜油泵柴油加油机</w:t>
            </w:r>
            <w:r>
              <w:rPr>
                <w:rFonts w:hint="default" w:ascii="Times New Roman" w:hAnsi="Times New Roman" w:eastAsia="宋体" w:cs="Times New Roman"/>
                <w:color w:val="auto"/>
              </w:rPr>
              <w:t>；</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（3）站房：位于站区</w:t>
            </w:r>
            <w:r>
              <w:rPr>
                <w:rFonts w:hint="default" w:ascii="Times New Roman" w:hAnsi="Times New Roman" w:eastAsia="宋体" w:cs="Times New Roman"/>
                <w:color w:val="auto"/>
                <w:lang w:val="en-US" w:eastAsia="zh-CN"/>
              </w:rPr>
              <w:t>南</w:t>
            </w:r>
            <w:r>
              <w:rPr>
                <w:rFonts w:hint="default" w:ascii="Times New Roman" w:hAnsi="Times New Roman" w:eastAsia="宋体" w:cs="Times New Roman"/>
                <w:color w:val="auto"/>
                <w:sz w:val="24"/>
                <w:szCs w:val="24"/>
                <w:lang w:val="en-US" w:eastAsia="zh-CN"/>
              </w:rPr>
              <w:t>侧</w:t>
            </w:r>
            <w:r>
              <w:rPr>
                <w:rFonts w:hint="default" w:ascii="Times New Roman" w:hAnsi="Times New Roman" w:eastAsia="宋体" w:cs="Times New Roman"/>
                <w:color w:val="auto"/>
              </w:rPr>
              <w:t>，新建站房建筑结构为砖混结构，</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层</w:t>
            </w:r>
            <w:r>
              <w:rPr>
                <w:rFonts w:hint="default" w:ascii="Times New Roman" w:hAnsi="Times New Roman" w:eastAsia="宋体" w:cs="Times New Roman"/>
                <w:color w:val="auto"/>
                <w:lang w:val="en-US" w:eastAsia="zh-CN"/>
              </w:rPr>
              <w:t>建筑</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总</w:t>
            </w:r>
            <w:r>
              <w:rPr>
                <w:rFonts w:hint="default" w:ascii="Times New Roman" w:hAnsi="Times New Roman" w:eastAsia="宋体" w:cs="Times New Roman"/>
                <w:color w:val="auto"/>
              </w:rPr>
              <w:t>建筑面积为</w:t>
            </w:r>
            <w:r>
              <w:rPr>
                <w:rFonts w:hint="default" w:ascii="Times New Roman" w:hAnsi="Times New Roman" w:cs="Times New Roman"/>
                <w:sz w:val="24"/>
                <w:szCs w:val="24"/>
                <w:lang w:val="en-US" w:eastAsia="zh-CN"/>
              </w:rPr>
              <w:t xml:space="preserve">171.7 </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，包括值班室、储藏间、便利店、卫生间、配电间等</w:t>
            </w:r>
            <w:r>
              <w:rPr>
                <w:rFonts w:hint="default" w:ascii="Times New Roman" w:hAnsi="Times New Roman" w:eastAsia="宋体" w:cs="Times New Roman"/>
                <w:bCs/>
                <w:color w:val="auto"/>
              </w:rPr>
              <w:t>。</w:t>
            </w:r>
          </w:p>
          <w:p>
            <w:pPr>
              <w:pStyle w:val="34"/>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本工程</w:t>
            </w:r>
            <w:r>
              <w:rPr>
                <w:rFonts w:hint="default" w:ascii="Times New Roman" w:hAnsi="Times New Roman" w:eastAsia="宋体" w:cs="Times New Roman"/>
                <w:bCs/>
                <w:color w:val="auto"/>
              </w:rPr>
              <w:t>将建有</w:t>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bCs/>
                <w:color w:val="auto"/>
              </w:rPr>
              <w:t>级油气回收装置，针对运营期间的汽油相关作业进行油气回收，一级为卸油油气回收系统、二级为加油机油气回收系统</w:t>
            </w:r>
            <w:r>
              <w:rPr>
                <w:rFonts w:hint="default" w:ascii="Times New Roman" w:hAnsi="Times New Roman" w:eastAsia="宋体" w:cs="Times New Roman"/>
                <w:color w:val="auto"/>
              </w:rPr>
              <w:t>；项目建成后</w:t>
            </w:r>
            <w:r>
              <w:rPr>
                <w:rFonts w:hint="default" w:ascii="Times New Roman" w:hAnsi="Times New Roman" w:eastAsia="宋体" w:cs="Times New Roman"/>
                <w:color w:val="auto"/>
                <w:sz w:val="24"/>
                <w:szCs w:val="24"/>
              </w:rPr>
              <w:t>年销售成品油</w:t>
            </w:r>
            <w:r>
              <w:rPr>
                <w:rFonts w:hint="default" w:ascii="Times New Roman" w:hAnsi="Times New Roman" w:eastAsia="宋体" w:cs="Times New Roman"/>
                <w:color w:val="auto"/>
                <w:sz w:val="24"/>
                <w:szCs w:val="24"/>
                <w:lang w:val="en-US" w:eastAsia="zh-CN"/>
              </w:rPr>
              <w:t xml:space="preserve">3000 </w:t>
            </w:r>
            <w:r>
              <w:rPr>
                <w:rFonts w:hint="default" w:ascii="Times New Roman" w:hAnsi="Times New Roman" w:eastAsia="宋体" w:cs="Times New Roman"/>
                <w:color w:val="auto"/>
                <w:sz w:val="24"/>
                <w:szCs w:val="24"/>
              </w:rPr>
              <w:t>t/a，其中</w:t>
            </w:r>
            <w:r>
              <w:rPr>
                <w:rFonts w:hint="default" w:ascii="Times New Roman" w:hAnsi="Times New Roman" w:eastAsia="宋体" w:cs="Times New Roman"/>
                <w:bCs/>
                <w:color w:val="auto"/>
                <w:sz w:val="24"/>
                <w:szCs w:val="24"/>
              </w:rPr>
              <w:t>柴油</w:t>
            </w:r>
            <w:r>
              <w:rPr>
                <w:rFonts w:hint="default" w:ascii="Times New Roman" w:hAnsi="Times New Roman" w:eastAsia="宋体" w:cs="Times New Roman"/>
                <w:color w:val="auto"/>
                <w:sz w:val="24"/>
                <w:szCs w:val="24"/>
              </w:rPr>
              <w:t>销售</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bCs/>
                <w:color w:val="auto"/>
                <w:sz w:val="24"/>
                <w:szCs w:val="24"/>
              </w:rPr>
              <w:t>t/a、汽油销售量</w:t>
            </w:r>
            <w:r>
              <w:rPr>
                <w:rFonts w:hint="default" w:ascii="Times New Roman" w:hAnsi="Times New Roman" w:eastAsia="宋体" w:cs="Times New Roman"/>
                <w:color w:val="auto"/>
                <w:sz w:val="24"/>
                <w:szCs w:val="24"/>
                <w:lang w:val="en-US" w:eastAsia="zh-CN"/>
              </w:rPr>
              <w:t xml:space="preserve">2000 </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highlight w:val="none"/>
              </w:rPr>
              <w:t>。</w:t>
            </w:r>
          </w:p>
          <w:p>
            <w:pPr>
              <w:tabs>
                <w:tab w:val="left" w:pos="5760"/>
              </w:tabs>
              <w:ind w:firstLine="480"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highlight w:val="none"/>
              </w:rPr>
              <w:t>项目组成见表1-1，平面布置图见附图2。</w:t>
            </w:r>
          </w:p>
          <w:p>
            <w:pPr>
              <w:spacing w:line="520" w:lineRule="exact"/>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表1-1 项目组成情况一览表</w:t>
            </w:r>
          </w:p>
          <w:tbl>
            <w:tblPr>
              <w:tblStyle w:val="27"/>
              <w:tblW w:w="88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83"/>
              <w:gridCol w:w="1222"/>
              <w:gridCol w:w="5120"/>
              <w:gridCol w:w="1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工程内容</w:t>
                  </w:r>
                </w:p>
              </w:tc>
              <w:tc>
                <w:tcPr>
                  <w:tcW w:w="1222"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项目名称</w:t>
                  </w:r>
                </w:p>
              </w:tc>
              <w:tc>
                <w:tcPr>
                  <w:tcW w:w="5120"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主要建设内容</w:t>
                  </w:r>
                </w:p>
              </w:tc>
              <w:tc>
                <w:tcPr>
                  <w:tcW w:w="1457"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11" w:hRule="atLeast"/>
                <w:jc w:val="center"/>
              </w:trPr>
              <w:tc>
                <w:tcPr>
                  <w:tcW w:w="1083" w:type="dxa"/>
                  <w:vMerge w:val="restart"/>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主体工程</w:t>
                  </w:r>
                </w:p>
              </w:tc>
              <w:tc>
                <w:tcPr>
                  <w:tcW w:w="1222"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站房</w:t>
                  </w:r>
                </w:p>
              </w:tc>
              <w:tc>
                <w:tcPr>
                  <w:tcW w:w="5120"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rPr>
                    <w:t>建筑面积</w:t>
                  </w:r>
                  <w:r>
                    <w:rPr>
                      <w:rFonts w:hint="eastAsia" w:ascii="Times New Roman" w:hAnsi="Times New Roman" w:eastAsia="宋体" w:cs="Times New Roman"/>
                      <w:color w:val="auto"/>
                      <w:lang w:val="en-US" w:eastAsia="zh-CN"/>
                    </w:rPr>
                    <w:t>171.7</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，一层建筑，站房内设值班室、储藏间、便利店</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w:t>
                  </w:r>
                  <w:r>
                    <w:rPr>
                      <w:rFonts w:hint="default" w:ascii="Times New Roman" w:hAnsi="Times New Roman" w:eastAsia="宋体" w:cs="Times New Roman"/>
                      <w:color w:val="auto"/>
                      <w:lang w:eastAsia="zh-CN"/>
                    </w:rPr>
                    <w:t>销售车用的机油之类的危险化学品）</w:t>
                  </w:r>
                  <w:r>
                    <w:rPr>
                      <w:rFonts w:hint="default" w:ascii="Times New Roman" w:hAnsi="Times New Roman" w:eastAsia="宋体" w:cs="Times New Roman"/>
                      <w:color w:val="auto"/>
                    </w:rPr>
                    <w:t>、配电间</w:t>
                  </w:r>
                </w:p>
              </w:tc>
              <w:tc>
                <w:tcPr>
                  <w:tcW w:w="145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FF0000"/>
                      <w:szCs w:val="21"/>
                    </w:rPr>
                  </w:pPr>
                </w:p>
              </w:tc>
              <w:tc>
                <w:tcPr>
                  <w:tcW w:w="1222" w:type="dxa"/>
                  <w:vAlign w:val="center"/>
                </w:tcPr>
                <w:p>
                  <w:pPr>
                    <w:pStyle w:val="35"/>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加油岛</w:t>
                  </w:r>
                </w:p>
                <w:p>
                  <w:pPr>
                    <w:pStyle w:val="35"/>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及罩棚</w:t>
                  </w:r>
                </w:p>
              </w:tc>
              <w:tc>
                <w:tcPr>
                  <w:tcW w:w="5120" w:type="dxa"/>
                  <w:vAlign w:val="center"/>
                </w:tcPr>
                <w:p>
                  <w:pPr>
                    <w:pStyle w:val="35"/>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罩棚为型钢结构，高5.5m，投影面积</w:t>
                  </w:r>
                  <w:r>
                    <w:rPr>
                      <w:rFonts w:hint="eastAsia" w:ascii="Times New Roman" w:hAnsi="Times New Roman" w:eastAsia="宋体" w:cs="Times New Roman"/>
                      <w:color w:val="auto"/>
                      <w:lang w:eastAsia="zh-CN"/>
                    </w:rPr>
                    <w:t>288</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；新建</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台双枪</w:t>
                  </w:r>
                  <w:r>
                    <w:rPr>
                      <w:rFonts w:hint="eastAsia" w:ascii="Times New Roman" w:hAnsi="Times New Roman" w:eastAsia="宋体" w:cs="Times New Roman"/>
                      <w:color w:val="auto"/>
                      <w:lang w:val="en-US" w:eastAsia="zh-CN"/>
                    </w:rPr>
                    <w:t>单</w:t>
                  </w:r>
                  <w:r>
                    <w:rPr>
                      <w:rFonts w:hint="default" w:ascii="Times New Roman" w:hAnsi="Times New Roman" w:eastAsia="宋体" w:cs="Times New Roman"/>
                      <w:color w:val="auto"/>
                      <w:lang w:val="en-US" w:eastAsia="zh-CN"/>
                    </w:rPr>
                    <w:t>油品潜油泵汽油加油机（卡机连接式，油气回收型）；</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台双枪</w:t>
                  </w:r>
                  <w:r>
                    <w:rPr>
                      <w:rFonts w:hint="eastAsia" w:ascii="Times New Roman" w:hAnsi="Times New Roman" w:eastAsia="宋体" w:cs="Times New Roman"/>
                      <w:color w:val="auto"/>
                      <w:lang w:val="en-US" w:eastAsia="zh-CN"/>
                    </w:rPr>
                    <w:t>单</w:t>
                  </w:r>
                  <w:r>
                    <w:rPr>
                      <w:rFonts w:hint="default" w:ascii="Times New Roman" w:hAnsi="Times New Roman" w:eastAsia="宋体" w:cs="Times New Roman"/>
                      <w:color w:val="auto"/>
                      <w:lang w:val="en-US" w:eastAsia="zh-CN"/>
                    </w:rPr>
                    <w:t>油品潜油泵柴油加油机</w:t>
                  </w:r>
                </w:p>
              </w:tc>
              <w:tc>
                <w:tcPr>
                  <w:tcW w:w="145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FF0000"/>
                      <w:szCs w:val="21"/>
                    </w:rPr>
                  </w:pPr>
                </w:p>
              </w:tc>
              <w:tc>
                <w:tcPr>
                  <w:tcW w:w="1222" w:type="dxa"/>
                  <w:vAlign w:val="center"/>
                </w:tcPr>
                <w:p>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储罐区</w:t>
                  </w:r>
                </w:p>
              </w:tc>
              <w:tc>
                <w:tcPr>
                  <w:tcW w:w="5120" w:type="dxa"/>
                  <w:vAlign w:val="center"/>
                </w:tcPr>
                <w:p>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双层防渗埋地油罐</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个（</w:t>
                  </w:r>
                  <w:r>
                    <w:rPr>
                      <w:rFonts w:hint="default" w:ascii="Times New Roman" w:hAnsi="Times New Roman" w:eastAsia="宋体" w:cs="Times New Roman"/>
                      <w:color w:val="auto"/>
                    </w:rPr>
                    <w:t>其中，双层钢制汽油罐</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；双层钢制柴油罐</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占地面积</w:t>
                  </w:r>
                  <w:r>
                    <w:rPr>
                      <w:rFonts w:hint="eastAsia" w:ascii="Times New Roman" w:hAnsi="Times New Roman" w:eastAsia="宋体" w:cs="Times New Roman"/>
                      <w:color w:val="auto"/>
                      <w:sz w:val="21"/>
                      <w:szCs w:val="21"/>
                      <w:highlight w:val="none"/>
                      <w:lang w:val="en-US" w:eastAsia="zh-CN"/>
                    </w:rPr>
                    <w:t>145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45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restart"/>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公用工程</w:t>
                  </w:r>
                </w:p>
              </w:tc>
              <w:tc>
                <w:tcPr>
                  <w:tcW w:w="1222"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给水</w:t>
                  </w:r>
                </w:p>
              </w:tc>
              <w:tc>
                <w:tcPr>
                  <w:tcW w:w="5120" w:type="dxa"/>
                  <w:vAlign w:val="center"/>
                </w:tcPr>
                <w:p>
                  <w:pPr>
                    <w:pStyle w:val="3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本项目无生产用水，</w:t>
                  </w:r>
                  <w:r>
                    <w:rPr>
                      <w:rFonts w:hint="eastAsia" w:ascii="Times New Roman" w:hAnsi="Times New Roman" w:eastAsia="宋体" w:cs="Times New Roman"/>
                      <w:color w:val="auto"/>
                      <w:kern w:val="0"/>
                      <w:sz w:val="21"/>
                      <w:szCs w:val="21"/>
                      <w:lang w:eastAsia="zh-CN"/>
                    </w:rPr>
                    <w:t>生活用水来源于市政供水管网</w:t>
                  </w:r>
                  <w:r>
                    <w:rPr>
                      <w:rFonts w:hint="default" w:ascii="Times New Roman" w:hAnsi="Times New Roman" w:eastAsia="宋体" w:cs="Times New Roman"/>
                      <w:color w:val="auto"/>
                      <w:kern w:val="0"/>
                      <w:sz w:val="21"/>
                      <w:szCs w:val="21"/>
                    </w:rPr>
                    <w:t>，项目生活用水量</w:t>
                  </w:r>
                  <w:r>
                    <w:rPr>
                      <w:rFonts w:hint="default" w:ascii="Times New Roman" w:hAnsi="Times New Roman" w:eastAsia="宋体" w:cs="Times New Roman"/>
                      <w:color w:val="auto"/>
                      <w:kern w:val="0"/>
                      <w:sz w:val="21"/>
                      <w:szCs w:val="21"/>
                      <w:lang w:eastAsia="zh-CN"/>
                    </w:rPr>
                    <w:t>0.</w:t>
                  </w:r>
                  <w:r>
                    <w:rPr>
                      <w:rFonts w:hint="eastAsia" w:ascii="Times New Roman" w:hAnsi="Times New Roman" w:eastAsia="宋体" w:cs="Times New Roman"/>
                      <w:color w:val="auto"/>
                      <w:kern w:val="0"/>
                      <w:sz w:val="21"/>
                      <w:szCs w:val="21"/>
                      <w:lang w:val="en-US" w:eastAsia="zh-CN"/>
                    </w:rPr>
                    <w:t>18</w:t>
                  </w:r>
                  <w:r>
                    <w:rPr>
                      <w:rFonts w:hint="default" w:ascii="Times New Roman" w:hAnsi="Times New Roman" w:eastAsia="宋体" w:cs="Times New Roman"/>
                      <w:color w:val="auto"/>
                      <w:kern w:val="0"/>
                      <w:sz w:val="21"/>
                      <w:szCs w:val="21"/>
                      <w:lang w:eastAsia="zh-CN"/>
                    </w:rPr>
                    <w:t>t/d，</w:t>
                  </w:r>
                  <w:r>
                    <w:rPr>
                      <w:rFonts w:hint="eastAsia" w:ascii="Times New Roman" w:hAnsi="Times New Roman" w:eastAsia="宋体" w:cs="Times New Roman"/>
                      <w:color w:val="auto"/>
                      <w:kern w:val="0"/>
                      <w:sz w:val="21"/>
                      <w:szCs w:val="21"/>
                      <w:lang w:eastAsia="zh-CN"/>
                    </w:rPr>
                    <w:t>65.7t/a</w:t>
                  </w:r>
                </w:p>
              </w:tc>
              <w:tc>
                <w:tcPr>
                  <w:tcW w:w="145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Align w:val="center"/>
                </w:tcPr>
                <w:p>
                  <w:pPr>
                    <w:pStyle w:val="35"/>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排水</w:t>
                  </w:r>
                </w:p>
              </w:tc>
              <w:tc>
                <w:tcPr>
                  <w:tcW w:w="512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生活污水排放量为</w:t>
                  </w:r>
                  <w:r>
                    <w:rPr>
                      <w:rFonts w:hint="eastAsia" w:ascii="Times New Roman" w:hAnsi="Times New Roman" w:eastAsia="宋体" w:cs="Times New Roman"/>
                      <w:color w:val="auto"/>
                      <w:sz w:val="21"/>
                      <w:szCs w:val="21"/>
                      <w:lang w:eastAsia="zh-CN"/>
                    </w:rPr>
                    <w:t>0.144</w:t>
                  </w:r>
                  <w:r>
                    <w:rPr>
                      <w:rFonts w:hint="default" w:ascii="Times New Roman" w:hAnsi="Times New Roman" w:eastAsia="宋体" w:cs="Times New Roman"/>
                      <w:color w:val="auto"/>
                      <w:sz w:val="21"/>
                      <w:szCs w:val="21"/>
                      <w:lang w:eastAsia="zh-CN"/>
                    </w:rPr>
                    <w:t>t/d，</w:t>
                  </w:r>
                  <w:r>
                    <w:rPr>
                      <w:rFonts w:hint="eastAsia" w:ascii="Times New Roman" w:hAnsi="Times New Roman" w:eastAsia="宋体" w:cs="Times New Roman"/>
                      <w:color w:val="auto"/>
                      <w:sz w:val="21"/>
                      <w:szCs w:val="21"/>
                      <w:lang w:eastAsia="zh-CN"/>
                    </w:rPr>
                    <w:t>52.56</w:t>
                  </w:r>
                  <w:r>
                    <w:rPr>
                      <w:rFonts w:hint="default" w:ascii="Times New Roman" w:hAnsi="Times New Roman" w:eastAsia="宋体" w:cs="Times New Roman"/>
                      <w:color w:val="auto"/>
                      <w:sz w:val="21"/>
                      <w:szCs w:val="21"/>
                      <w:lang w:eastAsia="zh-CN"/>
                    </w:rPr>
                    <w:t>t/a</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生活污水经过防渗化粪池预处理后经过排水管网，进入同江市城市污水处理厂处理达标后排放松花江</w:t>
                  </w:r>
                </w:p>
              </w:tc>
              <w:tc>
                <w:tcPr>
                  <w:tcW w:w="145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Align w:val="center"/>
                </w:tcPr>
                <w:p>
                  <w:pPr>
                    <w:pStyle w:val="35"/>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w:t>
                  </w:r>
                </w:p>
              </w:tc>
              <w:tc>
                <w:tcPr>
                  <w:tcW w:w="5120" w:type="dxa"/>
                  <w:vAlign w:val="center"/>
                </w:tcPr>
                <w:p>
                  <w:pPr>
                    <w:pStyle w:val="3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当地电业局统一供电</w:t>
                  </w:r>
                </w:p>
              </w:tc>
              <w:tc>
                <w:tcPr>
                  <w:tcW w:w="145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Align w:val="center"/>
                </w:tcPr>
                <w:p>
                  <w:pPr>
                    <w:pStyle w:val="35"/>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供热</w:t>
                  </w:r>
                </w:p>
              </w:tc>
              <w:tc>
                <w:tcPr>
                  <w:tcW w:w="5120" w:type="dxa"/>
                  <w:vAlign w:val="center"/>
                </w:tcPr>
                <w:p>
                  <w:pPr>
                    <w:pStyle w:val="3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本项目供热采取电取暖</w:t>
                  </w:r>
                </w:p>
              </w:tc>
              <w:tc>
                <w:tcPr>
                  <w:tcW w:w="145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restart"/>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1222" w:type="dxa"/>
                  <w:vAlign w:val="center"/>
                </w:tcPr>
                <w:p>
                  <w:pPr>
                    <w:pStyle w:val="3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废水防治</w:t>
                  </w:r>
                </w:p>
              </w:tc>
              <w:tc>
                <w:tcPr>
                  <w:tcW w:w="5120" w:type="dxa"/>
                  <w:vAlign w:val="center"/>
                </w:tcPr>
                <w:p>
                  <w:pPr>
                    <w:pStyle w:val="35"/>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生活污水经过防渗化粪池预处理后经过排水管网，进入同江市城市污水处理厂处理达标后排放松花江</w:t>
                  </w:r>
                </w:p>
              </w:tc>
              <w:tc>
                <w:tcPr>
                  <w:tcW w:w="1457" w:type="dxa"/>
                  <w:vAlign w:val="center"/>
                </w:tcPr>
                <w:p>
                  <w:pPr>
                    <w:spacing w:line="240" w:lineRule="auto"/>
                    <w:jc w:val="center"/>
                    <w:rPr>
                      <w:rFonts w:hint="default" w:ascii="Times New Roman" w:hAnsi="Times New Roman" w:eastAsia="宋体" w:cs="Times New Roman"/>
                      <w:color w:val="auto"/>
                      <w:sz w:val="21"/>
                      <w:szCs w:val="21"/>
                      <w:highlight w:val="gree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Align w:val="center"/>
                </w:tcPr>
                <w:p>
                  <w:pPr>
                    <w:pStyle w:val="35"/>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废气防治</w:t>
                  </w:r>
                </w:p>
              </w:tc>
              <w:tc>
                <w:tcPr>
                  <w:tcW w:w="5120" w:type="dxa"/>
                  <w:vAlign w:val="center"/>
                </w:tcPr>
                <w:p>
                  <w:pPr>
                    <w:pStyle w:val="35"/>
                    <w:rPr>
                      <w:rFonts w:hint="default" w:ascii="Times New Roman" w:hAnsi="Times New Roman" w:eastAsia="宋体" w:cs="Times New Roman"/>
                      <w:color w:val="auto"/>
                    </w:rPr>
                  </w:pPr>
                  <w:r>
                    <w:rPr>
                      <w:rFonts w:hint="default" w:ascii="Times New Roman" w:hAnsi="Times New Roman" w:eastAsia="宋体" w:cs="Times New Roman"/>
                      <w:color w:val="auto"/>
                      <w:szCs w:val="21"/>
                    </w:rPr>
                    <w:t>卸</w:t>
                  </w:r>
                  <w:r>
                    <w:rPr>
                      <w:rFonts w:hint="default" w:ascii="Times New Roman" w:hAnsi="Times New Roman" w:eastAsia="宋体" w:cs="Times New Roman"/>
                      <w:color w:val="auto"/>
                    </w:rPr>
                    <w:t>油口及汽油加油机上分别设置卸油油气回收、分散式加油油气回收系统，厂界非甲烷总烃浓度满足《大气污染物综合排放标准</w:t>
                  </w:r>
                  <w:r>
                    <w:rPr>
                      <w:rFonts w:hint="default" w:ascii="Times New Roman" w:hAnsi="Times New Roman" w:eastAsia="宋体" w:cs="Times New Roman"/>
                      <w:color w:val="auto"/>
                      <w:szCs w:val="21"/>
                    </w:rPr>
                    <w:t>》（GB16297-1996）表2无组织排放监控浓度限值要求</w:t>
                  </w:r>
                </w:p>
              </w:tc>
              <w:tc>
                <w:tcPr>
                  <w:tcW w:w="145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地下水防治</w:t>
                  </w:r>
                </w:p>
              </w:tc>
              <w:tc>
                <w:tcPr>
                  <w:tcW w:w="5120" w:type="dxa"/>
                  <w:vAlign w:val="center"/>
                </w:tcPr>
                <w:p>
                  <w:pPr>
                    <w:pStyle w:val="35"/>
                    <w:rPr>
                      <w:rFonts w:hint="default" w:ascii="Times New Roman" w:hAnsi="Times New Roman" w:eastAsia="宋体" w:cs="Times New Roman"/>
                      <w:color w:val="auto"/>
                    </w:rPr>
                  </w:pPr>
                  <w:r>
                    <w:rPr>
                      <w:rFonts w:hint="default" w:ascii="Times New Roman" w:hAnsi="Times New Roman" w:eastAsia="宋体" w:cs="Times New Roman"/>
                      <w:color w:val="auto"/>
                      <w:kern w:val="0"/>
                    </w:rPr>
                    <w:t>双层SF埋地储罐</w:t>
                  </w:r>
                  <w:r>
                    <w:rPr>
                      <w:rFonts w:hint="default" w:ascii="Times New Roman" w:hAnsi="Times New Roman" w:eastAsia="宋体" w:cs="Times New Roman"/>
                      <w:color w:val="auto"/>
                      <w:kern w:val="0"/>
                      <w:szCs w:val="21"/>
                    </w:rPr>
                    <w:t>，地下水跟踪监测，并公开信息，制定应急预案。</w:t>
                  </w:r>
                </w:p>
              </w:tc>
              <w:tc>
                <w:tcPr>
                  <w:tcW w:w="145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w:t>
                  </w:r>
                </w:p>
              </w:tc>
              <w:tc>
                <w:tcPr>
                  <w:tcW w:w="5120" w:type="dxa"/>
                  <w:vAlign w:val="center"/>
                </w:tcPr>
                <w:p>
                  <w:pPr>
                    <w:pStyle w:val="35"/>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选择低噪音的设备、采取隔声、减振措施，加强进出车辆管理</w:t>
                  </w:r>
                </w:p>
              </w:tc>
              <w:tc>
                <w:tcPr>
                  <w:tcW w:w="145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Merge w:val="restart"/>
                  <w:vAlign w:val="center"/>
                </w:tcPr>
                <w:p>
                  <w:pPr>
                    <w:pStyle w:val="35"/>
                    <w:tabs>
                      <w:tab w:val="left" w:pos="5760"/>
                    </w:tabs>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5120" w:type="dxa"/>
                  <w:vAlign w:val="center"/>
                </w:tcPr>
                <w:p>
                  <w:pPr>
                    <w:pStyle w:val="35"/>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生活垃圾</w:t>
                  </w:r>
                  <w:r>
                    <w:rPr>
                      <w:rFonts w:hint="default" w:ascii="Times New Roman" w:hAnsi="Times New Roman" w:eastAsia="宋体" w:cs="Times New Roman"/>
                      <w:color w:val="auto"/>
                      <w:kern w:val="0"/>
                    </w:rPr>
                    <w:t>集中收集存放，由市政部门统一处理</w:t>
                  </w:r>
                </w:p>
              </w:tc>
              <w:tc>
                <w:tcPr>
                  <w:tcW w:w="1457" w:type="dxa"/>
                  <w:vMerge w:val="restart"/>
                  <w:vAlign w:val="center"/>
                </w:tcPr>
                <w:p>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083" w:type="dxa"/>
                  <w:vMerge w:val="continue"/>
                  <w:vAlign w:val="center"/>
                </w:tcPr>
                <w:p>
                  <w:pPr>
                    <w:pStyle w:val="35"/>
                    <w:rPr>
                      <w:rFonts w:hint="default" w:ascii="Times New Roman" w:hAnsi="Times New Roman" w:eastAsia="宋体" w:cs="Times New Roman"/>
                      <w:color w:val="auto"/>
                      <w:szCs w:val="21"/>
                    </w:rPr>
                  </w:pPr>
                </w:p>
              </w:tc>
              <w:tc>
                <w:tcPr>
                  <w:tcW w:w="1222" w:type="dxa"/>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5120" w:type="dxa"/>
                  <w:vAlign w:val="center"/>
                </w:tcPr>
                <w:p>
                  <w:pPr>
                    <w:pStyle w:val="35"/>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油罐底泥交给有资质单位处理</w:t>
                  </w:r>
                </w:p>
              </w:tc>
              <w:tc>
                <w:tcPr>
                  <w:tcW w:w="1457" w:type="dxa"/>
                  <w:vMerge w:val="continue"/>
                  <w:vAlign w:val="center"/>
                </w:tcPr>
                <w:p>
                  <w:pPr>
                    <w:pStyle w:val="35"/>
                    <w:rPr>
                      <w:rFonts w:hint="default" w:ascii="Times New Roman" w:hAnsi="Times New Roman" w:eastAsia="宋体" w:cs="Times New Roman"/>
                      <w:color w:val="auto"/>
                      <w:szCs w:val="21"/>
                    </w:rPr>
                  </w:pPr>
                </w:p>
              </w:tc>
            </w:tr>
          </w:tbl>
          <w:p>
            <w:pPr>
              <w:spacing w:line="440" w:lineRule="exact"/>
              <w:ind w:firstLine="480" w:firstLineChars="200"/>
              <w:rPr>
                <w:rFonts w:hint="default" w:ascii="Times New Roman" w:hAnsi="Times New Roman" w:eastAsia="宋体" w:cs="Times New Roman"/>
                <w:color w:val="FF0000"/>
                <w:highlight w:val="none"/>
              </w:rPr>
            </w:pPr>
            <w:r>
              <w:rPr>
                <w:rFonts w:hint="default" w:ascii="Times New Roman" w:hAnsi="Times New Roman" w:eastAsia="宋体" w:cs="Times New Roman"/>
                <w:color w:val="auto"/>
                <w:highlight w:val="none"/>
              </w:rPr>
              <w:t>3、加油站等级</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本项目双层钢制汽油罐</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；双层钢制柴油罐</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，油罐总容积为</w:t>
            </w:r>
            <w:r>
              <w:rPr>
                <w:rFonts w:hint="eastAsia" w:ascii="Times New Roman" w:hAnsi="Times New Roman" w:eastAsia="宋体" w:cs="Times New Roman"/>
                <w:color w:val="auto"/>
                <w:lang w:val="en-US" w:eastAsia="zh-CN"/>
              </w:rPr>
              <w:t>140</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，折合后油罐总容积为</w:t>
            </w:r>
            <w:r>
              <w:rPr>
                <w:rFonts w:hint="eastAsia" w:ascii="Times New Roman" w:hAnsi="Times New Roman" w:eastAsia="宋体" w:cs="Times New Roman"/>
                <w:color w:val="auto"/>
                <w:lang w:val="en-US" w:eastAsia="zh-CN"/>
              </w:rPr>
              <w:t>100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，根据《汽车加油加气站设计与施工规范》（GB 50156-2012）及2014局部修订第3.0.9条对加油站的等级划分的规定，该站属于</w:t>
            </w:r>
            <w:r>
              <w:rPr>
                <w:rFonts w:hint="default" w:ascii="Times New Roman" w:hAnsi="Times New Roman" w:eastAsia="宋体" w:cs="Times New Roman"/>
                <w:color w:val="auto"/>
                <w:lang w:val="en-US" w:eastAsia="zh-CN"/>
              </w:rPr>
              <w:t>二级</w:t>
            </w:r>
            <w:r>
              <w:rPr>
                <w:rFonts w:hint="default" w:ascii="Times New Roman" w:hAnsi="Times New Roman" w:eastAsia="宋体" w:cs="Times New Roman"/>
                <w:color w:val="auto"/>
              </w:rPr>
              <w:t>加油站。销售量：项目建成后</w:t>
            </w:r>
            <w:r>
              <w:rPr>
                <w:rFonts w:hint="default" w:ascii="Times New Roman" w:hAnsi="Times New Roman" w:eastAsia="宋体" w:cs="Times New Roman"/>
                <w:color w:val="auto"/>
                <w:sz w:val="24"/>
                <w:szCs w:val="24"/>
              </w:rPr>
              <w:t>年销售成品油</w:t>
            </w:r>
            <w:r>
              <w:rPr>
                <w:rFonts w:hint="default" w:ascii="Times New Roman" w:hAnsi="Times New Roman" w:eastAsia="宋体" w:cs="Times New Roman"/>
                <w:color w:val="auto"/>
                <w:sz w:val="24"/>
                <w:szCs w:val="24"/>
                <w:lang w:val="en-US" w:eastAsia="zh-CN"/>
              </w:rPr>
              <w:t xml:space="preserve">3000 </w:t>
            </w:r>
            <w:r>
              <w:rPr>
                <w:rFonts w:hint="default" w:ascii="Times New Roman" w:hAnsi="Times New Roman" w:eastAsia="宋体" w:cs="Times New Roman"/>
                <w:color w:val="auto"/>
                <w:sz w:val="24"/>
                <w:szCs w:val="24"/>
              </w:rPr>
              <w:t>t/a，其中</w:t>
            </w:r>
            <w:r>
              <w:rPr>
                <w:rFonts w:hint="default" w:ascii="Times New Roman" w:hAnsi="Times New Roman" w:eastAsia="宋体" w:cs="Times New Roman"/>
                <w:bCs/>
                <w:color w:val="auto"/>
                <w:sz w:val="24"/>
                <w:szCs w:val="24"/>
              </w:rPr>
              <w:t>柴油</w:t>
            </w:r>
            <w:r>
              <w:rPr>
                <w:rFonts w:hint="default" w:ascii="Times New Roman" w:hAnsi="Times New Roman" w:eastAsia="宋体" w:cs="Times New Roman"/>
                <w:color w:val="auto"/>
                <w:sz w:val="24"/>
                <w:szCs w:val="24"/>
              </w:rPr>
              <w:t>销售</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bCs/>
                <w:color w:val="auto"/>
                <w:sz w:val="24"/>
                <w:szCs w:val="24"/>
              </w:rPr>
              <w:t>t/a、汽油销售量</w:t>
            </w:r>
            <w:r>
              <w:rPr>
                <w:rFonts w:hint="default" w:ascii="Times New Roman" w:hAnsi="Times New Roman" w:eastAsia="宋体" w:cs="Times New Roman"/>
                <w:color w:val="auto"/>
                <w:sz w:val="24"/>
                <w:szCs w:val="24"/>
                <w:lang w:val="en-US" w:eastAsia="zh-CN"/>
              </w:rPr>
              <w:t xml:space="preserve">2000 </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color w:val="auto"/>
                <w:highlight w:val="none"/>
              </w:rPr>
              <w:t>。</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4、设备组成</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本项目主要设备见表1-2。</w:t>
            </w:r>
          </w:p>
          <w:p>
            <w:pPr>
              <w:spacing w:line="48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表1-2 加油站主要设备一览表</w:t>
            </w:r>
          </w:p>
          <w:tbl>
            <w:tblPr>
              <w:tblStyle w:val="27"/>
              <w:tblW w:w="90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80"/>
              <w:gridCol w:w="3383"/>
              <w:gridCol w:w="1520"/>
              <w:gridCol w:w="579"/>
              <w:gridCol w:w="579"/>
              <w:gridCol w:w="23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2" w:hRule="atLeast"/>
                <w:jc w:val="center"/>
              </w:trPr>
              <w:tc>
                <w:tcPr>
                  <w:tcW w:w="58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383"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52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规格型号</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238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8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83"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双层SF式卧式油罐（汽油）</w:t>
                  </w:r>
                </w:p>
              </w:tc>
              <w:tc>
                <w:tcPr>
                  <w:tcW w:w="152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座</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238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8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3383"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双层SF式卧式油罐（柴油）</w:t>
                  </w:r>
                </w:p>
              </w:tc>
              <w:tc>
                <w:tcPr>
                  <w:tcW w:w="152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座</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238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7" w:hRule="atLeast"/>
                <w:jc w:val="center"/>
              </w:trPr>
              <w:tc>
                <w:tcPr>
                  <w:tcW w:w="58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383"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双层SF式卧式油罐（柴油）</w:t>
                  </w:r>
                </w:p>
              </w:tc>
              <w:tc>
                <w:tcPr>
                  <w:tcW w:w="152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座</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38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8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w:t>
                  </w:r>
                </w:p>
              </w:tc>
              <w:tc>
                <w:tcPr>
                  <w:tcW w:w="3383"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双枪</w:t>
                  </w:r>
                  <w:r>
                    <w:rPr>
                      <w:rFonts w:hint="eastAsia"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品</w:t>
                  </w:r>
                  <w:r>
                    <w:rPr>
                      <w:rFonts w:hint="default" w:ascii="Times New Roman" w:hAnsi="Times New Roman" w:eastAsia="宋体" w:cs="Times New Roman"/>
                      <w:color w:val="auto"/>
                      <w:sz w:val="21"/>
                      <w:szCs w:val="21"/>
                      <w:lang w:eastAsia="zh-CN"/>
                    </w:rPr>
                    <w:t>潜油泵</w:t>
                  </w:r>
                  <w:r>
                    <w:rPr>
                      <w:rFonts w:hint="default" w:ascii="Times New Roman" w:hAnsi="Times New Roman" w:eastAsia="宋体" w:cs="Times New Roman"/>
                      <w:color w:val="auto"/>
                      <w:sz w:val="21"/>
                      <w:szCs w:val="21"/>
                    </w:rPr>
                    <w:t>加油机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汽油</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个、柴油</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w:t>
                  </w:r>
                  <w:r>
                    <w:rPr>
                      <w:rFonts w:hint="default" w:ascii="Times New Roman" w:hAnsi="Times New Roman" w:eastAsia="宋体" w:cs="Times New Roman"/>
                      <w:color w:val="auto"/>
                      <w:sz w:val="21"/>
                      <w:szCs w:val="21"/>
                      <w:lang w:eastAsia="zh-CN"/>
                    </w:rPr>
                    <w:t>）</w:t>
                  </w:r>
                </w:p>
              </w:tc>
              <w:tc>
                <w:tcPr>
                  <w:tcW w:w="1520"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Q=5-50L/min</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79" w:type="dxa"/>
                  <w:tcMar>
                    <w:top w:w="20" w:type="dxa"/>
                    <w:left w:w="20" w:type="dxa"/>
                    <w:bottom w:w="0" w:type="dxa"/>
                    <w:right w:w="20" w:type="dxa"/>
                  </w:tcMar>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238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汽油带油气回收装置</w:t>
                  </w:r>
                </w:p>
              </w:tc>
            </w:tr>
          </w:tbl>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5、总图布置</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加油站平面布置严格按《汽车加油加气站设计与施工规范》（GB50156-2012）（2014年局部修订版）及</w:t>
            </w:r>
            <w:r>
              <w:rPr>
                <w:rFonts w:hint="eastAsia" w:ascii="Times New Roman" w:hAnsi="Times New Roman" w:eastAsia="宋体" w:cs="Times New Roman"/>
                <w:color w:val="auto"/>
                <w:lang w:eastAsia="zh-CN"/>
              </w:rPr>
              <w:t>《建筑设计防火规范（2018年版）》（GB50016-2014）</w:t>
            </w:r>
            <w:r>
              <w:rPr>
                <w:rFonts w:hint="default" w:ascii="Times New Roman" w:hAnsi="Times New Roman" w:eastAsia="宋体" w:cs="Times New Roman"/>
                <w:color w:val="auto"/>
              </w:rPr>
              <w:t>进行。站内由储罐区、加油区、站房三部分组成。</w:t>
            </w:r>
            <w:r>
              <w:rPr>
                <w:rFonts w:hint="default" w:ascii="Times New Roman" w:hAnsi="Times New Roman" w:eastAsia="宋体" w:cs="Times New Roman"/>
                <w:color w:val="auto"/>
                <w:kern w:val="0"/>
                <w:lang w:val="en-US" w:eastAsia="zh-CN"/>
              </w:rPr>
              <w:t>站址东侧为</w:t>
            </w:r>
            <w:r>
              <w:rPr>
                <w:rFonts w:hint="eastAsia" w:ascii="Times New Roman" w:hAnsi="Times New Roman" w:eastAsia="宋体" w:cs="Times New Roman"/>
                <w:color w:val="auto"/>
                <w:kern w:val="0"/>
                <w:lang w:val="en-US" w:eastAsia="zh-CN"/>
              </w:rPr>
              <w:t>农田</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sz w:val="24"/>
                <w:szCs w:val="24"/>
                <w:lang w:val="en-US" w:eastAsia="zh-CN"/>
              </w:rPr>
              <w:t>站址南侧为</w:t>
            </w:r>
            <w:r>
              <w:rPr>
                <w:rFonts w:hint="eastAsia" w:ascii="Times New Roman" w:hAnsi="Times New Roman" w:eastAsia="宋体" w:cs="Times New Roman"/>
                <w:color w:val="auto"/>
                <w:sz w:val="24"/>
                <w:szCs w:val="24"/>
                <w:lang w:val="en-US" w:eastAsia="zh-CN"/>
              </w:rPr>
              <w:t>树林</w:t>
            </w:r>
            <w:r>
              <w:rPr>
                <w:rFonts w:hint="default" w:ascii="Times New Roman" w:hAnsi="Times New Roman" w:eastAsia="宋体" w:cs="Times New Roman"/>
                <w:color w:val="auto"/>
                <w:kern w:val="0"/>
                <w:lang w:val="en-US" w:eastAsia="zh-CN"/>
              </w:rPr>
              <w:t>；站址西侧为</w:t>
            </w:r>
            <w:r>
              <w:rPr>
                <w:rFonts w:hint="eastAsia" w:ascii="Times New Roman" w:hAnsi="Times New Roman" w:eastAsia="宋体" w:cs="Times New Roman"/>
                <w:color w:val="auto"/>
                <w:kern w:val="0"/>
                <w:lang w:val="en-US" w:eastAsia="zh-CN"/>
              </w:rPr>
              <w:t>树林</w:t>
            </w:r>
            <w:r>
              <w:rPr>
                <w:rFonts w:hint="default" w:ascii="Times New Roman" w:hAnsi="Times New Roman" w:eastAsia="宋体" w:cs="Times New Roman"/>
                <w:color w:val="auto"/>
                <w:kern w:val="0"/>
                <w:lang w:val="en-US" w:eastAsia="zh-CN"/>
              </w:rPr>
              <w:t>；站址北侧</w:t>
            </w:r>
            <w:r>
              <w:rPr>
                <w:rFonts w:hint="eastAsia" w:ascii="Times New Roman" w:cs="Times New Roman"/>
                <w:color w:val="auto"/>
                <w:kern w:val="0"/>
                <w:lang w:val="en-US" w:eastAsia="zh-CN"/>
              </w:rPr>
              <w:t>隔平安大道（城市主干道）</w:t>
            </w:r>
            <w:r>
              <w:rPr>
                <w:rFonts w:hint="default" w:ascii="Times New Roman" w:hAnsi="Times New Roman" w:eastAsia="宋体" w:cs="Times New Roman"/>
                <w:color w:val="auto"/>
                <w:kern w:val="0"/>
                <w:lang w:val="en-US" w:eastAsia="zh-CN"/>
              </w:rPr>
              <w:t>为</w:t>
            </w:r>
            <w:r>
              <w:rPr>
                <w:rFonts w:hint="eastAsia" w:ascii="Times New Roman" w:cs="Times New Roman"/>
                <w:color w:val="auto"/>
                <w:kern w:val="0"/>
                <w:lang w:val="en-US" w:eastAsia="zh-CN"/>
              </w:rPr>
              <w:t>农田</w:t>
            </w:r>
            <w:r>
              <w:rPr>
                <w:rFonts w:hint="default" w:ascii="Times New Roman" w:hAnsi="Times New Roman" w:eastAsia="宋体" w:cs="Times New Roman"/>
                <w:color w:val="auto"/>
              </w:rPr>
              <w:t>，储罐区位于站区</w:t>
            </w:r>
            <w:r>
              <w:rPr>
                <w:rFonts w:hint="eastAsia" w:ascii="Times New Roman" w:hAnsi="Times New Roman" w:eastAsia="宋体" w:cs="Times New Roman"/>
                <w:color w:val="auto"/>
                <w:lang w:val="en-US" w:eastAsia="zh-CN"/>
              </w:rPr>
              <w:t>西</w:t>
            </w:r>
            <w:r>
              <w:rPr>
                <w:rFonts w:hint="default" w:ascii="Times New Roman" w:hAnsi="Times New Roman" w:eastAsia="宋体" w:cs="Times New Roman"/>
                <w:color w:val="auto"/>
                <w:sz w:val="24"/>
                <w:szCs w:val="24"/>
                <w:lang w:val="en-US" w:eastAsia="zh-CN"/>
              </w:rPr>
              <w:t>侧</w:t>
            </w:r>
            <w:r>
              <w:rPr>
                <w:rFonts w:hint="default" w:ascii="Times New Roman" w:hAnsi="Times New Roman" w:eastAsia="宋体" w:cs="Times New Roman"/>
                <w:color w:val="auto"/>
              </w:rPr>
              <w:t>，站房位于站区的</w:t>
            </w:r>
            <w:r>
              <w:rPr>
                <w:rFonts w:hint="eastAsia" w:ascii="Times New Roman" w:hAnsi="Times New Roman" w:eastAsia="宋体" w:cs="Times New Roman"/>
                <w:color w:val="auto"/>
                <w:lang w:val="en-US" w:eastAsia="zh-CN"/>
              </w:rPr>
              <w:t>北</w:t>
            </w:r>
            <w:r>
              <w:rPr>
                <w:rFonts w:hint="default" w:ascii="Times New Roman" w:hAnsi="Times New Roman" w:eastAsia="宋体" w:cs="Times New Roman"/>
                <w:bCs/>
                <w:color w:val="auto"/>
              </w:rPr>
              <w:t>侧</w:t>
            </w:r>
            <w:r>
              <w:rPr>
                <w:rFonts w:hint="default" w:ascii="Times New Roman" w:hAnsi="Times New Roman" w:eastAsia="宋体" w:cs="Times New Roman"/>
                <w:color w:val="auto"/>
              </w:rPr>
              <w:t>，站区平面布置详见平面布置图。加油站路面为水泥混凝土路面。站内道路转弯半径大于9m，站区道路坡度不小于5‰。本项目入口在站区</w:t>
            </w:r>
            <w:r>
              <w:rPr>
                <w:rFonts w:hint="eastAsia" w:ascii="Times New Roman" w:hAnsi="Times New Roman" w:eastAsia="宋体" w:cs="Times New Roman"/>
                <w:color w:val="auto"/>
                <w:lang w:val="en-US" w:eastAsia="zh-CN"/>
              </w:rPr>
              <w:t>西</w:t>
            </w:r>
            <w:r>
              <w:rPr>
                <w:rFonts w:hint="default" w:ascii="Times New Roman" w:hAnsi="Times New Roman" w:eastAsia="宋体" w:cs="Times New Roman"/>
                <w:color w:val="auto"/>
              </w:rPr>
              <w:t>侧（面向</w:t>
            </w:r>
            <w:r>
              <w:rPr>
                <w:rFonts w:hint="eastAsia" w:ascii="Times New Roman" w:hAnsi="Times New Roman" w:eastAsia="宋体" w:cs="Times New Roman"/>
                <w:color w:val="auto"/>
                <w:lang w:val="en-US" w:eastAsia="zh-CN"/>
              </w:rPr>
              <w:t>平安大道</w:t>
            </w:r>
            <w:r>
              <w:rPr>
                <w:rFonts w:hint="default" w:ascii="Times New Roman" w:hAnsi="Times New Roman" w:eastAsia="宋体" w:cs="Times New Roman"/>
                <w:color w:val="auto"/>
              </w:rPr>
              <w:t>），出口在站区</w:t>
            </w:r>
            <w:r>
              <w:rPr>
                <w:rFonts w:hint="eastAsia" w:ascii="Times New Roman" w:hAnsi="Times New Roman" w:eastAsia="宋体" w:cs="Times New Roman"/>
                <w:color w:val="auto"/>
                <w:lang w:val="en-US" w:eastAsia="zh-CN"/>
              </w:rPr>
              <w:t>东</w:t>
            </w:r>
            <w:r>
              <w:rPr>
                <w:rFonts w:hint="default" w:ascii="Times New Roman" w:hAnsi="Times New Roman" w:eastAsia="宋体" w:cs="Times New Roman"/>
                <w:color w:val="auto"/>
              </w:rPr>
              <w:t>侧（面向</w:t>
            </w:r>
            <w:r>
              <w:rPr>
                <w:rFonts w:hint="eastAsia" w:ascii="Times New Roman" w:hAnsi="Times New Roman" w:eastAsia="宋体" w:cs="Times New Roman"/>
                <w:color w:val="auto"/>
                <w:lang w:val="en-US" w:eastAsia="zh-CN"/>
              </w:rPr>
              <w:t>平安大道</w:t>
            </w:r>
            <w:r>
              <w:rPr>
                <w:rFonts w:hint="default" w:ascii="Times New Roman" w:hAnsi="Times New Roman" w:eastAsia="宋体" w:cs="Times New Roman"/>
                <w:color w:val="auto"/>
              </w:rPr>
              <w:t>）。加油站总平面布局合理，工艺流程顺畅，便于操作、维修与管理。加油站内各设备与站外各构筑物之间的距离符合《汽车加油加气站设计与施工规范》（GB50156-2012）（2014年局部修订版）及</w:t>
            </w:r>
            <w:r>
              <w:rPr>
                <w:rFonts w:hint="eastAsia" w:ascii="Times New Roman" w:hAnsi="Times New Roman" w:eastAsia="宋体" w:cs="Times New Roman"/>
                <w:color w:val="auto"/>
                <w:lang w:eastAsia="zh-CN"/>
              </w:rPr>
              <w:t>《建筑设计防火规范（2018年版）》（GB50016-2014）</w:t>
            </w:r>
            <w:r>
              <w:rPr>
                <w:rFonts w:hint="default" w:ascii="Times New Roman" w:hAnsi="Times New Roman" w:eastAsia="宋体" w:cs="Times New Roman"/>
                <w:color w:val="auto"/>
              </w:rPr>
              <w:t>的要求。站区内各设备之间的防火距离也符合相应标准，详见表1-3</w:t>
            </w:r>
            <w:r>
              <w:rPr>
                <w:rFonts w:hint="default" w:ascii="Times New Roman" w:hAnsi="Times New Roman" w:eastAsia="宋体" w:cs="Times New Roman"/>
                <w:color w:val="auto"/>
                <w:highlight w:val="none"/>
              </w:rPr>
              <w:t>。</w:t>
            </w:r>
          </w:p>
          <w:p>
            <w:pPr>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表1-3 站内设施之间的安全防火距离</w:t>
            </w:r>
          </w:p>
          <w:tbl>
            <w:tblPr>
              <w:tblStyle w:val="27"/>
              <w:tblW w:w="90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4"/>
              <w:gridCol w:w="811"/>
              <w:gridCol w:w="1343"/>
              <w:gridCol w:w="1287"/>
              <w:gridCol w:w="1148"/>
              <w:gridCol w:w="1348"/>
              <w:gridCol w:w="1325"/>
              <w:gridCol w:w="11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65" w:type="dxa"/>
                  <w:gridSpan w:val="2"/>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设施名称</w:t>
                  </w:r>
                </w:p>
              </w:tc>
              <w:tc>
                <w:tcPr>
                  <w:tcW w:w="1343" w:type="dxa"/>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汽油罐</w:t>
                  </w:r>
                </w:p>
              </w:tc>
              <w:tc>
                <w:tcPr>
                  <w:tcW w:w="1287" w:type="dxa"/>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柴油罐</w:t>
                  </w:r>
                </w:p>
              </w:tc>
              <w:tc>
                <w:tcPr>
                  <w:tcW w:w="2496" w:type="dxa"/>
                  <w:gridSpan w:val="2"/>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通气管管口</w:t>
                  </w:r>
                </w:p>
              </w:tc>
              <w:tc>
                <w:tcPr>
                  <w:tcW w:w="1325" w:type="dxa"/>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站房</w:t>
                  </w:r>
                </w:p>
              </w:tc>
              <w:tc>
                <w:tcPr>
                  <w:tcW w:w="1110" w:type="dxa"/>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65" w:type="dxa"/>
                  <w:gridSpan w:val="2"/>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1343" w:type="dxa"/>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1287" w:type="dxa"/>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汽油</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w:t>
                  </w:r>
                </w:p>
              </w:tc>
              <w:tc>
                <w:tcPr>
                  <w:tcW w:w="1325" w:type="dxa"/>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1110" w:type="dxa"/>
                  <w:vMerge w:val="continue"/>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65" w:type="dxa"/>
                  <w:gridSpan w:val="2"/>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汽油罐</w:t>
                  </w:r>
                </w:p>
              </w:tc>
              <w:tc>
                <w:tcPr>
                  <w:tcW w:w="134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m/0.5m</w:t>
                  </w: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2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12.5</w:t>
                  </w:r>
                  <w:r>
                    <w:rPr>
                      <w:rFonts w:hint="default" w:ascii="Times New Roman" w:hAnsi="Times New Roman" w:eastAsia="宋体" w:cs="Times New Roman"/>
                      <w:color w:val="auto"/>
                      <w:sz w:val="21"/>
                      <w:szCs w:val="21"/>
                    </w:rPr>
                    <w:t>m/4m</w:t>
                  </w:r>
                </w:p>
              </w:tc>
              <w:tc>
                <w:tcPr>
                  <w:tcW w:w="1110"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m/3m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65" w:type="dxa"/>
                  <w:gridSpan w:val="2"/>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柴油罐</w:t>
                  </w:r>
                </w:p>
              </w:tc>
              <w:tc>
                <w:tcPr>
                  <w:tcW w:w="134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m/0.5m</w:t>
                  </w:r>
                </w:p>
              </w:tc>
              <w:tc>
                <w:tcPr>
                  <w:tcW w:w="1287" w:type="dxa"/>
                  <w:vAlign w:val="center"/>
                </w:tcPr>
                <w:p>
                  <w:pPr>
                    <w:spacing w:line="240" w:lineRule="auto"/>
                    <w:jc w:val="center"/>
                    <w:rPr>
                      <w:rFonts w:hint="default" w:ascii="Times New Roman" w:hAnsi="Times New Roman" w:eastAsia="宋体" w:cs="Times New Roman"/>
                      <w:color w:val="auto"/>
                      <w:sz w:val="21"/>
                      <w:szCs w:val="21"/>
                    </w:rPr>
                  </w:pP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2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12.5</w:t>
                  </w:r>
                  <w:r>
                    <w:rPr>
                      <w:rFonts w:hint="default" w:ascii="Times New Roman" w:hAnsi="Times New Roman" w:eastAsia="宋体" w:cs="Times New Roman"/>
                      <w:color w:val="auto"/>
                      <w:sz w:val="21"/>
                      <w:szCs w:val="21"/>
                    </w:rPr>
                    <w:t>m/3m</w:t>
                  </w:r>
                </w:p>
              </w:tc>
              <w:tc>
                <w:tcPr>
                  <w:tcW w:w="1110"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m/2m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dxa"/>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通气管口</w:t>
                  </w:r>
                </w:p>
              </w:tc>
              <w:tc>
                <w:tcPr>
                  <w:tcW w:w="81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汽油</w:t>
                  </w:r>
                </w:p>
              </w:tc>
              <w:tc>
                <w:tcPr>
                  <w:tcW w:w="134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2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23.2</w:t>
                  </w:r>
                  <w:r>
                    <w:rPr>
                      <w:rFonts w:hint="default" w:ascii="Times New Roman" w:hAnsi="Times New Roman" w:eastAsia="宋体" w:cs="Times New Roman"/>
                      <w:color w:val="auto"/>
                      <w:sz w:val="21"/>
                      <w:szCs w:val="21"/>
                    </w:rPr>
                    <w:t>m/4m</w:t>
                  </w:r>
                </w:p>
              </w:tc>
              <w:tc>
                <w:tcPr>
                  <w:tcW w:w="1110"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3.4m/3m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dxa"/>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1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w:t>
                  </w:r>
                </w:p>
              </w:tc>
              <w:tc>
                <w:tcPr>
                  <w:tcW w:w="1343" w:type="dxa"/>
                  <w:vAlign w:val="center"/>
                </w:tcPr>
                <w:p>
                  <w:pPr>
                    <w:spacing w:line="240" w:lineRule="auto"/>
                    <w:jc w:val="center"/>
                    <w:rPr>
                      <w:rFonts w:hint="default" w:ascii="Times New Roman" w:hAnsi="Times New Roman" w:eastAsia="宋体" w:cs="Times New Roman"/>
                      <w:color w:val="auto"/>
                      <w:sz w:val="21"/>
                      <w:szCs w:val="21"/>
                    </w:rPr>
                  </w:pPr>
                </w:p>
              </w:tc>
              <w:tc>
                <w:tcPr>
                  <w:tcW w:w="1287" w:type="dxa"/>
                  <w:vAlign w:val="center"/>
                </w:tcPr>
                <w:p>
                  <w:pPr>
                    <w:spacing w:line="240" w:lineRule="auto"/>
                    <w:jc w:val="center"/>
                    <w:rPr>
                      <w:rFonts w:hint="default" w:ascii="Times New Roman" w:hAnsi="Times New Roman" w:eastAsia="宋体" w:cs="Times New Roman"/>
                      <w:color w:val="auto"/>
                      <w:sz w:val="21"/>
                      <w:szCs w:val="21"/>
                    </w:rPr>
                  </w:pP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2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23.2</w:t>
                  </w:r>
                  <w:r>
                    <w:rPr>
                      <w:rFonts w:hint="default" w:ascii="Times New Roman" w:hAnsi="Times New Roman" w:eastAsia="宋体" w:cs="Times New Roman"/>
                      <w:color w:val="auto"/>
                      <w:sz w:val="21"/>
                      <w:szCs w:val="21"/>
                    </w:rPr>
                    <w:t>m/3.5m</w:t>
                  </w:r>
                </w:p>
              </w:tc>
              <w:tc>
                <w:tcPr>
                  <w:tcW w:w="1110"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3.4m/2m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65" w:type="dxa"/>
                  <w:gridSpan w:val="2"/>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密闭卸油点</w:t>
                  </w:r>
                </w:p>
              </w:tc>
              <w:tc>
                <w:tcPr>
                  <w:tcW w:w="134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9.3</w:t>
                  </w:r>
                  <w:r>
                    <w:rPr>
                      <w:rFonts w:hint="default" w:ascii="Times New Roman" w:hAnsi="Times New Roman" w:eastAsia="宋体" w:cs="Times New Roman"/>
                      <w:color w:val="auto"/>
                      <w:sz w:val="21"/>
                      <w:szCs w:val="21"/>
                    </w:rPr>
                    <w:t>m/3m</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9.3</w:t>
                  </w:r>
                  <w:r>
                    <w:rPr>
                      <w:rFonts w:hint="default" w:ascii="Times New Roman" w:hAnsi="Times New Roman" w:eastAsia="宋体" w:cs="Times New Roman"/>
                      <w:color w:val="auto"/>
                      <w:sz w:val="21"/>
                      <w:szCs w:val="21"/>
                    </w:rPr>
                    <w:t>m/2m</w:t>
                  </w:r>
                </w:p>
              </w:tc>
              <w:tc>
                <w:tcPr>
                  <w:tcW w:w="1325" w:type="dxa"/>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18.5</w:t>
                  </w:r>
                  <w:r>
                    <w:rPr>
                      <w:rFonts w:hint="default" w:ascii="Times New Roman" w:hAnsi="Times New Roman" w:eastAsia="宋体" w:cs="Times New Roman"/>
                      <w:color w:val="auto"/>
                      <w:sz w:val="21"/>
                      <w:szCs w:val="21"/>
                    </w:rPr>
                    <w:t>m/5m</w:t>
                  </w:r>
                </w:p>
              </w:tc>
              <w:tc>
                <w:tcPr>
                  <w:tcW w:w="1110"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65" w:type="dxa"/>
                  <w:gridSpan w:val="2"/>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加油机</w:t>
                  </w:r>
                </w:p>
              </w:tc>
              <w:tc>
                <w:tcPr>
                  <w:tcW w:w="134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2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7.3</w:t>
                  </w:r>
                  <w:r>
                    <w:rPr>
                      <w:rFonts w:hint="default" w:ascii="Times New Roman" w:hAnsi="Times New Roman" w:eastAsia="宋体" w:cs="Times New Roman"/>
                      <w:color w:val="auto"/>
                      <w:sz w:val="21"/>
                      <w:szCs w:val="21"/>
                    </w:rPr>
                    <w:t>m/5m</w:t>
                  </w:r>
                </w:p>
              </w:tc>
              <w:tc>
                <w:tcPr>
                  <w:tcW w:w="1110"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26" w:type="dxa"/>
                  <w:gridSpan w:val="8"/>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注：①本表依据《汽车加油加气站设计与施工规范》（GB50156-2012）（2014年局部修订版）；②表格中数字表示的意义为实测距离/规范距离。</w:t>
                  </w:r>
                </w:p>
              </w:tc>
            </w:tr>
          </w:tbl>
          <w:p>
            <w:pPr>
              <w:spacing w:line="240" w:lineRule="auto"/>
              <w:jc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表1-4 加油站汽油设备与站外构筑物的距离/规范距离</w:t>
            </w:r>
          </w:p>
          <w:tbl>
            <w:tblPr>
              <w:tblStyle w:val="27"/>
              <w:tblW w:w="90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55"/>
              <w:gridCol w:w="2743"/>
              <w:gridCol w:w="1417"/>
              <w:gridCol w:w="1276"/>
              <w:gridCol w:w="13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8" w:type="dxa"/>
                  <w:gridSpan w:val="2"/>
                  <w:tcBorders>
                    <w:top w:val="single" w:color="auto" w:sz="12" w:space="0"/>
                    <w:left w:val="nil"/>
                    <w:bottom w:val="single" w:color="auto" w:sz="6" w:space="0"/>
                    <w:tl2br w:val="single" w:color="auto" w:sz="4" w:space="0"/>
                  </w:tcBorders>
                  <w:vAlign w:val="center"/>
                </w:tcPr>
                <w:p>
                  <w:pPr>
                    <w:spacing w:line="240" w:lineRule="auto"/>
                    <w:ind w:right="42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 xml:space="preserve">                   级别</w:t>
                  </w:r>
                </w:p>
                <w:p>
                  <w:pPr>
                    <w:spacing w:line="240" w:lineRule="auto"/>
                    <w:ind w:right="420" w:firstLine="420" w:firstLineChars="2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w:t>
                  </w:r>
                </w:p>
              </w:tc>
              <w:tc>
                <w:tcPr>
                  <w:tcW w:w="1417" w:type="dxa"/>
                  <w:tcBorders>
                    <w:top w:val="single" w:color="auto" w:sz="12"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埋地油罐</w:t>
                  </w:r>
                </w:p>
              </w:tc>
              <w:tc>
                <w:tcPr>
                  <w:tcW w:w="1276" w:type="dxa"/>
                  <w:tcBorders>
                    <w:top w:val="single" w:color="auto" w:sz="12"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通气管管口</w:t>
                  </w:r>
                </w:p>
              </w:tc>
              <w:tc>
                <w:tcPr>
                  <w:tcW w:w="1335" w:type="dxa"/>
                  <w:tcBorders>
                    <w:top w:val="single" w:color="auto" w:sz="12" w:space="0"/>
                    <w:bottom w:val="single" w:color="auto" w:sz="6" w:space="0"/>
                    <w:right w:val="nil"/>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加油机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5" w:type="dxa"/>
                  <w:tcBorders>
                    <w:top w:val="single" w:color="auto" w:sz="6" w:space="0"/>
                    <w:left w:val="nil"/>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城市道路</w:t>
                  </w:r>
                </w:p>
              </w:tc>
              <w:tc>
                <w:tcPr>
                  <w:tcW w:w="2743" w:type="dxa"/>
                  <w:tcBorders>
                    <w:top w:val="single" w:color="auto" w:sz="6"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平安大道</w:t>
                  </w:r>
                  <w:r>
                    <w:rPr>
                      <w:rFonts w:ascii="Times New Roman" w:hAnsi="Times New Roman" w:eastAsia="宋体" w:cs="Times New Roman"/>
                      <w:color w:val="auto"/>
                      <w:sz w:val="21"/>
                      <w:szCs w:val="21"/>
                      <w:highlight w:val="none"/>
                    </w:rPr>
                    <w:t>（主干路）</w:t>
                  </w:r>
                </w:p>
              </w:tc>
              <w:tc>
                <w:tcPr>
                  <w:tcW w:w="1417" w:type="dxa"/>
                  <w:tcBorders>
                    <w:top w:val="single" w:color="auto" w:sz="6"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35.5</w:t>
                  </w:r>
                  <w:r>
                    <w:rPr>
                      <w:rFonts w:ascii="Times New Roman" w:hAnsi="Times New Roman" w:eastAsia="宋体" w:cs="Times New Roman"/>
                      <w:color w:val="auto"/>
                      <w:sz w:val="21"/>
                      <w:szCs w:val="21"/>
                      <w:highlight w:val="none"/>
                    </w:rPr>
                    <w:t>m/5.5m</w:t>
                  </w:r>
                </w:p>
              </w:tc>
              <w:tc>
                <w:tcPr>
                  <w:tcW w:w="1276" w:type="dxa"/>
                  <w:tcBorders>
                    <w:top w:val="single" w:color="auto" w:sz="6"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34.2</w:t>
                  </w:r>
                  <w:r>
                    <w:rPr>
                      <w:rFonts w:ascii="Times New Roman" w:hAnsi="Times New Roman" w:eastAsia="宋体" w:cs="Times New Roman"/>
                      <w:color w:val="auto"/>
                      <w:sz w:val="21"/>
                      <w:szCs w:val="21"/>
                      <w:highlight w:val="none"/>
                    </w:rPr>
                    <w:t>m/5m</w:t>
                  </w:r>
                </w:p>
              </w:tc>
              <w:tc>
                <w:tcPr>
                  <w:tcW w:w="1335" w:type="dxa"/>
                  <w:tcBorders>
                    <w:top w:val="single" w:color="auto" w:sz="6" w:space="0"/>
                    <w:bottom w:val="single" w:color="auto" w:sz="6" w:space="0"/>
                    <w:right w:val="nil"/>
                  </w:tcBorders>
                  <w:vAlign w:val="center"/>
                </w:tcPr>
                <w:p>
                  <w:pPr>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31.5</w:t>
                  </w:r>
                  <w:r>
                    <w:rPr>
                      <w:rFonts w:ascii="Times New Roman" w:hAnsi="Times New Roman" w:eastAsia="宋体" w:cs="Times New Roman"/>
                      <w:color w:val="auto"/>
                      <w:sz w:val="21"/>
                      <w:szCs w:val="21"/>
                      <w:highlight w:val="none"/>
                    </w:rPr>
                    <w:t>m/5m</w:t>
                  </w:r>
                </w:p>
              </w:tc>
            </w:tr>
          </w:tbl>
          <w:p>
            <w:pPr>
              <w:spacing w:line="240" w:lineRule="auto"/>
              <w:jc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表1-5 加油站柴油设备与站外构筑物的距离/规范距离</w:t>
            </w:r>
          </w:p>
          <w:tbl>
            <w:tblPr>
              <w:tblStyle w:val="27"/>
              <w:tblW w:w="90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40"/>
              <w:gridCol w:w="3041"/>
              <w:gridCol w:w="1276"/>
              <w:gridCol w:w="1276"/>
              <w:gridCol w:w="11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1" w:type="dxa"/>
                  <w:gridSpan w:val="2"/>
                  <w:tcBorders>
                    <w:top w:val="single" w:color="auto" w:sz="12" w:space="0"/>
                    <w:left w:val="nil"/>
                    <w:bottom w:val="single" w:color="auto" w:sz="6" w:space="0"/>
                    <w:tl2br w:val="single" w:color="auto" w:sz="4" w:space="0"/>
                  </w:tcBorders>
                  <w:vAlign w:val="center"/>
                </w:tcPr>
                <w:p>
                  <w:pPr>
                    <w:spacing w:line="240" w:lineRule="auto"/>
                    <w:ind w:right="420"/>
                    <w:jc w:val="right"/>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级别</w:t>
                  </w:r>
                </w:p>
                <w:p>
                  <w:pPr>
                    <w:spacing w:line="240" w:lineRule="auto"/>
                    <w:ind w:right="420" w:firstLine="525" w:firstLineChars="25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w:t>
                  </w:r>
                </w:p>
              </w:tc>
              <w:tc>
                <w:tcPr>
                  <w:tcW w:w="1276" w:type="dxa"/>
                  <w:tcBorders>
                    <w:top w:val="single" w:color="auto" w:sz="12"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埋地油罐</w:t>
                  </w:r>
                </w:p>
              </w:tc>
              <w:tc>
                <w:tcPr>
                  <w:tcW w:w="1276" w:type="dxa"/>
                  <w:tcBorders>
                    <w:top w:val="single" w:color="auto" w:sz="12"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通气管管口</w:t>
                  </w:r>
                </w:p>
              </w:tc>
              <w:tc>
                <w:tcPr>
                  <w:tcW w:w="1193" w:type="dxa"/>
                  <w:tcBorders>
                    <w:top w:val="single" w:color="auto" w:sz="12" w:space="0"/>
                    <w:bottom w:val="single" w:color="auto" w:sz="6" w:space="0"/>
                    <w:right w:val="nil"/>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加油机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40" w:type="dxa"/>
                  <w:tcBorders>
                    <w:top w:val="single" w:color="auto" w:sz="6" w:space="0"/>
                    <w:left w:val="nil"/>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城市道路</w:t>
                  </w:r>
                </w:p>
              </w:tc>
              <w:tc>
                <w:tcPr>
                  <w:tcW w:w="3041" w:type="dxa"/>
                  <w:tcBorders>
                    <w:top w:val="single" w:color="auto" w:sz="6" w:space="0"/>
                    <w:bottom w:val="single" w:color="auto" w:sz="6" w:space="0"/>
                  </w:tcBorders>
                  <w:vAlign w:val="center"/>
                </w:tcPr>
                <w:p>
                  <w:pPr>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平安大道</w:t>
                  </w:r>
                  <w:r>
                    <w:rPr>
                      <w:rFonts w:ascii="Times New Roman" w:hAnsi="Times New Roman" w:eastAsia="宋体" w:cs="Times New Roman"/>
                      <w:color w:val="auto"/>
                      <w:sz w:val="21"/>
                      <w:szCs w:val="21"/>
                      <w:highlight w:val="none"/>
                    </w:rPr>
                    <w:t>（主干路）</w:t>
                  </w:r>
                </w:p>
              </w:tc>
              <w:tc>
                <w:tcPr>
                  <w:tcW w:w="1276" w:type="dxa"/>
                  <w:tcBorders>
                    <w:top w:val="single" w:color="auto" w:sz="6" w:space="0"/>
                    <w:bottom w:val="single" w:color="auto" w:sz="6" w:space="0"/>
                  </w:tcBorders>
                  <w:vAlign w:val="center"/>
                </w:tcPr>
                <w:p>
                  <w:pPr>
                    <w:spacing w:line="240" w:lineRule="auto"/>
                    <w:jc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35.5</w:t>
                  </w:r>
                  <w:r>
                    <w:rPr>
                      <w:rFonts w:ascii="Times New Roman" w:hAnsi="Times New Roman" w:eastAsia="宋体" w:cs="Times New Roman"/>
                      <w:color w:val="auto"/>
                      <w:sz w:val="21"/>
                      <w:szCs w:val="21"/>
                      <w:highlight w:val="none"/>
                    </w:rPr>
                    <w:t>m/5.5m</w:t>
                  </w:r>
                </w:p>
              </w:tc>
              <w:tc>
                <w:tcPr>
                  <w:tcW w:w="1276" w:type="dxa"/>
                  <w:tcBorders>
                    <w:top w:val="single" w:color="auto" w:sz="6" w:space="0"/>
                    <w:bottom w:val="single" w:color="auto" w:sz="6" w:space="0"/>
                  </w:tcBorders>
                  <w:vAlign w:val="center"/>
                </w:tcPr>
                <w:p>
                  <w:pPr>
                    <w:spacing w:line="240" w:lineRule="auto"/>
                    <w:jc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34.2</w:t>
                  </w:r>
                  <w:r>
                    <w:rPr>
                      <w:rFonts w:ascii="Times New Roman" w:hAnsi="Times New Roman" w:eastAsia="宋体" w:cs="Times New Roman"/>
                      <w:color w:val="auto"/>
                      <w:sz w:val="21"/>
                      <w:szCs w:val="21"/>
                      <w:highlight w:val="none"/>
                    </w:rPr>
                    <w:t>m/5m</w:t>
                  </w:r>
                </w:p>
              </w:tc>
              <w:tc>
                <w:tcPr>
                  <w:tcW w:w="1193" w:type="dxa"/>
                  <w:tcBorders>
                    <w:top w:val="single" w:color="auto" w:sz="6" w:space="0"/>
                    <w:bottom w:val="single" w:color="auto" w:sz="6" w:space="0"/>
                    <w:right w:val="nil"/>
                  </w:tcBorders>
                  <w:vAlign w:val="center"/>
                </w:tcPr>
                <w:p>
                  <w:pPr>
                    <w:spacing w:line="240" w:lineRule="auto"/>
                    <w:jc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31.5</w:t>
                  </w:r>
                  <w:r>
                    <w:rPr>
                      <w:rFonts w:ascii="Times New Roman" w:hAnsi="Times New Roman" w:eastAsia="宋体" w:cs="Times New Roman"/>
                      <w:color w:val="auto"/>
                      <w:sz w:val="21"/>
                      <w:szCs w:val="21"/>
                      <w:highlight w:val="none"/>
                    </w:rPr>
                    <w:t>m/5m</w:t>
                  </w:r>
                </w:p>
              </w:tc>
            </w:tr>
          </w:tbl>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6、油源及储运</w:t>
            </w:r>
          </w:p>
          <w:p>
            <w:pPr>
              <w:keepNext w:val="0"/>
              <w:keepLines w:val="0"/>
              <w:widowControl/>
              <w:suppressLineNumbers w:val="0"/>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本项目成品油（</w:t>
            </w:r>
            <w:r>
              <w:rPr>
                <w:rFonts w:hint="eastAsia" w:ascii="Times New Roman" w:hAnsi="Times New Roman" w:eastAsia="宋体" w:cs="Times New Roman"/>
                <w:color w:val="auto"/>
                <w:kern w:val="0"/>
                <w:sz w:val="24"/>
                <w:szCs w:val="24"/>
                <w:lang w:val="en-US" w:eastAsia="zh-CN" w:bidi="ar"/>
              </w:rPr>
              <w:t>中石油富锦油库</w:t>
            </w:r>
            <w:r>
              <w:rPr>
                <w:rFonts w:hint="default" w:ascii="Times New Roman" w:hAnsi="Times New Roman" w:eastAsia="宋体" w:cs="Times New Roman"/>
                <w:color w:val="auto"/>
                <w:sz w:val="24"/>
                <w:szCs w:val="24"/>
              </w:rPr>
              <w:t>）统一配送。油品用油槽车经公路送至本项目加油站，油源充足，随时保证供应，按目前的周转情况，可以保证该站资源供应，运输距离约</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km。</w:t>
            </w:r>
          </w:p>
          <w:p>
            <w:pPr>
              <w:spacing w:line="440" w:lineRule="atLeast"/>
              <w:ind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auto"/>
                <w:sz w:val="24"/>
                <w:szCs w:val="24"/>
              </w:rPr>
              <w:t>本项目所使用的油罐车根据国家标准运油车已经安装了油气回收系统装置，即一级油气回收系统，在油罐车装卸油料的过程中，实现全封闭气体回收，限制油气向大气中排放。油罐车通过卸油管路卸油的同时，加油站油罐中的汽油通过回收管路回到油罐车内。油罐车中的油气在回到油库装油时将通过油库内油气处理装置净化处理后排放。</w:t>
            </w:r>
          </w:p>
          <w:p>
            <w:pPr>
              <w:spacing w:line="440" w:lineRule="atLeas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highlight w:val="none"/>
              </w:rPr>
              <w:t>四、公用工程</w:t>
            </w:r>
          </w:p>
          <w:p>
            <w:pPr>
              <w:spacing w:line="440" w:lineRule="atLeas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1、给水：</w:t>
            </w:r>
            <w:r>
              <w:rPr>
                <w:rFonts w:hint="default" w:ascii="Times New Roman" w:hAnsi="Times New Roman" w:eastAsia="宋体" w:cs="Times New Roman"/>
                <w:color w:val="auto"/>
                <w:kern w:val="0"/>
                <w:sz w:val="24"/>
                <w:szCs w:val="24"/>
              </w:rPr>
              <w:t>本项目无生产用水，</w:t>
            </w:r>
            <w:r>
              <w:rPr>
                <w:rFonts w:hint="eastAsia" w:ascii="Times New Roman" w:hAnsi="Times New Roman" w:eastAsia="宋体" w:cs="Times New Roman"/>
                <w:color w:val="auto"/>
                <w:kern w:val="0"/>
                <w:sz w:val="24"/>
                <w:szCs w:val="24"/>
                <w:lang w:eastAsia="zh-CN"/>
              </w:rPr>
              <w:t>生活用水来源于市政供水管网</w:t>
            </w:r>
            <w:r>
              <w:rPr>
                <w:rFonts w:hint="default" w:ascii="Times New Roman" w:hAnsi="Times New Roman" w:eastAsia="宋体" w:cs="Times New Roman"/>
                <w:color w:val="auto"/>
                <w:kern w:val="0"/>
                <w:sz w:val="24"/>
                <w:szCs w:val="24"/>
              </w:rPr>
              <w:t>。用水主要为站内人员生活用水，本项目工作人员</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人，年营业天数为365天，根据</w:t>
            </w:r>
            <w:r>
              <w:rPr>
                <w:rFonts w:hint="default" w:ascii="Times New Roman" w:hAnsi="Times New Roman" w:eastAsia="宋体" w:cs="Times New Roman"/>
                <w:color w:val="auto"/>
                <w:kern w:val="0"/>
              </w:rPr>
              <w:t>《黑龙江省地方标准用水定额》(DB23/T727-2017)：生活用水按每人30L/d计，则项目生活用水量</w:t>
            </w:r>
            <w:r>
              <w:rPr>
                <w:rFonts w:hint="default" w:ascii="Times New Roman" w:hAnsi="Times New Roman" w:eastAsia="宋体" w:cs="Times New Roman"/>
                <w:bCs/>
                <w:color w:val="auto"/>
                <w:kern w:val="0"/>
                <w:sz w:val="24"/>
                <w:szCs w:val="24"/>
              </w:rPr>
              <w:t>0.</w:t>
            </w:r>
            <w:r>
              <w:rPr>
                <w:rFonts w:hint="eastAsia" w:ascii="Times New Roman" w:hAnsi="Times New Roman" w:eastAsia="宋体" w:cs="Times New Roman"/>
                <w:bCs/>
                <w:color w:val="auto"/>
                <w:kern w:val="0"/>
                <w:sz w:val="24"/>
                <w:szCs w:val="24"/>
                <w:lang w:val="en-US" w:eastAsia="zh-CN"/>
              </w:rPr>
              <w:t>18</w:t>
            </w:r>
            <w:r>
              <w:rPr>
                <w:rFonts w:hint="default" w:ascii="Times New Roman" w:hAnsi="Times New Roman" w:eastAsia="宋体" w:cs="Times New Roman"/>
                <w:bCs/>
                <w:color w:val="auto"/>
                <w:kern w:val="0"/>
                <w:sz w:val="24"/>
                <w:szCs w:val="24"/>
                <w:lang w:val="en-US" w:eastAsia="zh-CN"/>
              </w:rPr>
              <w:t>t</w:t>
            </w:r>
            <w:r>
              <w:rPr>
                <w:rFonts w:hint="default" w:ascii="Times New Roman" w:hAnsi="Times New Roman" w:eastAsia="宋体" w:cs="Times New Roman"/>
                <w:bCs/>
                <w:color w:val="auto"/>
                <w:kern w:val="0"/>
                <w:sz w:val="24"/>
                <w:szCs w:val="24"/>
              </w:rPr>
              <w:t>/d，</w:t>
            </w:r>
            <w:r>
              <w:rPr>
                <w:rFonts w:hint="eastAsia" w:ascii="Times New Roman" w:hAnsi="Times New Roman" w:eastAsia="宋体" w:cs="Times New Roman"/>
                <w:bCs/>
                <w:color w:val="auto"/>
                <w:kern w:val="0"/>
                <w:sz w:val="24"/>
                <w:szCs w:val="24"/>
                <w:lang w:val="en-US" w:eastAsia="zh-CN"/>
              </w:rPr>
              <w:t>65.7t/a</w:t>
            </w:r>
            <w:r>
              <w:rPr>
                <w:rFonts w:hint="default" w:ascii="Times New Roman" w:hAnsi="Times New Roman" w:eastAsia="宋体" w:cs="Times New Roman"/>
                <w:color w:val="auto"/>
                <w:kern w:val="0"/>
              </w:rPr>
              <w:t>。</w:t>
            </w:r>
          </w:p>
          <w:p>
            <w:pPr>
              <w:spacing w:line="440" w:lineRule="atLeast"/>
              <w:rPr>
                <w:rFonts w:hint="default" w:ascii="Times New Roman" w:hAnsi="Times New Roman" w:eastAsia="宋体" w:cs="Times New Roman"/>
                <w:color w:val="auto"/>
                <w:highlight w:val="green"/>
              </w:rPr>
            </w:pPr>
            <w:r>
              <w:rPr>
                <w:rFonts w:hint="default" w:ascii="Times New Roman" w:hAnsi="Times New Roman" w:eastAsia="宋体" w:cs="Times New Roman"/>
                <w:color w:val="FF0000"/>
              </w:rPr>
              <w:t xml:space="preserve">  </w:t>
            </w:r>
            <w:r>
              <w:rPr>
                <w:rFonts w:hint="default" w:ascii="Times New Roman" w:hAnsi="Times New Roman" w:eastAsia="宋体" w:cs="Times New Roman"/>
                <w:color w:val="auto"/>
              </w:rPr>
              <w:t xml:space="preserve">  2、排水：生活污水排放量为</w:t>
            </w:r>
            <w:r>
              <w:rPr>
                <w:rFonts w:hint="eastAsia" w:ascii="Times New Roman" w:hAnsi="Times New Roman" w:eastAsia="宋体" w:cs="Times New Roman"/>
                <w:bCs/>
                <w:color w:val="auto"/>
                <w:kern w:val="0"/>
                <w:sz w:val="24"/>
                <w:szCs w:val="24"/>
                <w:lang w:eastAsia="zh-CN"/>
              </w:rPr>
              <w:t>0.144</w:t>
            </w:r>
            <w:r>
              <w:rPr>
                <w:rFonts w:hint="default" w:ascii="Times New Roman" w:hAnsi="Times New Roman" w:eastAsia="宋体" w:cs="Times New Roman"/>
                <w:bCs/>
                <w:color w:val="auto"/>
                <w:kern w:val="0"/>
                <w:sz w:val="24"/>
                <w:szCs w:val="24"/>
                <w:lang w:val="en-US" w:eastAsia="zh-CN"/>
              </w:rPr>
              <w:t>t</w:t>
            </w:r>
            <w:r>
              <w:rPr>
                <w:rFonts w:hint="default" w:ascii="Times New Roman" w:hAnsi="Times New Roman" w:eastAsia="宋体" w:cs="Times New Roman"/>
                <w:bCs/>
                <w:color w:val="auto"/>
                <w:kern w:val="0"/>
                <w:sz w:val="24"/>
                <w:szCs w:val="24"/>
              </w:rPr>
              <w:t>/d，</w:t>
            </w:r>
            <w:r>
              <w:rPr>
                <w:rFonts w:hint="eastAsia" w:ascii="Times New Roman" w:hAnsi="Times New Roman" w:eastAsia="宋体" w:cs="Times New Roman"/>
                <w:bCs/>
                <w:color w:val="auto"/>
                <w:kern w:val="0"/>
                <w:sz w:val="24"/>
                <w:szCs w:val="24"/>
                <w:lang w:eastAsia="zh-CN"/>
              </w:rPr>
              <w:t>52.56</w:t>
            </w:r>
            <w:r>
              <w:rPr>
                <w:rFonts w:hint="default" w:ascii="Times New Roman" w:hAnsi="Times New Roman" w:eastAsia="宋体" w:cs="Times New Roman"/>
                <w:bCs/>
                <w:color w:val="auto"/>
                <w:kern w:val="0"/>
                <w:sz w:val="24"/>
                <w:szCs w:val="24"/>
              </w:rPr>
              <w:t>t/a</w:t>
            </w:r>
            <w:r>
              <w:rPr>
                <w:rFonts w:hint="default" w:ascii="Times New Roman" w:hAnsi="Times New Roman" w:eastAsia="宋体" w:cs="Times New Roman"/>
                <w:color w:val="auto"/>
              </w:rPr>
              <w:t>。</w:t>
            </w: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r>
              <w:rPr>
                <w:rFonts w:hint="default" w:ascii="Times New Roman" w:hAnsi="Times New Roman" w:eastAsia="宋体" w:cs="Times New Roman"/>
                <w:color w:val="auto"/>
                <w:kern w:val="2"/>
                <w:sz w:val="24"/>
                <w:szCs w:val="24"/>
                <w:lang w:val="en-US" w:eastAsia="zh-CN" w:bidi="ar-SA"/>
              </w:rPr>
              <w:t>。</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t>3、供热</w:t>
            </w:r>
            <w:r>
              <w:rPr>
                <w:rFonts w:hint="default" w:ascii="Times New Roman" w:hAnsi="Times New Roman" w:eastAsia="宋体" w:cs="Times New Roman"/>
                <w:color w:val="auto"/>
                <w:sz w:val="24"/>
                <w:szCs w:val="24"/>
              </w:rPr>
              <w:t>：站房冬季采取</w:t>
            </w:r>
            <w:r>
              <w:rPr>
                <w:rFonts w:hint="default" w:ascii="Times New Roman" w:hAnsi="Times New Roman" w:eastAsia="宋体" w:cs="Times New Roman"/>
                <w:color w:val="auto"/>
                <w:sz w:val="24"/>
                <w:szCs w:val="24"/>
                <w:lang w:val="en-US" w:eastAsia="zh-CN"/>
              </w:rPr>
              <w:t>电取暖</w:t>
            </w:r>
            <w:r>
              <w:rPr>
                <w:rFonts w:hint="default" w:ascii="Times New Roman" w:hAnsi="Times New Roman" w:eastAsia="宋体" w:cs="Times New Roman"/>
                <w:color w:val="auto"/>
                <w:sz w:val="24"/>
                <w:szCs w:val="24"/>
              </w:rPr>
              <w:t>。</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4、供电：</w:t>
            </w:r>
            <w:r>
              <w:rPr>
                <w:rFonts w:hint="default" w:ascii="Times New Roman" w:hAnsi="Times New Roman" w:eastAsia="宋体" w:cs="Times New Roman"/>
                <w:color w:val="auto"/>
                <w:kern w:val="2"/>
                <w:sz w:val="24"/>
                <w:szCs w:val="24"/>
                <w:lang w:val="en-US" w:eastAsia="zh-CN" w:bidi="ar-SA"/>
              </w:rPr>
              <w:t>当地电业局统一供电</w:t>
            </w:r>
            <w:r>
              <w:rPr>
                <w:rFonts w:hint="default" w:ascii="Times New Roman" w:hAnsi="Times New Roman" w:eastAsia="宋体" w:cs="Times New Roman"/>
                <w:color w:val="auto"/>
                <w:sz w:val="24"/>
                <w:szCs w:val="24"/>
              </w:rPr>
              <w:t>。</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5、消防：根据《汽车加油加气站设计与施工规范》（GB50156-2012）（2014年局部修订版）的规定，加油站可不设消防水系统。但应设置灭火器材，以便灵活有效地扑灭室内、外初起火灾。本项目灭火器材设置地点、型号及数量见表1-6。</w:t>
            </w:r>
          </w:p>
          <w:p>
            <w:pPr>
              <w:spacing w:line="520" w:lineRule="exact"/>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表1-</w:t>
            </w:r>
            <w:r>
              <w:rPr>
                <w:rFonts w:hint="default" w:ascii="Times New Roman" w:hAnsi="Times New Roman" w:eastAsia="宋体" w:cs="Times New Roman"/>
                <w:b/>
                <w:color w:val="auto"/>
                <w:sz w:val="21"/>
                <w:szCs w:val="21"/>
                <w:highlight w:val="none"/>
              </w:rPr>
              <w:t xml:space="preserve">6 </w:t>
            </w:r>
            <w:r>
              <w:rPr>
                <w:rFonts w:hint="default" w:ascii="Times New Roman" w:hAnsi="Times New Roman" w:eastAsia="宋体" w:cs="Times New Roman"/>
                <w:b/>
                <w:color w:val="auto"/>
                <w:kern w:val="0"/>
                <w:sz w:val="21"/>
                <w:szCs w:val="21"/>
                <w:highlight w:val="none"/>
              </w:rPr>
              <w:t>灭火</w:t>
            </w:r>
            <w:r>
              <w:rPr>
                <w:rFonts w:hint="default" w:ascii="Times New Roman" w:hAnsi="Times New Roman" w:eastAsia="宋体" w:cs="Times New Roman"/>
                <w:b/>
                <w:color w:val="auto"/>
                <w:sz w:val="21"/>
                <w:szCs w:val="21"/>
                <w:highlight w:val="none"/>
              </w:rPr>
              <w:t>设施</w:t>
            </w:r>
            <w:r>
              <w:rPr>
                <w:rFonts w:hint="default" w:ascii="Times New Roman" w:hAnsi="Times New Roman" w:eastAsia="宋体" w:cs="Times New Roman"/>
                <w:b/>
                <w:color w:val="auto"/>
                <w:kern w:val="0"/>
                <w:sz w:val="21"/>
                <w:szCs w:val="21"/>
                <w:highlight w:val="none"/>
              </w:rPr>
              <w:t>一览表</w:t>
            </w:r>
          </w:p>
          <w:tbl>
            <w:tblPr>
              <w:tblStyle w:val="27"/>
              <w:tblW w:w="90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4"/>
              <w:gridCol w:w="2205"/>
              <w:gridCol w:w="1648"/>
              <w:gridCol w:w="836"/>
              <w:gridCol w:w="742"/>
              <w:gridCol w:w="27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74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2771" w:type="dxa"/>
                  <w:vAlign w:val="center"/>
                </w:tcPr>
                <w:p>
                  <w:pPr>
                    <w:spacing w:line="240" w:lineRule="auto"/>
                    <w:ind w:firstLine="735" w:firstLineChars="3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手提式干粉灭火器</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kg</w:t>
                  </w: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742"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277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手提式干粉灭火器</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kg</w:t>
                  </w: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742"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277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加油区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手提式干粉灭火器</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rPr>
                    <w:t>kg</w:t>
                  </w: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742"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277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罐区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灭火毯</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z w:val="21"/>
                      <w:szCs w:val="21"/>
                      <w:vertAlign w:val="superscript"/>
                    </w:rPr>
                    <w:t>2</w:t>
                  </w: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742"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2771" w:type="dxa"/>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沙子</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742" w:type="dxa"/>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2771" w:type="dxa"/>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2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消防桶</w:t>
                  </w:r>
                </w:p>
              </w:tc>
              <w:tc>
                <w:tcPr>
                  <w:tcW w:w="1648" w:type="dxa"/>
                  <w:vAlign w:val="center"/>
                </w:tcPr>
                <w:p>
                  <w:pPr>
                    <w:spacing w:line="240" w:lineRule="auto"/>
                    <w:jc w:val="center"/>
                    <w:rPr>
                      <w:rFonts w:hint="default" w:ascii="Times New Roman" w:hAnsi="Times New Roman" w:eastAsia="宋体" w:cs="Times New Roman"/>
                      <w:color w:val="auto"/>
                      <w:sz w:val="21"/>
                      <w:szCs w:val="21"/>
                    </w:rPr>
                  </w:pPr>
                </w:p>
              </w:tc>
              <w:tc>
                <w:tcPr>
                  <w:tcW w:w="8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74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771" w:type="dxa"/>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205" w:type="dxa"/>
                  <w:vAlign w:val="center"/>
                </w:tcPr>
                <w:p>
                  <w:pPr>
                    <w:spacing w:line="5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消防铲</w:t>
                  </w:r>
                </w:p>
              </w:tc>
              <w:tc>
                <w:tcPr>
                  <w:tcW w:w="1648" w:type="dxa"/>
                  <w:vAlign w:val="center"/>
                </w:tcPr>
                <w:p>
                  <w:pPr>
                    <w:spacing w:line="520" w:lineRule="exact"/>
                    <w:ind w:firstLine="420" w:firstLineChars="200"/>
                    <w:rPr>
                      <w:rFonts w:hint="default" w:ascii="Times New Roman" w:hAnsi="Times New Roman" w:eastAsia="宋体" w:cs="Times New Roman"/>
                      <w:color w:val="auto"/>
                      <w:sz w:val="21"/>
                      <w:szCs w:val="21"/>
                    </w:rPr>
                  </w:pPr>
                </w:p>
              </w:tc>
              <w:tc>
                <w:tcPr>
                  <w:tcW w:w="836" w:type="dxa"/>
                  <w:vAlign w:val="center"/>
                </w:tcPr>
                <w:p>
                  <w:pPr>
                    <w:spacing w:line="520" w:lineRule="exact"/>
                    <w:ind w:firstLine="29" w:firstLineChars="14"/>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把</w:t>
                  </w:r>
                </w:p>
              </w:tc>
              <w:tc>
                <w:tcPr>
                  <w:tcW w:w="742" w:type="dxa"/>
                  <w:vAlign w:val="center"/>
                </w:tcPr>
                <w:p>
                  <w:pPr>
                    <w:spacing w:line="5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771" w:type="dxa"/>
                  <w:vAlign w:val="center"/>
                </w:tcPr>
                <w:p>
                  <w:pPr>
                    <w:spacing w:line="520" w:lineRule="exact"/>
                    <w:ind w:firstLine="420" w:firstLineChars="200"/>
                    <w:rPr>
                      <w:rFonts w:hint="default" w:ascii="Times New Roman" w:hAnsi="Times New Roman" w:eastAsia="宋体" w:cs="Times New Roman"/>
                      <w:color w:val="auto"/>
                      <w:sz w:val="21"/>
                      <w:szCs w:val="21"/>
                    </w:rPr>
                  </w:pPr>
                </w:p>
              </w:tc>
            </w:tr>
          </w:tbl>
          <w:p>
            <w:pPr>
              <w:spacing w:line="440" w:lineRule="atLeast"/>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五、工作制度及劳动定员</w:t>
            </w:r>
          </w:p>
          <w:p>
            <w:pPr>
              <w:spacing w:line="440" w:lineRule="atLeast"/>
              <w:ind w:firstLine="460" w:firstLineChars="192"/>
              <w:rPr>
                <w:rFonts w:hint="default" w:ascii="Times New Roman" w:hAnsi="Times New Roman" w:eastAsia="宋体" w:cs="Times New Roman"/>
                <w:color w:val="auto"/>
                <w:szCs w:val="28"/>
              </w:rPr>
            </w:pPr>
            <w:r>
              <w:rPr>
                <w:rFonts w:hint="default" w:ascii="Times New Roman" w:hAnsi="Times New Roman" w:eastAsia="宋体" w:cs="Times New Roman"/>
                <w:color w:val="auto"/>
              </w:rPr>
              <w:t>加油站定员为</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人</w:t>
            </w:r>
            <w:r>
              <w:rPr>
                <w:rFonts w:hint="default" w:ascii="Times New Roman" w:hAnsi="Times New Roman" w:eastAsia="宋体" w:cs="Times New Roman"/>
                <w:color w:val="auto"/>
              </w:rPr>
              <w:t>，工作制度为二班制，每班12小时。年营业天数为365天。</w:t>
            </w:r>
            <w:r>
              <w:rPr>
                <w:rFonts w:hint="default" w:ascii="Times New Roman" w:hAnsi="Times New Roman" w:eastAsia="宋体" w:cs="Times New Roman"/>
                <w:color w:val="auto"/>
                <w:szCs w:val="28"/>
              </w:rPr>
              <w:t>站区不设食堂、宿舍。</w:t>
            </w:r>
          </w:p>
          <w:p>
            <w:pPr>
              <w:spacing w:line="440" w:lineRule="atLeast"/>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六、项目总投资</w:t>
            </w:r>
          </w:p>
          <w:p>
            <w:pPr>
              <w:spacing w:line="440" w:lineRule="atLeas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建设项目总投资</w:t>
            </w:r>
            <w:r>
              <w:rPr>
                <w:rFonts w:hint="eastAsia" w:ascii="Times New Roman" w:hAnsi="Times New Roman" w:eastAsia="宋体" w:cs="Times New Roman"/>
                <w:color w:val="auto"/>
                <w:lang w:val="en-US" w:eastAsia="zh-CN"/>
              </w:rPr>
              <w:t>655万元</w:t>
            </w:r>
            <w:r>
              <w:rPr>
                <w:rFonts w:hint="default" w:ascii="Times New Roman" w:hAnsi="Times New Roman" w:eastAsia="宋体" w:cs="Times New Roman"/>
                <w:color w:val="auto"/>
              </w:rPr>
              <w:t>，全部由企业自筹。</w:t>
            </w:r>
          </w:p>
          <w:p>
            <w:pPr>
              <w:spacing w:line="440" w:lineRule="atLeast"/>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七、工程实施进度</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本项目将于20</w:t>
            </w:r>
            <w:r>
              <w:rPr>
                <w:rFonts w:hint="default" w:ascii="Times New Roman" w:hAnsi="Times New Roman" w:eastAsia="宋体" w:cs="Times New Roman"/>
                <w:color w:val="auto"/>
                <w:lang w:val="en-US" w:eastAsia="zh-CN"/>
              </w:rPr>
              <w:t>20</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月动工建设，预计</w:t>
            </w:r>
            <w:r>
              <w:rPr>
                <w:rFonts w:hint="default" w:ascii="Times New Roman" w:hAnsi="Times New Roman" w:eastAsia="宋体" w:cs="Times New Roman"/>
                <w:color w:val="auto"/>
                <w:lang w:val="en-US" w:eastAsia="zh-CN"/>
              </w:rPr>
              <w:t>2020</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rPr>
              <w:t>月份可以竣工投入使用。</w:t>
            </w:r>
          </w:p>
          <w:p>
            <w:pPr>
              <w:numPr>
                <w:ilvl w:val="0"/>
                <w:numId w:val="2"/>
              </w:numPr>
              <w:spacing w:line="360" w:lineRule="auto"/>
              <w:ind w:firstLine="482" w:firstLineChars="2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color w:val="auto"/>
                <w:lang w:val="en-US" w:eastAsia="zh-CN"/>
              </w:rPr>
              <w:t>项目与“三线一单”符合性分析</w:t>
            </w:r>
          </w:p>
          <w:p>
            <w:pPr>
              <w:pStyle w:val="34"/>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表1-7 项目与“三线一单”符合性分析</w:t>
            </w:r>
          </w:p>
          <w:tbl>
            <w:tblPr>
              <w:tblStyle w:val="28"/>
              <w:tblW w:w="902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716"/>
              <w:gridCol w:w="5550"/>
              <w:gridCol w:w="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9"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文号</w:t>
                  </w:r>
                </w:p>
              </w:tc>
              <w:tc>
                <w:tcPr>
                  <w:tcW w:w="1716"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5550"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项目与“三线一单”符合性分析</w:t>
                  </w:r>
                </w:p>
              </w:tc>
              <w:tc>
                <w:tcPr>
                  <w:tcW w:w="851"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9" w:type="dxa"/>
                  <w:vMerge w:val="restart"/>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《“十三五”环境影响评价改革实施方案》（环环评[2016]95号）</w:t>
                  </w:r>
                </w:p>
              </w:tc>
              <w:tc>
                <w:tcPr>
                  <w:tcW w:w="1716"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生态保护红线</w:t>
                  </w:r>
                </w:p>
              </w:tc>
              <w:tc>
                <w:tcPr>
                  <w:tcW w:w="5550"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项目位于</w:t>
                  </w:r>
                  <w:r>
                    <w:rPr>
                      <w:rFonts w:hint="eastAsia" w:ascii="Times New Roman" w:cs="Times New Roman"/>
                      <w:color w:val="auto"/>
                      <w:sz w:val="21"/>
                      <w:szCs w:val="21"/>
                      <w:vertAlign w:val="baseline"/>
                      <w:lang w:val="en-US" w:eastAsia="zh-CN"/>
                    </w:rPr>
                    <w:t>同江市开发区平安大道南、市政搅拌站西侧</w:t>
                  </w:r>
                  <w:r>
                    <w:rPr>
                      <w:rFonts w:hint="default" w:ascii="Times New Roman" w:hAnsi="Times New Roman" w:eastAsia="宋体" w:cs="Times New Roman"/>
                      <w:color w:val="auto"/>
                      <w:sz w:val="21"/>
                      <w:szCs w:val="21"/>
                      <w:vertAlign w:val="baseline"/>
                      <w:lang w:val="en-US" w:eastAsia="zh-CN"/>
                    </w:rPr>
                    <w:t>，项目用地性质属于建设用地，周边无自然保护区、饮用水源保护区等生态保护目标，符合生态保护红线要求。</w:t>
                  </w:r>
                </w:p>
              </w:tc>
              <w:tc>
                <w:tcPr>
                  <w:tcW w:w="851"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9" w:type="dxa"/>
                  <w:vMerge w:val="continue"/>
                  <w:tcBorders>
                    <w:tl2br w:val="nil"/>
                    <w:tr2bl w:val="nil"/>
                  </w:tcBorders>
                  <w:vAlign w:val="center"/>
                </w:tcPr>
                <w:p>
                  <w:pPr>
                    <w:pStyle w:val="34"/>
                    <w:numPr>
                      <w:ilvl w:val="0"/>
                      <w:numId w:val="0"/>
                    </w:numPr>
                    <w:jc w:val="center"/>
                    <w:rPr>
                      <w:rFonts w:hint="default" w:ascii="Times New Roman" w:hAnsi="Times New Roman" w:eastAsia="宋体" w:cs="Times New Roman"/>
                      <w:color w:val="FF0000"/>
                      <w:sz w:val="21"/>
                      <w:szCs w:val="21"/>
                      <w:vertAlign w:val="baseline"/>
                      <w:lang w:val="en-US" w:eastAsia="zh-CN"/>
                    </w:rPr>
                  </w:pPr>
                </w:p>
              </w:tc>
              <w:tc>
                <w:tcPr>
                  <w:tcW w:w="1716"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环境质量底线</w:t>
                  </w:r>
                </w:p>
              </w:tc>
              <w:tc>
                <w:tcPr>
                  <w:tcW w:w="5550"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项目周边的环境空气质量一般，声环境质量较好，结合环境影响预测章节，本项目区大气环境、声环境、地表水环境均能满足相应标准要求，不会突破环境质量底线，因此项目符合环境质量底线要求。</w:t>
                  </w:r>
                </w:p>
              </w:tc>
              <w:tc>
                <w:tcPr>
                  <w:tcW w:w="851"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9" w:type="dxa"/>
                  <w:vMerge w:val="continue"/>
                  <w:tcBorders>
                    <w:tl2br w:val="nil"/>
                    <w:tr2bl w:val="nil"/>
                  </w:tcBorders>
                  <w:vAlign w:val="center"/>
                </w:tcPr>
                <w:p>
                  <w:pPr>
                    <w:pStyle w:val="34"/>
                    <w:numPr>
                      <w:ilvl w:val="0"/>
                      <w:numId w:val="0"/>
                    </w:numPr>
                    <w:jc w:val="center"/>
                    <w:rPr>
                      <w:rFonts w:hint="default" w:ascii="Times New Roman" w:hAnsi="Times New Roman" w:eastAsia="宋体" w:cs="Times New Roman"/>
                      <w:color w:val="FF0000"/>
                      <w:sz w:val="21"/>
                      <w:szCs w:val="21"/>
                      <w:vertAlign w:val="baseline"/>
                      <w:lang w:val="en-US" w:eastAsia="zh-CN"/>
                    </w:rPr>
                  </w:pPr>
                </w:p>
              </w:tc>
              <w:tc>
                <w:tcPr>
                  <w:tcW w:w="1716"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资源利用上线</w:t>
                  </w:r>
                </w:p>
              </w:tc>
              <w:tc>
                <w:tcPr>
                  <w:tcW w:w="5550"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本项目无生产用水，</w:t>
                  </w:r>
                  <w:r>
                    <w:rPr>
                      <w:rFonts w:hint="eastAsia" w:ascii="Times New Roman" w:cs="Times New Roman"/>
                      <w:color w:val="auto"/>
                      <w:kern w:val="0"/>
                      <w:sz w:val="21"/>
                      <w:szCs w:val="21"/>
                      <w:lang w:eastAsia="zh-CN"/>
                    </w:rPr>
                    <w:t>生活用水来源于市政供水管网</w:t>
                  </w:r>
                  <w:r>
                    <w:rPr>
                      <w:rFonts w:hint="default" w:ascii="Times New Roman" w:hAnsi="Times New Roman" w:eastAsia="宋体" w:cs="Times New Roman"/>
                      <w:color w:val="auto"/>
                      <w:sz w:val="21"/>
                      <w:szCs w:val="21"/>
                      <w:vertAlign w:val="baseline"/>
                      <w:lang w:val="en-US" w:eastAsia="zh-CN"/>
                    </w:rPr>
                    <w:t>，当地电业局统一供电，用水水源及供电电源可靠，资源消耗量相对于区域资源利用总量较小，符合资源利用上限要求。</w:t>
                  </w:r>
                </w:p>
              </w:tc>
              <w:tc>
                <w:tcPr>
                  <w:tcW w:w="851"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9" w:type="dxa"/>
                  <w:vMerge w:val="continue"/>
                  <w:tcBorders>
                    <w:tl2br w:val="nil"/>
                    <w:tr2bl w:val="nil"/>
                  </w:tcBorders>
                  <w:vAlign w:val="center"/>
                </w:tcPr>
                <w:p>
                  <w:pPr>
                    <w:pStyle w:val="34"/>
                    <w:numPr>
                      <w:ilvl w:val="0"/>
                      <w:numId w:val="0"/>
                    </w:numPr>
                    <w:jc w:val="center"/>
                    <w:rPr>
                      <w:rFonts w:hint="default" w:ascii="Times New Roman" w:hAnsi="Times New Roman" w:eastAsia="宋体" w:cs="Times New Roman"/>
                      <w:color w:val="FF0000"/>
                      <w:sz w:val="21"/>
                      <w:szCs w:val="21"/>
                      <w:vertAlign w:val="baseline"/>
                      <w:lang w:val="en-US" w:eastAsia="zh-CN"/>
                    </w:rPr>
                  </w:pPr>
                </w:p>
              </w:tc>
              <w:tc>
                <w:tcPr>
                  <w:tcW w:w="1716"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环境准入负面清单</w:t>
                  </w:r>
                </w:p>
              </w:tc>
              <w:tc>
                <w:tcPr>
                  <w:tcW w:w="5550"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目前项目所在区域尚未正式发布环境准入负面清单，本项目属于不属于《产业结构调整指导目录（2019年本）》中的“限制类”和“淘汰类”项目，属于“允许类”项目，未使用国家淘汰和限值使用的工艺及设备，符合国家产业政策。项目采取有效的三废治理措施，具备污染集中控制的条件。</w:t>
                  </w:r>
                </w:p>
              </w:tc>
              <w:tc>
                <w:tcPr>
                  <w:tcW w:w="851" w:type="dxa"/>
                  <w:tcBorders>
                    <w:tl2br w:val="nil"/>
                    <w:tr2bl w:val="nil"/>
                  </w:tcBorders>
                  <w:vAlign w:val="center"/>
                </w:tcPr>
                <w:p>
                  <w:pPr>
                    <w:pStyle w:val="34"/>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pPr>
              <w:spacing w:line="440" w:lineRule="atLeast"/>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九</w:t>
            </w:r>
            <w:r>
              <w:rPr>
                <w:rFonts w:hint="default" w:ascii="Times New Roman" w:hAnsi="Times New Roman" w:eastAsia="宋体" w:cs="Times New Roman"/>
                <w:b/>
                <w:color w:val="auto"/>
              </w:rPr>
              <w:t>、环保投资</w:t>
            </w:r>
          </w:p>
          <w:p>
            <w:pPr>
              <w:spacing w:line="440" w:lineRule="atLeas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本项目总投资为</w:t>
            </w:r>
            <w:r>
              <w:rPr>
                <w:rFonts w:hint="eastAsia" w:ascii="Times New Roman" w:hAnsi="Times New Roman" w:eastAsia="宋体" w:cs="Times New Roman"/>
                <w:color w:val="auto"/>
                <w:lang w:val="en-US" w:eastAsia="zh-CN"/>
              </w:rPr>
              <w:t>655万元</w:t>
            </w:r>
            <w:r>
              <w:rPr>
                <w:rFonts w:hint="default" w:ascii="Times New Roman" w:hAnsi="Times New Roman" w:eastAsia="宋体" w:cs="Times New Roman"/>
                <w:color w:val="auto"/>
              </w:rPr>
              <w:t>，其中环保投资</w:t>
            </w:r>
            <w:r>
              <w:rPr>
                <w:rFonts w:hint="default" w:ascii="Times New Roman" w:hAnsi="Times New Roman" w:eastAsia="宋体" w:cs="Times New Roman"/>
                <w:color w:val="auto"/>
                <w:lang w:val="en-US" w:eastAsia="zh-CN"/>
              </w:rPr>
              <w:t>20.5</w:t>
            </w:r>
            <w:r>
              <w:rPr>
                <w:rFonts w:hint="default" w:ascii="Times New Roman" w:hAnsi="Times New Roman" w:eastAsia="宋体" w:cs="Times New Roman"/>
                <w:color w:val="auto"/>
              </w:rPr>
              <w:t>万元，环保投资占总投资的</w:t>
            </w:r>
            <w:r>
              <w:rPr>
                <w:rFonts w:hint="eastAsia" w:ascii="Times New Roman" w:hAnsi="Times New Roman" w:eastAsia="宋体" w:cs="Times New Roman"/>
                <w:color w:val="auto"/>
                <w:lang w:val="en-US" w:eastAsia="zh-CN"/>
              </w:rPr>
              <w:t>3.13%</w:t>
            </w:r>
            <w:r>
              <w:rPr>
                <w:rFonts w:hint="default" w:ascii="Times New Roman" w:hAnsi="Times New Roman" w:eastAsia="宋体" w:cs="Times New Roman"/>
                <w:color w:val="auto"/>
              </w:rPr>
              <w:t>。环保投资明细详见表1-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p>
            <w:pPr>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w:t>
            </w:r>
            <w:r>
              <w:rPr>
                <w:rFonts w:hint="default"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rPr>
              <w:t xml:space="preserve"> 环保投资一览表</w:t>
            </w:r>
          </w:p>
          <w:tbl>
            <w:tblPr>
              <w:tblStyle w:val="27"/>
              <w:tblW w:w="89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070"/>
              <w:gridCol w:w="3837"/>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8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5907" w:type="dxa"/>
                  <w:gridSpan w:val="2"/>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环保设施项</w:t>
                  </w:r>
                </w:p>
              </w:tc>
              <w:tc>
                <w:tcPr>
                  <w:tcW w:w="1076" w:type="dxa"/>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工程投资</w:t>
                  </w:r>
                </w:p>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8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废水防治措施</w:t>
                  </w:r>
                </w:p>
              </w:tc>
              <w:tc>
                <w:tcPr>
                  <w:tcW w:w="5907" w:type="dxa"/>
                  <w:gridSpan w:val="2"/>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2"/>
                      <w:sz w:val="21"/>
                      <w:szCs w:val="21"/>
                      <w:lang w:val="en-US" w:eastAsia="zh-CN" w:bidi="ar-SA"/>
                    </w:rPr>
                    <w:t>生活污水经过防渗化粪池预处理后经过排水管网，进入同江市城市污水处理厂处理达标后排放松花江</w:t>
                  </w:r>
                </w:p>
              </w:tc>
              <w:tc>
                <w:tcPr>
                  <w:tcW w:w="1076" w:type="dxa"/>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98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地下水防治措施</w:t>
                  </w:r>
                </w:p>
              </w:tc>
              <w:tc>
                <w:tcPr>
                  <w:tcW w:w="5907" w:type="dxa"/>
                  <w:gridSpan w:val="2"/>
                  <w:vAlign w:val="center"/>
                </w:tcPr>
                <w:p>
                  <w:pPr>
                    <w:pStyle w:val="41"/>
                    <w:spacing w:line="240" w:lineRule="auto"/>
                    <w:ind w:left="38" w:leftChars="16"/>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rPr>
                    <w:t>双层钢制卧式油罐</w:t>
                  </w:r>
                  <w:r>
                    <w:rPr>
                      <w:rFonts w:hint="default" w:ascii="Times New Roman" w:hAnsi="Times New Roman" w:eastAsia="宋体" w:cs="Times New Roman"/>
                      <w:color w:val="auto"/>
                      <w:kern w:val="0"/>
                      <w:sz w:val="21"/>
                      <w:szCs w:val="21"/>
                    </w:rPr>
                    <w:t>，地下水跟踪监测，并公开信息，制定应急相应预案</w:t>
                  </w:r>
                </w:p>
              </w:tc>
              <w:tc>
                <w:tcPr>
                  <w:tcW w:w="1076" w:type="dxa"/>
                  <w:vAlign w:val="center"/>
                </w:tcPr>
                <w:p>
                  <w:pPr>
                    <w:pStyle w:val="41"/>
                    <w:spacing w:line="240" w:lineRule="auto"/>
                    <w:ind w:left="38" w:leftChars="16"/>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98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废气防治措施</w:t>
                  </w:r>
                </w:p>
              </w:tc>
              <w:tc>
                <w:tcPr>
                  <w:tcW w:w="5907" w:type="dxa"/>
                  <w:gridSpan w:val="2"/>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卸油口及汽油加油机上分别设置卸油油气回收、分散式加油油气回收系统（汽油加油作业及大呼吸回收效率为90%）；</w:t>
                  </w:r>
                </w:p>
              </w:tc>
              <w:tc>
                <w:tcPr>
                  <w:tcW w:w="1076" w:type="dxa"/>
                  <w:vAlign w:val="center"/>
                </w:tcPr>
                <w:p>
                  <w:pPr>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8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噪声防治措施</w:t>
                  </w:r>
                </w:p>
              </w:tc>
              <w:tc>
                <w:tcPr>
                  <w:tcW w:w="5907" w:type="dxa"/>
                  <w:gridSpan w:val="2"/>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选限速行驶、选取低噪声设备，采取隔声、减振措施</w:t>
                  </w:r>
                </w:p>
              </w:tc>
              <w:tc>
                <w:tcPr>
                  <w:tcW w:w="1076" w:type="dxa"/>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980" w:type="dxa"/>
                  <w:vMerge w:val="restar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固体废物防治措施</w:t>
                  </w:r>
                </w:p>
              </w:tc>
              <w:tc>
                <w:tcPr>
                  <w:tcW w:w="207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3837"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集中收集后由市政部门统一处理</w:t>
                  </w:r>
                </w:p>
              </w:tc>
              <w:tc>
                <w:tcPr>
                  <w:tcW w:w="1076"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80" w:type="dxa"/>
                  <w:vMerge w:val="continue"/>
                  <w:vAlign w:val="center"/>
                </w:tcPr>
                <w:p>
                  <w:pPr>
                    <w:spacing w:line="240" w:lineRule="auto"/>
                    <w:jc w:val="center"/>
                    <w:rPr>
                      <w:rFonts w:hint="default" w:ascii="Times New Roman" w:hAnsi="Times New Roman" w:eastAsia="宋体" w:cs="Times New Roman"/>
                      <w:color w:val="auto"/>
                      <w:kern w:val="0"/>
                      <w:sz w:val="21"/>
                      <w:szCs w:val="21"/>
                    </w:rPr>
                  </w:pPr>
                </w:p>
              </w:tc>
              <w:tc>
                <w:tcPr>
                  <w:tcW w:w="2070"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油泥</w:t>
                  </w:r>
                </w:p>
              </w:tc>
              <w:tc>
                <w:tcPr>
                  <w:tcW w:w="3837"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交由有资质单位进行处理</w:t>
                  </w:r>
                </w:p>
              </w:tc>
              <w:tc>
                <w:tcPr>
                  <w:tcW w:w="1076" w:type="dxa"/>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887" w:type="dxa"/>
                  <w:gridSpan w:val="3"/>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环保设施运行维护费用</w:t>
                  </w:r>
                </w:p>
              </w:tc>
              <w:tc>
                <w:tcPr>
                  <w:tcW w:w="1076" w:type="dxa"/>
                  <w:vAlign w:val="center"/>
                </w:tcPr>
                <w:p>
                  <w:pPr>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7" w:type="dxa"/>
                  <w:gridSpan w:val="3"/>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环保投资合计</w:t>
                  </w:r>
                </w:p>
              </w:tc>
              <w:tc>
                <w:tcPr>
                  <w:tcW w:w="1076" w:type="dxa"/>
                  <w:vAlign w:val="center"/>
                </w:tcPr>
                <w:p>
                  <w:pPr>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13.67</w:t>
                  </w:r>
                </w:p>
              </w:tc>
            </w:tr>
          </w:tbl>
          <w:p>
            <w:pPr>
              <w:spacing w:line="480" w:lineRule="auto"/>
              <w:rPr>
                <w:rFonts w:hint="default" w:ascii="Times New Roman" w:hAnsi="Times New Roman" w:eastAsia="宋体" w:cs="Times New Roman"/>
                <w:color w:val="FF0000"/>
                <w:sz w:val="28"/>
                <w:szCs w:val="28"/>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30" w:type="dxa"/>
          <w:trHeight w:val="13442" w:hRule="atLeast"/>
          <w:jc w:val="center"/>
        </w:trPr>
        <w:tc>
          <w:tcPr>
            <w:tcW w:w="9286" w:type="dxa"/>
            <w:gridSpan w:val="13"/>
          </w:tcPr>
          <w:p>
            <w:pPr>
              <w:spacing w:line="360" w:lineRule="auto"/>
              <w:rPr>
                <w:rFonts w:hint="default" w:ascii="Times New Roman" w:hAnsi="Times New Roman" w:eastAsia="宋体" w:cs="Times New Roman"/>
                <w:b/>
                <w:color w:val="auto"/>
                <w:highlight w:val="none"/>
              </w:rPr>
            </w:pPr>
            <w:bookmarkStart w:id="5" w:name="_Toc251921952"/>
            <w:r>
              <w:rPr>
                <w:rFonts w:hint="default" w:ascii="Times New Roman" w:hAnsi="Times New Roman" w:eastAsia="宋体" w:cs="Times New Roman"/>
                <w:b/>
                <w:color w:val="auto"/>
                <w:highlight w:val="none"/>
              </w:rPr>
              <w:t>与本项目有关的原有污染源情况及主要环境问题</w:t>
            </w:r>
            <w:bookmarkEnd w:id="5"/>
          </w:p>
          <w:p>
            <w:pPr>
              <w:pStyle w:val="7"/>
              <w:adjustRightInd w:val="0"/>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hint="eastAsia" w:cs="Times New Roman"/>
                <w:bCs/>
                <w:color w:val="auto"/>
                <w:sz w:val="24"/>
                <w:szCs w:val="24"/>
                <w:lang w:eastAsia="zh-CN"/>
              </w:rPr>
              <w:t>中国石油天然气股份有限公司黑龙江佳木斯同江经营部第三加油站</w:t>
            </w:r>
            <w:r>
              <w:rPr>
                <w:rFonts w:hint="default" w:ascii="Times New Roman" w:hAnsi="Times New Roman" w:eastAsia="宋体" w:cs="Times New Roman"/>
                <w:color w:val="auto"/>
                <w:sz w:val="24"/>
                <w:szCs w:val="24"/>
              </w:rPr>
              <w:t>位于</w:t>
            </w:r>
            <w:r>
              <w:rPr>
                <w:rFonts w:hint="eastAsia" w:cs="Times New Roman"/>
                <w:color w:val="auto"/>
                <w:sz w:val="24"/>
                <w:szCs w:val="24"/>
                <w:lang w:eastAsia="zh-CN"/>
              </w:rPr>
              <w:t>同江市开发区平安大道南、市政搅拌站西侧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为新建项目，不存</w:t>
            </w:r>
            <w:r>
              <w:rPr>
                <w:rFonts w:hint="default" w:ascii="Times New Roman" w:hAnsi="Times New Roman" w:eastAsia="宋体" w:cs="Times New Roman"/>
                <w:b w:val="0"/>
                <w:bCs w:val="0"/>
                <w:color w:val="auto"/>
                <w:sz w:val="24"/>
                <w:szCs w:val="24"/>
                <w:lang w:val="en-US" w:eastAsia="zh-CN"/>
              </w:rPr>
              <w:t>在</w:t>
            </w:r>
            <w:r>
              <w:rPr>
                <w:rFonts w:hint="default" w:ascii="Times New Roman" w:hAnsi="Times New Roman" w:eastAsia="宋体" w:cs="Times New Roman"/>
                <w:b w:val="0"/>
                <w:bCs w:val="0"/>
                <w:color w:val="auto"/>
                <w:highlight w:val="none"/>
              </w:rPr>
              <w:t>原有污染源情况及主要环境问题</w:t>
            </w:r>
            <w:r>
              <w:rPr>
                <w:rFonts w:hint="default" w:ascii="Times New Roman" w:hAnsi="Times New Roman" w:eastAsia="宋体" w:cs="Times New Roman"/>
                <w:b w:val="0"/>
                <w:bCs w:val="0"/>
                <w:color w:val="auto"/>
                <w:sz w:val="24"/>
                <w:szCs w:val="24"/>
              </w:rPr>
              <w:t>。</w:t>
            </w:r>
          </w:p>
          <w:p>
            <w:pPr>
              <w:pStyle w:val="34"/>
              <w:spacing w:line="360" w:lineRule="auto"/>
              <w:ind w:firstLine="480" w:firstLineChars="200"/>
              <w:rPr>
                <w:rFonts w:hint="default" w:ascii="Times New Roman" w:hAnsi="Times New Roman" w:eastAsia="宋体" w:cs="Times New Roman"/>
                <w:color w:val="FF0000"/>
                <w:lang w:eastAsia="zh-CN"/>
              </w:rPr>
            </w:pPr>
          </w:p>
          <w:p>
            <w:pPr>
              <w:pStyle w:val="34"/>
              <w:spacing w:line="360" w:lineRule="auto"/>
              <w:ind w:firstLine="480" w:firstLineChars="200"/>
              <w:rPr>
                <w:rFonts w:hint="default" w:ascii="Times New Roman" w:hAnsi="Times New Roman" w:eastAsia="宋体" w:cs="Times New Roman"/>
                <w:color w:val="FF0000"/>
                <w:lang w:eastAsia="zh-CN"/>
              </w:rPr>
            </w:pPr>
          </w:p>
          <w:p>
            <w:pPr>
              <w:pStyle w:val="34"/>
              <w:spacing w:line="360" w:lineRule="auto"/>
              <w:ind w:firstLine="480" w:firstLineChars="200"/>
              <w:rPr>
                <w:rFonts w:hint="default" w:ascii="Times New Roman" w:hAnsi="Times New Roman" w:eastAsia="宋体" w:cs="Times New Roman"/>
                <w:color w:val="FF0000"/>
                <w:highlight w:val="none"/>
                <w:lang w:eastAsia="zh-CN"/>
              </w:rPr>
            </w:pPr>
          </w:p>
        </w:tc>
      </w:tr>
    </w:tbl>
    <w:p>
      <w:pPr>
        <w:pStyle w:val="3"/>
        <w:spacing w:before="0" w:after="0" w:line="413" w:lineRule="auto"/>
        <w:rPr>
          <w:rFonts w:hint="default" w:ascii="Times New Roman" w:hAnsi="Times New Roman" w:eastAsia="宋体" w:cs="Times New Roman"/>
          <w:color w:val="FF0000"/>
          <w:highlight w:val="green"/>
          <w:lang w:val="en-US" w:eastAsia="zh-CN"/>
        </w:rPr>
        <w:sectPr>
          <w:footerReference r:id="rId5" w:type="default"/>
          <w:pgSz w:w="11906" w:h="16838"/>
          <w:pgMar w:top="1418" w:right="1440" w:bottom="1418"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6" w:name="_Toc17778"/>
      <w:bookmarkStart w:id="7" w:name="_Toc251921954"/>
    </w:p>
    <w:p>
      <w:pPr>
        <w:pStyle w:val="3"/>
        <w:spacing w:before="0" w:after="0" w:line="413"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rPr>
        <w:t>建设项目所在地自然环境简况</w:t>
      </w:r>
      <w:bookmarkEnd w:id="6"/>
    </w:p>
    <w:tbl>
      <w:tblPr>
        <w:tblStyle w:val="27"/>
        <w:tblW w:w="9286"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9286" w:type="dxa"/>
            <w:vAlign w:val="top"/>
          </w:tcPr>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自然环境简况（地形、地貌、气候、气象、水文、植被、生物多样性等）</w:t>
            </w:r>
          </w:p>
          <w:p>
            <w:pPr>
              <w:spacing w:line="50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1、地理位置</w:t>
            </w:r>
          </w:p>
          <w:p>
            <w:pPr>
              <w:spacing w:line="50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市隶属于黑龙江省佳木斯市，位于黑龙江省的东北部，三江平原腹地、黑龙江和松花江交汇处南岸，地理坐标N47°25′47″~48°17′20″、E132°18′32″~134°07′15″。同江市东与抚远县接壤，南与富锦市、饶河县为邻，西隔松花江与绥滨县相连，北隔黑龙江与俄罗斯相望。同江市的地理位置见图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771900" cy="4286250"/>
                  <wp:effectExtent l="0" t="0" r="0" b="0"/>
                  <wp:docPr id="17" name="图片 14" descr="气候区属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气候区属01"/>
                          <pic:cNvPicPr>
                            <a:picLocks noChangeAspect="1"/>
                          </pic:cNvPicPr>
                        </pic:nvPicPr>
                        <pic:blipFill>
                          <a:blip r:embed="rId9"/>
                          <a:stretch>
                            <a:fillRect/>
                          </a:stretch>
                        </pic:blipFill>
                        <pic:spPr>
                          <a:xfrm>
                            <a:off x="0" y="0"/>
                            <a:ext cx="3771900" cy="4286250"/>
                          </a:xfrm>
                          <a:prstGeom prst="rect">
                            <a:avLst/>
                          </a:prstGeom>
                          <a:noFill/>
                          <a:ln>
                            <a:noFill/>
                          </a:ln>
                        </pic:spPr>
                      </pic:pic>
                    </a:graphicData>
                  </a:graphic>
                </wp:inline>
              </w:drawing>
            </w:r>
          </w:p>
          <w:p>
            <w:pPr>
              <w:adjustRightInd w:val="0"/>
              <w:snapToGrid w:val="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图2</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同江市地理位置示意图</w:t>
            </w:r>
          </w:p>
          <w:p>
            <w:pPr>
              <w:spacing w:line="50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2、地形地貌</w:t>
            </w:r>
          </w:p>
          <w:p>
            <w:pPr>
              <w:spacing w:line="50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同江市域东西宽146km，南北长42km，总面积6164km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辖区内中俄边境线沿黑龙江中心线总长166km。同江市属于三江低地冲积平原，地势由西南向东逐渐倾斜，平均海拔高度为45m-65m之间，最高山脉额图山海拔高度626.8m，西部为漫川漫岗，中部为低山残丘和平原，东部为低平地，沿江是泛滥地。由于黑龙江多次泛滥冲积和沉积作用，在沿江一带形成高漫滩，地势绝大部分比较平坦，局部地区是“钱搭子”地形，俗称漫川漫岗，坡度平缓，岗顶平坦，海拔在62m-52m，缓坡地带，坡度一般在3度以下。成土母质为黄土状粘土和砂壤质冲积物。</w:t>
            </w:r>
          </w:p>
          <w:p>
            <w:pPr>
              <w:spacing w:line="50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3、地址条件</w:t>
            </w:r>
          </w:p>
          <w:p>
            <w:pPr>
              <w:adjustRightInd w:val="0"/>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市地质构造属漫滩冲积地区，地表下0.5m以内属腐植土，0.5m～1.5m为亚粘土和粘土，地基压力为160～140kPa，地下1.5m～5m多为细砂，地基承压力140kPa。总的地质情况沿松花江东侧100m以内和西小河南侧300m以内地基承压力较低，城市中心区较高。根据《中国地震烈度区划图》，同江地区地震烈度为六级，地震加速度值为0.05g。</w:t>
            </w:r>
          </w:p>
          <w:p>
            <w:pPr>
              <w:spacing w:line="50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4、气候气象</w:t>
            </w:r>
          </w:p>
          <w:p>
            <w:pPr>
              <w:adjustRightInd w:val="0"/>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市位于中温带湿润气候区，属于大陆性季风气候，四季差别明显。冬季严寒漫长，多西北风，气候干燥；夏季短暂，温热多雨，多偏南风，雨水集中，气候较为湿润；春、秋季节由于冬夏季风交替，气候多变，多大风天气。</w:t>
            </w:r>
          </w:p>
          <w:p>
            <w:pPr>
              <w:adjustRightInd w:val="0"/>
              <w:snapToGrid w:val="0"/>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同江市近20年气象统计资料（1996-2015），同江多年平均气温2.9℃，最冷月（一月）平均气温-20.12℃，极端最低气温-40.4℃（2010-01-13）；最热月（七月）平均气温22.27℃，极端最高气温38.0℃（2010-06-26）。多年平均降水量510.8mm，其中5~9月降水量占全年的79%。年平均日照时数2432.9h，6月日照时间最长（256.51h），12月日照时间最短（140.32h）。近10年平均无霜期146天，采暖期180天（4320h），采暖室外计算温度-22.4℃，采暖期室外平均温度-9.6℃。</w:t>
            </w:r>
          </w:p>
          <w:p>
            <w:pPr>
              <w:widowControl/>
              <w:adjustRightInd w:val="0"/>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市地处西风带，盛行偏西风，多年平均风速3.9m/s。春季风势最大，风力达7~8级，多年平均大风日18天，由于春季风大雨少，易造成春旱。主要风向为W和WSW、WNW、SW，占42.6%，其中以W为主导风向，占到全年14.4%左右。</w:t>
            </w:r>
          </w:p>
          <w:p>
            <w:pPr>
              <w:spacing w:line="50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5、地表水文</w:t>
            </w:r>
          </w:p>
          <w:p>
            <w:pPr>
              <w:adjustRightInd w:val="0"/>
              <w:snapToGrid w:val="0"/>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同江境内有黑龙江、松花江两大干流及12条主要支流，河叉、江通43条，泡沼400余处。</w:t>
            </w:r>
          </w:p>
          <w:p>
            <w:pPr>
              <w:adjustRightInd w:val="0"/>
              <w:snapToGrid w:val="0"/>
              <w:spacing w:line="500" w:lineRule="exact"/>
              <w:ind w:firstLine="480"/>
              <w:rPr>
                <w:rFonts w:hint="default" w:ascii="Times New Roman" w:hAnsi="Times New Roman" w:eastAsia="宋体" w:cs="Times New Roman"/>
                <w:sz w:val="24"/>
                <w:szCs w:val="24"/>
              </w:rPr>
            </w:pPr>
            <w:bookmarkStart w:id="8" w:name="_Toc387220784"/>
            <w:bookmarkStart w:id="9" w:name="_Toc392847862"/>
            <w:bookmarkStart w:id="10" w:name="_Toc389817852"/>
            <w:r>
              <w:rPr>
                <w:rFonts w:hint="default" w:ascii="Times New Roman" w:hAnsi="Times New Roman" w:eastAsia="宋体" w:cs="Times New Roman"/>
                <w:sz w:val="24"/>
                <w:szCs w:val="24"/>
              </w:rPr>
              <w:t>(1) 黑龙江</w:t>
            </w:r>
            <w:bookmarkEnd w:id="8"/>
            <w:bookmarkEnd w:id="9"/>
            <w:bookmarkEnd w:id="10"/>
          </w:p>
          <w:p>
            <w:pPr>
              <w:adjustRightInd w:val="0"/>
              <w:snapToGrid w:val="0"/>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黑龙江为境内第一大河，位于同江东北部。该河西起三江口，东至黑鱼泡河口。境内流长166km，江宽1-2km，水域面积144756亩，江水墨绿，水深流急，是同江航运的主动脉。</w:t>
            </w:r>
          </w:p>
          <w:p>
            <w:pPr>
              <w:adjustRightInd w:val="0"/>
              <w:snapToGrid w:val="0"/>
              <w:spacing w:line="500" w:lineRule="exact"/>
              <w:ind w:firstLine="480"/>
              <w:rPr>
                <w:rFonts w:hint="default" w:ascii="Times New Roman" w:hAnsi="Times New Roman" w:eastAsia="宋体" w:cs="Times New Roman"/>
                <w:sz w:val="24"/>
                <w:szCs w:val="24"/>
              </w:rPr>
            </w:pPr>
            <w:bookmarkStart w:id="11" w:name="_Toc389817853"/>
            <w:bookmarkStart w:id="12" w:name="_Toc392847863"/>
            <w:bookmarkStart w:id="13" w:name="_Toc387220785"/>
            <w:r>
              <w:rPr>
                <w:rFonts w:hint="default" w:ascii="Times New Roman" w:hAnsi="Times New Roman" w:eastAsia="宋体" w:cs="Times New Roman"/>
                <w:sz w:val="24"/>
                <w:szCs w:val="24"/>
              </w:rPr>
              <w:t>(2) 松花江</w:t>
            </w:r>
            <w:bookmarkEnd w:id="11"/>
            <w:bookmarkEnd w:id="12"/>
            <w:bookmarkEnd w:id="13"/>
          </w:p>
          <w:p>
            <w:pPr>
              <w:adjustRightInd w:val="0"/>
              <w:snapToGrid w:val="0"/>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花江流经同江市，在距同江城东北6km的三江口处汇入黑龙江，松花江在同江市城北边形成一较大支叉为西小河，亦于三江口汇入松花江，故在西小河与松花江主河道之间形成一“8”字型岛，称之为同江岛。同江市区及沿江公园位于西小河右岸。境内流长33km，江面冬季宽度为400~800m，夏季宽度为1000~1500m，洪水期宽度为1500~2000m。全部水域面积49505亩，其中：主河道水域面积为42031亩，江通水域面积为7474亩，是同江县主要渔业水域之一。干流平均宽度（主航道同江一侧江面）为800m，水深平均在4-7m之间。黑龙江江水混浊，含沙量大，江面平稳，少风浪，江底平坦，多沙质，明水期可通航3000t 泊位的轮船，是境内最重要的内航河道。</w:t>
            </w:r>
          </w:p>
          <w:p>
            <w:pPr>
              <w:adjustRightInd w:val="0"/>
              <w:snapToGrid w:val="0"/>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松花江50年一遇洪水，水位在海拔55.6m。历史上最高洪水位海拔54.77m，最低洪水位海拔52.54m，水位差2.3m，年平均水位为53.6m，最大流量1.66×104m3/s，江水封冻时间每年11月20日左右，解冻期为4月20日左右。</w:t>
            </w:r>
          </w:p>
          <w:p>
            <w:pPr>
              <w:adjustRightInd w:val="0"/>
              <w:snapToGrid w:val="0"/>
              <w:spacing w:line="500" w:lineRule="exact"/>
              <w:ind w:firstLine="480"/>
              <w:rPr>
                <w:rFonts w:hint="default" w:ascii="Times New Roman" w:hAnsi="Times New Roman" w:eastAsia="宋体" w:cs="Times New Roman"/>
                <w:sz w:val="24"/>
                <w:szCs w:val="24"/>
              </w:rPr>
            </w:pPr>
            <w:bookmarkStart w:id="14" w:name="_Toc392847864"/>
            <w:bookmarkStart w:id="15" w:name="_Toc387220786"/>
            <w:bookmarkStart w:id="16" w:name="_Toc389817854"/>
            <w:r>
              <w:rPr>
                <w:rFonts w:hint="default" w:ascii="Times New Roman" w:hAnsi="Times New Roman" w:eastAsia="宋体" w:cs="Times New Roman"/>
                <w:sz w:val="24"/>
                <w:szCs w:val="24"/>
              </w:rPr>
              <w:t>(3) 莲花河</w:t>
            </w:r>
            <w:bookmarkEnd w:id="14"/>
            <w:bookmarkEnd w:id="15"/>
            <w:bookmarkEnd w:id="16"/>
          </w:p>
          <w:p>
            <w:pPr>
              <w:adjustRightInd w:val="0"/>
              <w:snapToGrid w:val="0"/>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同江市区东北45km处有一座街津山，山脚下有一条莲花河。莲花河在街津山脚下注入黑龙江。莲花河全长141km，由乐业乡庆丰村入境，因莲花丛生而得名。其水清澈见底，河底多淤泥，水浅处不足1m，深入2m 开外，间有游鱼浮沉，河宽30m—50m，沿岸多低洼湿地、杂草丛生。莲花河自西南向东北，流经青龙山，而后转北向，经街津口注入黑龙江。当黑龙江洪泛期到来时，黑龙江水大量倒灌，河槽溢出，淹没大片沼泽地，形成了大面积泛水区。洪水消落后，低地沟塘遍为水泊。又形成了大量的泛水泡沼，大者常年有水，小者按季节时见时隐。总数为300余处，水域面积为78504 亩，其中：主河道面积达30294亩，河口地带为渔业基地。</w:t>
            </w:r>
          </w:p>
          <w:p>
            <w:pPr>
              <w:keepNext w:val="0"/>
              <w:keepLines w:val="0"/>
              <w:suppressLineNumbers w:val="0"/>
              <w:adjustRightInd w:val="0"/>
              <w:spacing w:before="0" w:beforeAutospacing="0" w:after="0" w:afterAutospacing="0" w:line="520" w:lineRule="exact"/>
              <w:ind w:left="0" w:right="0" w:firstLine="480" w:firstLineChars="200"/>
              <w:rPr>
                <w:rFonts w:hint="default" w:ascii="Times New Roman" w:hAnsi="Times New Roman" w:eastAsia="宋体" w:cs="Times New Roman"/>
                <w:color w:val="FF0000"/>
                <w:sz w:val="24"/>
                <w:szCs w:val="24"/>
                <w:lang w:val="zh-CN" w:eastAsia="zh-CN"/>
              </w:rPr>
            </w:pPr>
            <w:r>
              <w:rPr>
                <w:rFonts w:hint="default" w:ascii="Times New Roman" w:hAnsi="Times New Roman" w:eastAsia="宋体" w:cs="Times New Roman"/>
                <w:sz w:val="24"/>
                <w:szCs w:val="24"/>
              </w:rPr>
              <w:t>在莲花河两侧分布有5 条较大的支流，即：青龙河、拉起河、寒葱河、新富河、东莲花河，这些河的形态特征从属于莲花河。境内黑龙江从此流过，同抚路穿乡而过,交通便利。村域内泡泽、河流众多，有著名的“四泡一河”，清河涝区国家级自然保护区</w:t>
            </w:r>
            <w:r>
              <w:rPr>
                <w:rFonts w:hint="default" w:ascii="Times New Roman" w:hAnsi="Times New Roman" w:eastAsia="宋体" w:cs="Times New Roman"/>
                <w:color w:val="auto"/>
                <w:sz w:val="24"/>
                <w:szCs w:val="24"/>
                <w:lang w:val="zh-CN" w:eastAsia="zh-CN"/>
              </w:rPr>
              <w:t>。</w:t>
            </w:r>
          </w:p>
          <w:p>
            <w:pPr>
              <w:keepNext w:val="0"/>
              <w:keepLines w:val="0"/>
              <w:suppressLineNumbers w:val="0"/>
              <w:spacing w:before="0" w:beforeAutospacing="0" w:after="0" w:afterAutospacing="0" w:line="520" w:lineRule="exact"/>
              <w:ind w:left="0" w:right="0"/>
              <w:rPr>
                <w:rFonts w:hint="default" w:ascii="Times New Roman" w:hAnsi="Times New Roman" w:eastAsia="宋体" w:cs="Times New Roman"/>
                <w:color w:val="FF0000"/>
                <w:sz w:val="24"/>
                <w:szCs w:val="24"/>
              </w:rPr>
            </w:pPr>
          </w:p>
        </w:tc>
      </w:tr>
    </w:tbl>
    <w:p>
      <w:pPr>
        <w:pStyle w:val="3"/>
        <w:spacing w:before="0" w:after="0" w:line="413" w:lineRule="auto"/>
        <w:rPr>
          <w:rFonts w:hint="default" w:ascii="Times New Roman" w:hAnsi="Times New Roman" w:eastAsia="宋体" w:cs="Times New Roman"/>
          <w:color w:val="FF0000"/>
          <w:highlight w:val="none"/>
        </w:rPr>
        <w:sectPr>
          <w:pgSz w:w="11906" w:h="16838"/>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spacing w:before="0" w:after="0" w:line="413" w:lineRule="auto"/>
        <w:rPr>
          <w:rFonts w:hint="default" w:ascii="Times New Roman" w:hAnsi="Times New Roman" w:eastAsia="宋体" w:cs="Times New Roman"/>
          <w:color w:val="auto"/>
          <w:sz w:val="24"/>
          <w:szCs w:val="24"/>
          <w:highlight w:val="none"/>
        </w:rPr>
      </w:pPr>
      <w:bookmarkStart w:id="17" w:name="_Toc10607"/>
      <w:r>
        <w:rPr>
          <w:rFonts w:hint="default" w:ascii="Times New Roman" w:hAnsi="Times New Roman" w:eastAsia="宋体" w:cs="Times New Roman"/>
          <w:color w:val="auto"/>
          <w:highlight w:val="none"/>
        </w:rPr>
        <w:t>三、环境质量状况</w:t>
      </w:r>
      <w:bookmarkEnd w:id="7"/>
      <w:bookmarkEnd w:id="17"/>
    </w:p>
    <w:tbl>
      <w:tblPr>
        <w:tblStyle w:val="27"/>
        <w:tblW w:w="9242"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924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138" w:hRule="atLeast"/>
        </w:trPr>
        <w:tc>
          <w:tcPr>
            <w:tcW w:w="9242" w:type="dxa"/>
          </w:tcPr>
          <w:p>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建设项目所在地区域环境质量现状及主要环境问题（环境空气、地面水、声环境等）</w:t>
            </w:r>
          </w:p>
          <w:p>
            <w:pPr>
              <w:numPr>
                <w:ilvl w:val="0"/>
                <w:numId w:val="3"/>
              </w:num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环境空气质量现状</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项目所在区域达标判定</w:t>
            </w:r>
          </w:p>
          <w:p>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bCs/>
                <w:color w:val="auto"/>
                <w:kern w:val="2"/>
                <w:sz w:val="24"/>
                <w:szCs w:val="24"/>
                <w:lang w:val="en-US" w:eastAsia="zh-CN" w:bidi="ar-SA"/>
              </w:rPr>
              <w:t>本项目位于同江市开发区平安大道南、市政搅拌站西侧。按照《环境影响评价技术导则 大气环境》（HJ2.2-2018）中相关规定要求，本次空气环境质量现状达标情况的判定，是根据佳木斯市环境监测站 2018 年环境空气逐日监测数据，按照 HJ663 中各评价项目的年评价指标进行区域环境空气质量达标情况判断。佳木斯市2018年SO</w:t>
            </w:r>
            <w:r>
              <w:rPr>
                <w:rFonts w:hint="eastAsia" w:ascii="Times New Roman" w:hAnsi="Times New Roman" w:eastAsia="宋体" w:cs="Times New Roman"/>
                <w:bCs/>
                <w:color w:val="auto"/>
                <w:kern w:val="2"/>
                <w:sz w:val="24"/>
                <w:szCs w:val="24"/>
                <w:vertAlign w:val="subscript"/>
                <w:lang w:val="en-US" w:eastAsia="zh-CN" w:bidi="ar-SA"/>
              </w:rPr>
              <w:t>2</w:t>
            </w:r>
            <w:r>
              <w:rPr>
                <w:rFonts w:hint="eastAsia" w:ascii="Times New Roman" w:hAnsi="Times New Roman" w:eastAsia="宋体" w:cs="Times New Roman"/>
                <w:bCs/>
                <w:color w:val="auto"/>
                <w:kern w:val="2"/>
                <w:sz w:val="24"/>
                <w:szCs w:val="24"/>
                <w:lang w:val="en-US" w:eastAsia="zh-CN" w:bidi="ar-SA"/>
              </w:rPr>
              <w:t>、NO</w:t>
            </w:r>
            <w:r>
              <w:rPr>
                <w:rFonts w:hint="eastAsia" w:ascii="Times New Roman" w:hAnsi="Times New Roman" w:eastAsia="宋体" w:cs="Times New Roman"/>
                <w:bCs/>
                <w:color w:val="auto"/>
                <w:kern w:val="2"/>
                <w:sz w:val="24"/>
                <w:szCs w:val="24"/>
                <w:vertAlign w:val="subscript"/>
                <w:lang w:val="en-US" w:eastAsia="zh-CN" w:bidi="ar-SA"/>
              </w:rPr>
              <w:t>2</w:t>
            </w:r>
            <w:r>
              <w:rPr>
                <w:rFonts w:hint="eastAsia" w:ascii="Times New Roman" w:hAnsi="Times New Roman" w:eastAsia="宋体" w:cs="Times New Roman"/>
                <w:bCs/>
                <w:color w:val="auto"/>
                <w:kern w:val="2"/>
                <w:sz w:val="24"/>
                <w:szCs w:val="24"/>
                <w:lang w:val="en-US" w:eastAsia="zh-CN" w:bidi="ar-SA"/>
              </w:rPr>
              <w:t>、PM</w:t>
            </w:r>
            <w:r>
              <w:rPr>
                <w:rFonts w:hint="eastAsia" w:ascii="Times New Roman" w:hAnsi="Times New Roman" w:eastAsia="宋体" w:cs="Times New Roman"/>
                <w:bCs/>
                <w:color w:val="auto"/>
                <w:kern w:val="2"/>
                <w:sz w:val="24"/>
                <w:szCs w:val="24"/>
                <w:vertAlign w:val="subscript"/>
                <w:lang w:val="en-US" w:eastAsia="zh-CN" w:bidi="ar-SA"/>
              </w:rPr>
              <w:t>10</w:t>
            </w:r>
            <w:r>
              <w:rPr>
                <w:rFonts w:hint="eastAsia" w:ascii="Times New Roman" w:hAnsi="Times New Roman" w:eastAsia="宋体" w:cs="Times New Roman"/>
                <w:bCs/>
                <w:color w:val="auto"/>
                <w:kern w:val="2"/>
                <w:sz w:val="24"/>
                <w:szCs w:val="24"/>
                <w:lang w:val="en-US" w:eastAsia="zh-CN" w:bidi="ar-SA"/>
              </w:rPr>
              <w:t>、PM</w:t>
            </w:r>
            <w:r>
              <w:rPr>
                <w:rFonts w:hint="eastAsia" w:ascii="Times New Roman" w:hAnsi="Times New Roman" w:eastAsia="宋体" w:cs="Times New Roman"/>
                <w:bCs/>
                <w:color w:val="auto"/>
                <w:kern w:val="2"/>
                <w:sz w:val="24"/>
                <w:szCs w:val="24"/>
                <w:vertAlign w:val="subscript"/>
                <w:lang w:val="en-US" w:eastAsia="zh-CN" w:bidi="ar-SA"/>
              </w:rPr>
              <w:t>2.5</w:t>
            </w:r>
            <w:r>
              <w:rPr>
                <w:rFonts w:hint="eastAsia" w:ascii="Times New Roman" w:hAnsi="Times New Roman" w:eastAsia="宋体" w:cs="Times New Roman"/>
                <w:bCs/>
                <w:color w:val="auto"/>
                <w:kern w:val="2"/>
                <w:sz w:val="24"/>
                <w:szCs w:val="24"/>
                <w:lang w:val="en-US" w:eastAsia="zh-CN" w:bidi="ar-SA"/>
              </w:rPr>
              <w:t>年均浓度分别为8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、22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、47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、29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 xml:space="preserve"> ；CO 24小时平均第 95 百 分位数为 1.1mg/m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，O</w:t>
            </w:r>
            <w:r>
              <w:rPr>
                <w:rFonts w:hint="eastAsia" w:ascii="Times New Roman" w:hAnsi="Times New Roman" w:eastAsia="宋体" w:cs="Times New Roman"/>
                <w:bCs/>
                <w:color w:val="auto"/>
                <w:kern w:val="2"/>
                <w:sz w:val="24"/>
                <w:szCs w:val="24"/>
                <w:vertAlign w:val="subscript"/>
                <w:lang w:val="en-US" w:eastAsia="zh-CN" w:bidi="ar-SA"/>
              </w:rPr>
              <w:t>3</w:t>
            </w:r>
            <w:r>
              <w:rPr>
                <w:rFonts w:hint="eastAsia" w:ascii="Times New Roman" w:hAnsi="Times New Roman" w:eastAsia="宋体" w:cs="Times New Roman"/>
                <w:bCs/>
                <w:color w:val="auto"/>
                <w:kern w:val="2"/>
                <w:sz w:val="24"/>
                <w:szCs w:val="24"/>
                <w:lang w:val="en-US" w:eastAsia="zh-CN" w:bidi="ar-SA"/>
              </w:rPr>
              <w:t>日最大8小时平均第90百分位数为121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；各污染物平均浓度能够满足《环境空气质量标准》（GB3095-2012）二级标准要求，可确定项目所在区域为达标区。</w:t>
            </w:r>
          </w:p>
          <w:p>
            <w:pPr>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cs="Times New Roman"/>
                <w:b/>
                <w:bCs/>
                <w:color w:val="auto"/>
                <w:sz w:val="24"/>
                <w:szCs w:val="24"/>
                <w:lang w:val="en-US" w:eastAsia="zh-CN"/>
              </w:rPr>
              <w:t>3-1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201</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年佳木斯市环境空气质量监测结果</w:t>
            </w:r>
          </w:p>
          <w:tbl>
            <w:tblPr>
              <w:tblStyle w:val="28"/>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1094"/>
              <w:gridCol w:w="1642"/>
              <w:gridCol w:w="1095"/>
              <w:gridCol w:w="1095"/>
              <w:gridCol w:w="1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监测项目</w:t>
                  </w:r>
                </w:p>
              </w:tc>
              <w:tc>
                <w:tcPr>
                  <w:tcW w:w="1094"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年均值</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执行标准</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超标倍数</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占标率</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二氧化硫（</w:t>
                  </w:r>
                  <w:r>
                    <w:rPr>
                      <w:rStyle w:val="55"/>
                      <w:rFonts w:ascii="Times New Roman" w:hAnsi="Times New Roman" w:cs="Times New Roman"/>
                      <w:color w:val="auto"/>
                      <w:sz w:val="21"/>
                      <w:szCs w:val="21"/>
                      <w:shd w:val="clear" w:color="auto" w:fill="FFFFFF"/>
                    </w:rPr>
                    <w:t> </w:t>
                  </w:r>
                  <w:r>
                    <w:rPr>
                      <w:rFonts w:ascii="Times New Roman" w:hAnsi="Times New Roman" w:cs="Times New Roman"/>
                      <w:color w:val="auto"/>
                      <w:sz w:val="21"/>
                      <w:szCs w:val="21"/>
                      <w:shd w:val="clear" w:color="auto" w:fill="FFFFFF"/>
                    </w:rPr>
                    <w:t>μg/m</w:t>
                  </w:r>
                  <w:r>
                    <w:rPr>
                      <w:rFonts w:ascii="Times New Roman" w:hAnsi="Times New Roman" w:cs="Times New Roman"/>
                      <w:color w:val="auto"/>
                      <w:sz w:val="21"/>
                      <w:szCs w:val="21"/>
                      <w:shd w:val="clear" w:color="auto" w:fill="FFFFFF"/>
                      <w:vertAlign w:val="superscript"/>
                    </w:rPr>
                    <w:t>3</w:t>
                  </w:r>
                  <w:r>
                    <w:rPr>
                      <w:rFonts w:ascii="Times New Roman" w:hAnsi="Times New Roman" w:cs="Times New Roman"/>
                      <w:color w:val="auto"/>
                      <w:sz w:val="21"/>
                      <w:szCs w:val="21"/>
                    </w:rPr>
                    <w:t>）</w:t>
                  </w:r>
                </w:p>
              </w:tc>
              <w:tc>
                <w:tcPr>
                  <w:tcW w:w="1094"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8</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60</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0</w:t>
                  </w:r>
                </w:p>
              </w:tc>
              <w:tc>
                <w:tcPr>
                  <w:tcW w:w="1095"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0.1</w:t>
                  </w:r>
                  <w:r>
                    <w:rPr>
                      <w:rFonts w:hint="eastAsia" w:ascii="Times New Roman" w:hAnsi="Times New Roman"/>
                      <w:color w:val="auto"/>
                      <w:sz w:val="21"/>
                      <w:szCs w:val="21"/>
                      <w:lang w:val="en-US" w:eastAsia="zh-CN"/>
                    </w:rPr>
                    <w:t>3</w:t>
                  </w:r>
                </w:p>
              </w:tc>
              <w:tc>
                <w:tcPr>
                  <w:tcW w:w="1095"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二氧化氮（</w:t>
                  </w:r>
                  <w:r>
                    <w:rPr>
                      <w:rStyle w:val="55"/>
                      <w:rFonts w:ascii="Times New Roman" w:hAnsi="Times New Roman" w:cs="Times New Roman"/>
                      <w:color w:val="auto"/>
                      <w:sz w:val="21"/>
                      <w:szCs w:val="21"/>
                      <w:shd w:val="clear" w:color="auto" w:fill="FFFFFF"/>
                    </w:rPr>
                    <w:t> </w:t>
                  </w:r>
                  <w:r>
                    <w:rPr>
                      <w:rFonts w:ascii="Times New Roman" w:hAnsi="Times New Roman" w:cs="Times New Roman"/>
                      <w:color w:val="auto"/>
                      <w:sz w:val="21"/>
                      <w:szCs w:val="21"/>
                      <w:shd w:val="clear" w:color="auto" w:fill="FFFFFF"/>
                    </w:rPr>
                    <w:t>μg/m</w:t>
                  </w:r>
                  <w:r>
                    <w:rPr>
                      <w:rFonts w:ascii="Times New Roman" w:hAnsi="Times New Roman" w:cs="Times New Roman"/>
                      <w:color w:val="auto"/>
                      <w:sz w:val="21"/>
                      <w:szCs w:val="21"/>
                      <w:shd w:val="clear" w:color="auto" w:fill="FFFFFF"/>
                      <w:vertAlign w:val="superscript"/>
                    </w:rPr>
                    <w:t>3</w:t>
                  </w:r>
                  <w:r>
                    <w:rPr>
                      <w:rFonts w:ascii="Times New Roman" w:hAnsi="Times New Roman" w:cs="Times New Roman"/>
                      <w:color w:val="auto"/>
                      <w:sz w:val="21"/>
                      <w:szCs w:val="21"/>
                    </w:rPr>
                    <w:t>）</w:t>
                  </w:r>
                </w:p>
              </w:tc>
              <w:tc>
                <w:tcPr>
                  <w:tcW w:w="1094"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22</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40</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0</w:t>
                  </w:r>
                </w:p>
              </w:tc>
              <w:tc>
                <w:tcPr>
                  <w:tcW w:w="1095"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55</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可吸入颗粒物（PM</w:t>
                  </w:r>
                  <w:r>
                    <w:rPr>
                      <w:rFonts w:hint="eastAsia" w:ascii="Times New Roman" w:hAnsi="Times New Roman"/>
                      <w:color w:val="auto"/>
                      <w:sz w:val="21"/>
                      <w:szCs w:val="21"/>
                      <w:vertAlign w:val="subscript"/>
                    </w:rPr>
                    <w:t>10</w:t>
                  </w:r>
                  <w:r>
                    <w:rPr>
                      <w:rFonts w:hint="eastAsia" w:ascii="Times New Roman" w:hAnsi="Times New Roman"/>
                      <w:color w:val="auto"/>
                      <w:sz w:val="21"/>
                      <w:szCs w:val="21"/>
                    </w:rPr>
                    <w:t>（</w:t>
                  </w:r>
                  <w:r>
                    <w:rPr>
                      <w:rStyle w:val="55"/>
                      <w:rFonts w:ascii="Times New Roman" w:hAnsi="Times New Roman" w:cs="Times New Roman"/>
                      <w:color w:val="auto"/>
                      <w:sz w:val="21"/>
                      <w:szCs w:val="21"/>
                      <w:shd w:val="clear" w:color="auto" w:fill="FFFFFF"/>
                    </w:rPr>
                    <w:t> </w:t>
                  </w:r>
                  <w:r>
                    <w:rPr>
                      <w:rFonts w:ascii="Times New Roman" w:hAnsi="Times New Roman" w:cs="Times New Roman"/>
                      <w:color w:val="auto"/>
                      <w:sz w:val="21"/>
                      <w:szCs w:val="21"/>
                      <w:shd w:val="clear" w:color="auto" w:fill="FFFFFF"/>
                    </w:rPr>
                    <w:t>μg/m</w:t>
                  </w:r>
                  <w:r>
                    <w:rPr>
                      <w:rFonts w:ascii="Times New Roman" w:hAnsi="Times New Roman" w:cs="Times New Roman"/>
                      <w:color w:val="auto"/>
                      <w:sz w:val="21"/>
                      <w:szCs w:val="21"/>
                      <w:shd w:val="clear" w:color="auto" w:fill="FFFFFF"/>
                      <w:vertAlign w:val="superscript"/>
                    </w:rPr>
                    <w:t>3</w:t>
                  </w:r>
                  <w:r>
                    <w:rPr>
                      <w:rFonts w:ascii="Times New Roman" w:hAnsi="Times New Roman" w:cs="Times New Roman"/>
                      <w:color w:val="auto"/>
                      <w:sz w:val="21"/>
                      <w:szCs w:val="21"/>
                    </w:rPr>
                    <w:t>）</w:t>
                  </w:r>
                  <w:r>
                    <w:rPr>
                      <w:rFonts w:hint="eastAsia" w:ascii="Times New Roman" w:hAnsi="Times New Roman"/>
                      <w:color w:val="auto"/>
                      <w:sz w:val="21"/>
                      <w:szCs w:val="21"/>
                    </w:rPr>
                    <w:t>）</w:t>
                  </w:r>
                </w:p>
              </w:tc>
              <w:tc>
                <w:tcPr>
                  <w:tcW w:w="1094"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47</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70</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0</w:t>
                  </w:r>
                </w:p>
              </w:tc>
              <w:tc>
                <w:tcPr>
                  <w:tcW w:w="1095"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67</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细颗粒物（PM</w:t>
                  </w:r>
                  <w:r>
                    <w:rPr>
                      <w:rFonts w:hint="eastAsia" w:ascii="Times New Roman" w:hAnsi="Times New Roman"/>
                      <w:color w:val="auto"/>
                      <w:sz w:val="21"/>
                      <w:szCs w:val="21"/>
                      <w:vertAlign w:val="subscript"/>
                    </w:rPr>
                    <w:t>2.5</w:t>
                  </w:r>
                  <w:r>
                    <w:rPr>
                      <w:rFonts w:hint="eastAsia" w:ascii="Times New Roman" w:hAnsi="Times New Roman"/>
                      <w:color w:val="auto"/>
                      <w:sz w:val="21"/>
                      <w:szCs w:val="21"/>
                    </w:rPr>
                    <w:t>）（</w:t>
                  </w:r>
                  <w:r>
                    <w:rPr>
                      <w:rFonts w:ascii="Times New Roman" w:hAnsi="Times New Roman" w:cs="Times New Roman"/>
                      <w:color w:val="auto"/>
                      <w:sz w:val="21"/>
                      <w:szCs w:val="21"/>
                      <w:shd w:val="clear" w:color="auto" w:fill="FFFFFF"/>
                    </w:rPr>
                    <w:t>μg/m</w:t>
                  </w:r>
                  <w:r>
                    <w:rPr>
                      <w:rFonts w:ascii="Times New Roman" w:hAnsi="Times New Roman" w:cs="Times New Roman"/>
                      <w:color w:val="auto"/>
                      <w:sz w:val="21"/>
                      <w:szCs w:val="21"/>
                      <w:shd w:val="clear" w:color="auto" w:fill="FFFFFF"/>
                      <w:vertAlign w:val="superscript"/>
                    </w:rPr>
                    <w:t>3</w:t>
                  </w:r>
                  <w:r>
                    <w:rPr>
                      <w:rFonts w:ascii="Times New Roman" w:hAnsi="Times New Roman" w:cs="Times New Roman"/>
                      <w:color w:val="auto"/>
                      <w:sz w:val="21"/>
                      <w:szCs w:val="21"/>
                    </w:rPr>
                    <w:t>）</w:t>
                  </w:r>
                </w:p>
              </w:tc>
              <w:tc>
                <w:tcPr>
                  <w:tcW w:w="1094"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29</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35</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0</w:t>
                  </w:r>
                </w:p>
              </w:tc>
              <w:tc>
                <w:tcPr>
                  <w:tcW w:w="1095"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0.83</w:t>
                  </w:r>
                </w:p>
              </w:tc>
              <w:tc>
                <w:tcPr>
                  <w:tcW w:w="1095"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臭氧（</w:t>
                  </w:r>
                  <w:r>
                    <w:rPr>
                      <w:rFonts w:ascii="Times New Roman" w:hAnsi="Times New Roman" w:cs="Times New Roman"/>
                      <w:color w:val="auto"/>
                      <w:sz w:val="21"/>
                      <w:szCs w:val="21"/>
                      <w:shd w:val="clear" w:color="auto" w:fill="FFFFFF"/>
                    </w:rPr>
                    <w:t>μg/m</w:t>
                  </w:r>
                  <w:r>
                    <w:rPr>
                      <w:rFonts w:ascii="Times New Roman" w:hAnsi="Times New Roman" w:cs="Times New Roman"/>
                      <w:color w:val="auto"/>
                      <w:sz w:val="21"/>
                      <w:szCs w:val="21"/>
                      <w:shd w:val="clear" w:color="auto" w:fill="FFFFFF"/>
                      <w:vertAlign w:val="superscript"/>
                    </w:rPr>
                    <w:t>3</w:t>
                  </w:r>
                  <w:r>
                    <w:rPr>
                      <w:rFonts w:ascii="Times New Roman" w:hAnsi="Times New Roman" w:cs="Times New Roman"/>
                      <w:color w:val="auto"/>
                      <w:sz w:val="21"/>
                      <w:szCs w:val="21"/>
                    </w:rPr>
                    <w:t>）</w:t>
                  </w:r>
                </w:p>
              </w:tc>
              <w:tc>
                <w:tcPr>
                  <w:tcW w:w="1094"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121</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160（日8h最大平均）</w:t>
                  </w:r>
                </w:p>
              </w:tc>
              <w:tc>
                <w:tcPr>
                  <w:tcW w:w="1095"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w:t>
                  </w:r>
                </w:p>
              </w:tc>
              <w:tc>
                <w:tcPr>
                  <w:tcW w:w="1095"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0.7</w:t>
                  </w:r>
                  <w:r>
                    <w:rPr>
                      <w:rFonts w:hint="eastAsia" w:ascii="Times New Roman" w:hAnsi="Times New Roman"/>
                      <w:color w:val="auto"/>
                      <w:sz w:val="21"/>
                      <w:szCs w:val="21"/>
                      <w:lang w:val="en-US" w:eastAsia="zh-CN"/>
                    </w:rPr>
                    <w:t>6</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66"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一氧化碳（</w:t>
                  </w:r>
                  <w:r>
                    <w:rPr>
                      <w:rFonts w:hint="eastAsia" w:ascii="Times New Roman" w:hAnsi="Times New Roman" w:cs="Times New Roman"/>
                      <w:color w:val="auto"/>
                      <w:sz w:val="21"/>
                      <w:szCs w:val="21"/>
                      <w:shd w:val="clear" w:color="auto" w:fill="FFFFFF"/>
                    </w:rPr>
                    <w:t>m</w:t>
                  </w:r>
                  <w:r>
                    <w:rPr>
                      <w:rFonts w:ascii="Times New Roman" w:hAnsi="Times New Roman" w:cs="Times New Roman"/>
                      <w:color w:val="auto"/>
                      <w:sz w:val="21"/>
                      <w:szCs w:val="21"/>
                      <w:shd w:val="clear" w:color="auto" w:fill="FFFFFF"/>
                    </w:rPr>
                    <w:t>g/m</w:t>
                  </w:r>
                  <w:r>
                    <w:rPr>
                      <w:rFonts w:ascii="Times New Roman" w:hAnsi="Times New Roman" w:cs="Times New Roman"/>
                      <w:color w:val="auto"/>
                      <w:sz w:val="21"/>
                      <w:szCs w:val="21"/>
                      <w:shd w:val="clear" w:color="auto" w:fill="FFFFFF"/>
                      <w:vertAlign w:val="superscript"/>
                    </w:rPr>
                    <w:t>3</w:t>
                  </w:r>
                  <w:r>
                    <w:rPr>
                      <w:rFonts w:ascii="Times New Roman" w:hAnsi="Times New Roman" w:cs="Times New Roman"/>
                      <w:color w:val="auto"/>
                      <w:sz w:val="21"/>
                      <w:szCs w:val="21"/>
                    </w:rPr>
                    <w:t>）</w:t>
                  </w:r>
                </w:p>
              </w:tc>
              <w:tc>
                <w:tcPr>
                  <w:tcW w:w="1094" w:type="dxa"/>
                  <w:noWrap w:val="0"/>
                  <w:vAlign w:val="center"/>
                </w:tcPr>
                <w:p>
                  <w:pPr>
                    <w:pStyle w:val="14"/>
                    <w:spacing w:line="24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1</w:t>
                  </w:r>
                </w:p>
              </w:tc>
              <w:tc>
                <w:tcPr>
                  <w:tcW w:w="1642"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4（24h平均）</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rPr>
                    <w:t>0</w:t>
                  </w:r>
                </w:p>
              </w:tc>
              <w:tc>
                <w:tcPr>
                  <w:tcW w:w="1095" w:type="dxa"/>
                  <w:noWrap w:val="0"/>
                  <w:vAlign w:val="center"/>
                </w:tcPr>
                <w:p>
                  <w:pPr>
                    <w:pStyle w:val="14"/>
                    <w:spacing w:line="24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28</w:t>
                  </w:r>
                </w:p>
              </w:tc>
              <w:tc>
                <w:tcPr>
                  <w:tcW w:w="1095" w:type="dxa"/>
                  <w:noWrap w:val="0"/>
                  <w:vAlign w:val="center"/>
                </w:tcPr>
                <w:p>
                  <w:pPr>
                    <w:pStyle w:val="14"/>
                    <w:spacing w:line="240" w:lineRule="atLeast"/>
                    <w:jc w:val="center"/>
                    <w:rPr>
                      <w:rFonts w:ascii="Times New Roman" w:hAnsi="Times New Roman"/>
                      <w:color w:val="auto"/>
                      <w:sz w:val="21"/>
                      <w:szCs w:val="21"/>
                    </w:rPr>
                  </w:pPr>
                  <w:r>
                    <w:rPr>
                      <w:rFonts w:hint="eastAsia" w:ascii="Times New Roman" w:hAnsi="Times New Roman"/>
                      <w:color w:val="auto"/>
                      <w:sz w:val="21"/>
                      <w:szCs w:val="21"/>
                      <w:lang w:val="en-US" w:eastAsia="zh-CN"/>
                    </w:rPr>
                    <w:t>达标</w:t>
                  </w:r>
                </w:p>
              </w:tc>
            </w:tr>
          </w:tbl>
          <w:p>
            <w:pPr>
              <w:pStyle w:val="34"/>
              <w:spacing w:line="360" w:lineRule="auto"/>
              <w:ind w:firstLine="480" w:firstLineChars="200"/>
              <w:jc w:val="both"/>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color w:val="auto"/>
                <w:sz w:val="24"/>
                <w:szCs w:val="24"/>
              </w:rPr>
              <w:t>其他污染物环境质量现状</w:t>
            </w:r>
          </w:p>
          <w:p>
            <w:pPr>
              <w:pStyle w:val="34"/>
              <w:spacing w:line="360" w:lineRule="auto"/>
              <w:jc w:val="left"/>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color w:val="FF0000"/>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bCs/>
                <w:color w:val="auto"/>
                <w:sz w:val="24"/>
                <w:szCs w:val="24"/>
              </w:rPr>
              <w:t>黑龙江省星科环境监测有限公司</w:t>
            </w:r>
            <w:r>
              <w:rPr>
                <w:rFonts w:hint="default" w:ascii="Times New Roman" w:hAnsi="Times New Roman" w:eastAsia="宋体" w:cs="Times New Roman"/>
                <w:color w:val="auto"/>
                <w:sz w:val="24"/>
                <w:szCs w:val="24"/>
              </w:rPr>
              <w:t>20</w:t>
            </w:r>
            <w:r>
              <w:rPr>
                <w:rFonts w:hint="eastAsia" w:ascii="Times New Roman" w:cs="Times New Roman"/>
                <w:color w:val="auto"/>
                <w:sz w:val="24"/>
                <w:szCs w:val="24"/>
                <w:lang w:val="en-US" w:eastAsia="zh-CN"/>
              </w:rPr>
              <w:t>20</w:t>
            </w:r>
            <w:r>
              <w:rPr>
                <w:rFonts w:hint="default" w:ascii="Times New Roman" w:hAnsi="Times New Roman" w:eastAsia="宋体" w:cs="Times New Roman"/>
                <w:color w:val="auto"/>
                <w:sz w:val="24"/>
                <w:szCs w:val="24"/>
              </w:rPr>
              <w:t>年0</w:t>
            </w:r>
            <w:r>
              <w:rPr>
                <w:rFonts w:hint="eastAsia" w:ascii="Times New Roman" w:cs="Times New Roman"/>
                <w:color w:val="auto"/>
                <w:sz w:val="24"/>
                <w:szCs w:val="24"/>
                <w:lang w:val="en-US" w:eastAsia="zh-CN"/>
              </w:rPr>
              <w:t>5</w:t>
            </w:r>
            <w:r>
              <w:rPr>
                <w:rFonts w:hint="default" w:ascii="Times New Roman" w:hAnsi="Times New Roman" w:eastAsia="宋体" w:cs="Times New Roman"/>
                <w:color w:val="auto"/>
                <w:sz w:val="24"/>
                <w:szCs w:val="24"/>
              </w:rPr>
              <w:t>月1日-20</w:t>
            </w:r>
            <w:r>
              <w:rPr>
                <w:rFonts w:hint="eastAsia" w:ascii="Times New Roman" w:cs="Times New Roman"/>
                <w:color w:val="auto"/>
                <w:sz w:val="24"/>
                <w:szCs w:val="24"/>
                <w:lang w:val="en-US" w:eastAsia="zh-CN"/>
              </w:rPr>
              <w:t>20</w:t>
            </w:r>
            <w:r>
              <w:rPr>
                <w:rFonts w:hint="default" w:ascii="Times New Roman" w:hAnsi="Times New Roman" w:eastAsia="宋体" w:cs="Times New Roman"/>
                <w:color w:val="auto"/>
                <w:sz w:val="24"/>
                <w:szCs w:val="24"/>
              </w:rPr>
              <w:t>年0</w:t>
            </w:r>
            <w:r>
              <w:rPr>
                <w:rFonts w:hint="eastAsia" w:ascii="Times New Roman"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ascii="Times New Roman" w:cs="Times New Roman"/>
                <w:color w:val="auto"/>
                <w:sz w:val="24"/>
                <w:szCs w:val="24"/>
                <w:lang w:val="en-US" w:eastAsia="zh-CN"/>
              </w:rPr>
              <w:t>7</w:t>
            </w:r>
            <w:r>
              <w:rPr>
                <w:rFonts w:hint="default" w:ascii="Times New Roman" w:hAnsi="Times New Roman" w:eastAsia="宋体" w:cs="Times New Roman"/>
                <w:color w:val="auto"/>
                <w:sz w:val="24"/>
                <w:szCs w:val="24"/>
              </w:rPr>
              <w:t>日对加油站区域环境内监测结果，本项目厂址和下风向的非甲烷总烃浓度均低于检出限浓度，非甲烷总烃浓度满足《环境空气质量 非甲烷总烃限值》(DB13/1577-2012)中二级标准浓度限值要求。其他污染物补充监测点位基本信息见表3-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，其他污染物环境质量现状（监测结果）见表3-</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，其他污染物环境空气质量现状监测布点见图3-1</w:t>
            </w:r>
            <w:r>
              <w:rPr>
                <w:rFonts w:hint="default" w:ascii="Times New Roman" w:hAnsi="Times New Roman" w:eastAsia="宋体" w:cs="Times New Roman"/>
                <w:color w:val="auto"/>
                <w:sz w:val="24"/>
                <w:szCs w:val="24"/>
                <w:highlight w:val="none"/>
              </w:rPr>
              <w:t>。</w:t>
            </w:r>
          </w:p>
          <w:p>
            <w:pPr>
              <w:pStyle w:val="34"/>
              <w:spacing w:line="360" w:lineRule="auto"/>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表3-</w:t>
            </w:r>
            <w:r>
              <w:rPr>
                <w:rFonts w:hint="eastAsia" w:ascii="Times New Roman" w:cs="Times New Roman"/>
                <w:b/>
                <w:bCs/>
                <w:color w:val="auto"/>
                <w:kern w:val="2"/>
                <w:sz w:val="24"/>
                <w:szCs w:val="24"/>
                <w:highlight w:val="none"/>
                <w:lang w:val="en-US" w:eastAsia="zh-CN"/>
              </w:rPr>
              <w:t>2</w:t>
            </w:r>
            <w:r>
              <w:rPr>
                <w:rFonts w:hint="default" w:ascii="Times New Roman" w:hAnsi="Times New Roman" w:eastAsia="宋体" w:cs="Times New Roman"/>
                <w:b/>
                <w:bCs/>
                <w:color w:val="auto"/>
                <w:kern w:val="2"/>
                <w:sz w:val="24"/>
                <w:szCs w:val="24"/>
                <w:highlight w:val="none"/>
              </w:rPr>
              <w:t xml:space="preserve"> 其他污染物补充监测点位基本信息</w:t>
            </w:r>
          </w:p>
          <w:tbl>
            <w:tblPr>
              <w:tblStyle w:val="28"/>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886"/>
              <w:gridCol w:w="759"/>
              <w:gridCol w:w="1281"/>
              <w:gridCol w:w="1966"/>
              <w:gridCol w:w="1375"/>
              <w:gridCol w:w="1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56"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监测点名称</w:t>
                  </w:r>
                </w:p>
              </w:tc>
              <w:tc>
                <w:tcPr>
                  <w:tcW w:w="1703" w:type="dxa"/>
                  <w:gridSpan w:val="2"/>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监测点坐标/m</w:t>
                  </w:r>
                </w:p>
              </w:tc>
              <w:tc>
                <w:tcPr>
                  <w:tcW w:w="1336"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监测因子</w:t>
                  </w:r>
                </w:p>
              </w:tc>
              <w:tc>
                <w:tcPr>
                  <w:tcW w:w="1669"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监测时段</w:t>
                  </w:r>
                </w:p>
              </w:tc>
              <w:tc>
                <w:tcPr>
                  <w:tcW w:w="1436"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相对厂址方位</w:t>
                  </w:r>
                </w:p>
              </w:tc>
              <w:tc>
                <w:tcPr>
                  <w:tcW w:w="1726"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56"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p>
              </w:tc>
              <w:tc>
                <w:tcPr>
                  <w:tcW w:w="919"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X</w:t>
                  </w:r>
                </w:p>
              </w:tc>
              <w:tc>
                <w:tcPr>
                  <w:tcW w:w="784"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Y</w:t>
                  </w:r>
                </w:p>
              </w:tc>
              <w:tc>
                <w:tcPr>
                  <w:tcW w:w="1336"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p>
              </w:tc>
              <w:tc>
                <w:tcPr>
                  <w:tcW w:w="1669"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p>
              </w:tc>
              <w:tc>
                <w:tcPr>
                  <w:tcW w:w="1436"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p>
              </w:tc>
              <w:tc>
                <w:tcPr>
                  <w:tcW w:w="1726"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6"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厂址</w:t>
                  </w:r>
                  <w:r>
                    <w:rPr>
                      <w:rFonts w:hint="default" w:ascii="Times New Roman" w:hAnsi="Times New Roman" w:eastAsia="宋体" w:cs="Times New Roman"/>
                      <w:color w:val="auto"/>
                      <w:kern w:val="2"/>
                      <w:sz w:val="21"/>
                      <w:szCs w:val="21"/>
                      <w:highlight w:val="none"/>
                    </w:rPr>
                    <w:t>1#</w:t>
                  </w:r>
                </w:p>
              </w:tc>
              <w:tc>
                <w:tcPr>
                  <w:tcW w:w="919"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84"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1336"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非甲烷总烃</w:t>
                  </w:r>
                </w:p>
              </w:tc>
              <w:tc>
                <w:tcPr>
                  <w:tcW w:w="1669" w:type="dxa"/>
                  <w:vAlign w:val="center"/>
                </w:tcPr>
                <w:p>
                  <w:pPr>
                    <w:pStyle w:val="34"/>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20</w:t>
                  </w:r>
                  <w:r>
                    <w:rPr>
                      <w:rFonts w:hint="default" w:ascii="Times New Roman" w:hAnsi="Times New Roman" w:eastAsia="宋体" w:cs="Times New Roman"/>
                      <w:color w:val="auto"/>
                      <w:kern w:val="2"/>
                      <w:sz w:val="21"/>
                      <w:szCs w:val="21"/>
                      <w:highlight w:val="none"/>
                      <w:lang w:val="en-US" w:eastAsia="zh-CN"/>
                    </w:rPr>
                    <w:t>20</w:t>
                  </w:r>
                  <w:r>
                    <w:rPr>
                      <w:rFonts w:hint="default" w:ascii="Times New Roman" w:hAnsi="Times New Roman" w:eastAsia="宋体" w:cs="Times New Roman"/>
                      <w:color w:val="auto"/>
                      <w:kern w:val="2"/>
                      <w:sz w:val="21"/>
                      <w:szCs w:val="21"/>
                      <w:highlight w:val="none"/>
                    </w:rPr>
                    <w:t>.0</w:t>
                  </w:r>
                  <w:r>
                    <w:rPr>
                      <w:rFonts w:hint="eastAsia" w:ascii="Times New Roman"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-20</w:t>
                  </w:r>
                  <w:r>
                    <w:rPr>
                      <w:rFonts w:hint="default" w:ascii="Times New Roman" w:hAnsi="Times New Roman" w:eastAsia="宋体" w:cs="Times New Roman"/>
                      <w:color w:val="auto"/>
                      <w:kern w:val="2"/>
                      <w:sz w:val="21"/>
                      <w:szCs w:val="21"/>
                      <w:highlight w:val="none"/>
                      <w:lang w:val="en-US" w:eastAsia="zh-CN"/>
                    </w:rPr>
                    <w:t>20</w:t>
                  </w:r>
                  <w:r>
                    <w:rPr>
                      <w:rFonts w:hint="default" w:ascii="Times New Roman" w:hAnsi="Times New Roman" w:eastAsia="宋体" w:cs="Times New Roman"/>
                      <w:color w:val="auto"/>
                      <w:kern w:val="2"/>
                      <w:sz w:val="21"/>
                      <w:szCs w:val="21"/>
                      <w:highlight w:val="none"/>
                    </w:rPr>
                    <w:t>.0</w:t>
                  </w:r>
                  <w:r>
                    <w:rPr>
                      <w:rFonts w:hint="eastAsia" w:ascii="Times New Roman"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w:t>
                  </w:r>
                  <w:r>
                    <w:rPr>
                      <w:rFonts w:hint="eastAsia" w:ascii="Times New Roman" w:cs="Times New Roman"/>
                      <w:color w:val="auto"/>
                      <w:kern w:val="2"/>
                      <w:sz w:val="21"/>
                      <w:szCs w:val="21"/>
                      <w:highlight w:val="none"/>
                      <w:lang w:val="en-US" w:eastAsia="zh-CN"/>
                    </w:rPr>
                    <w:t>7</w:t>
                  </w:r>
                </w:p>
              </w:tc>
              <w:tc>
                <w:tcPr>
                  <w:tcW w:w="1436"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厂址</w:t>
                  </w:r>
                </w:p>
              </w:tc>
              <w:tc>
                <w:tcPr>
                  <w:tcW w:w="1726"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r>
          </w:tbl>
          <w:p>
            <w:pPr>
              <w:pStyle w:val="34"/>
              <w:spacing w:line="360" w:lineRule="auto"/>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表3-</w:t>
            </w:r>
            <w:r>
              <w:rPr>
                <w:rFonts w:hint="eastAsia" w:ascii="Times New Roman" w:cs="Times New Roman"/>
                <w:b/>
                <w:bCs/>
                <w:color w:val="auto"/>
                <w:kern w:val="2"/>
                <w:sz w:val="24"/>
                <w:szCs w:val="24"/>
                <w:highlight w:val="none"/>
                <w:lang w:val="en-US" w:eastAsia="zh-CN"/>
              </w:rPr>
              <w:t>3</w:t>
            </w:r>
            <w:r>
              <w:rPr>
                <w:rFonts w:hint="default" w:ascii="Times New Roman" w:hAnsi="Times New Roman" w:eastAsia="宋体" w:cs="Times New Roman"/>
                <w:b/>
                <w:bCs/>
                <w:color w:val="auto"/>
                <w:kern w:val="2"/>
                <w:sz w:val="24"/>
                <w:szCs w:val="24"/>
                <w:highlight w:val="none"/>
              </w:rPr>
              <w:t xml:space="preserve"> 其他污染物环境质量现状（监测结果）表</w:t>
            </w:r>
          </w:p>
          <w:tbl>
            <w:tblPr>
              <w:tblStyle w:val="28"/>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613"/>
              <w:gridCol w:w="667"/>
              <w:gridCol w:w="1383"/>
              <w:gridCol w:w="717"/>
              <w:gridCol w:w="950"/>
              <w:gridCol w:w="1317"/>
              <w:gridCol w:w="883"/>
              <w:gridCol w:w="933"/>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83"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监测点位</w:t>
                  </w:r>
                </w:p>
              </w:tc>
              <w:tc>
                <w:tcPr>
                  <w:tcW w:w="1280" w:type="dxa"/>
                  <w:gridSpan w:val="2"/>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监测点坐标/m</w:t>
                  </w:r>
                </w:p>
              </w:tc>
              <w:tc>
                <w:tcPr>
                  <w:tcW w:w="1383"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污染物</w:t>
                  </w:r>
                </w:p>
              </w:tc>
              <w:tc>
                <w:tcPr>
                  <w:tcW w:w="717"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评价时间</w:t>
                  </w:r>
                </w:p>
              </w:tc>
              <w:tc>
                <w:tcPr>
                  <w:tcW w:w="950"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评价标准/(μg/m</w:t>
                  </w:r>
                  <w:r>
                    <w:rPr>
                      <w:rFonts w:hint="default" w:ascii="Times New Roman" w:hAnsi="Times New Roman" w:eastAsia="宋体" w:cs="Times New Roman"/>
                      <w:color w:val="auto"/>
                      <w:kern w:val="2"/>
                      <w:sz w:val="21"/>
                      <w:szCs w:val="21"/>
                      <w:highlight w:val="none"/>
                      <w:shd w:val="clear" w:color="auto" w:fill="auto"/>
                      <w:vertAlign w:val="superscript"/>
                    </w:rPr>
                    <w:t>3</w:t>
                  </w:r>
                  <w:r>
                    <w:rPr>
                      <w:rFonts w:hint="default" w:ascii="Times New Roman" w:hAnsi="Times New Roman" w:eastAsia="宋体" w:cs="Times New Roman"/>
                      <w:color w:val="auto"/>
                      <w:kern w:val="2"/>
                      <w:sz w:val="21"/>
                      <w:szCs w:val="21"/>
                      <w:highlight w:val="none"/>
                      <w:shd w:val="clear" w:color="auto" w:fill="auto"/>
                    </w:rPr>
                    <w:t>)</w:t>
                  </w:r>
                </w:p>
              </w:tc>
              <w:tc>
                <w:tcPr>
                  <w:tcW w:w="1317"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监测浓度范围/(μg/m</w:t>
                  </w:r>
                  <w:r>
                    <w:rPr>
                      <w:rFonts w:hint="default" w:ascii="Times New Roman" w:hAnsi="Times New Roman" w:eastAsia="宋体" w:cs="Times New Roman"/>
                      <w:color w:val="auto"/>
                      <w:kern w:val="2"/>
                      <w:sz w:val="21"/>
                      <w:szCs w:val="21"/>
                      <w:highlight w:val="none"/>
                      <w:shd w:val="clear" w:color="auto" w:fill="auto"/>
                      <w:vertAlign w:val="superscript"/>
                    </w:rPr>
                    <w:t>3</w:t>
                  </w:r>
                  <w:r>
                    <w:rPr>
                      <w:rFonts w:hint="default" w:ascii="Times New Roman" w:hAnsi="Times New Roman" w:eastAsia="宋体" w:cs="Times New Roman"/>
                      <w:color w:val="auto"/>
                      <w:kern w:val="2"/>
                      <w:sz w:val="21"/>
                      <w:szCs w:val="21"/>
                      <w:highlight w:val="none"/>
                      <w:shd w:val="clear" w:color="auto" w:fill="auto"/>
                    </w:rPr>
                    <w:t>)</w:t>
                  </w:r>
                </w:p>
              </w:tc>
              <w:tc>
                <w:tcPr>
                  <w:tcW w:w="883"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最大浓度占标率/%</w:t>
                  </w:r>
                </w:p>
              </w:tc>
              <w:tc>
                <w:tcPr>
                  <w:tcW w:w="933"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超标率/%</w:t>
                  </w:r>
                </w:p>
              </w:tc>
              <w:tc>
                <w:tcPr>
                  <w:tcW w:w="680" w:type="dxa"/>
                  <w:vMerge w:val="restart"/>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3"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613"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X</w:t>
                  </w:r>
                </w:p>
              </w:tc>
              <w:tc>
                <w:tcPr>
                  <w:tcW w:w="667"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Y</w:t>
                  </w:r>
                </w:p>
              </w:tc>
              <w:tc>
                <w:tcPr>
                  <w:tcW w:w="1383"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717"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950"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1317"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883"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933"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c>
                <w:tcPr>
                  <w:tcW w:w="680" w:type="dxa"/>
                  <w:vMerge w:val="continue"/>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val="en-US" w:eastAsia="zh-CN"/>
                    </w:rPr>
                    <w:t>厂址</w:t>
                  </w:r>
                  <w:r>
                    <w:rPr>
                      <w:rFonts w:hint="default" w:ascii="Times New Roman" w:hAnsi="Times New Roman" w:eastAsia="宋体" w:cs="Times New Roman"/>
                      <w:color w:val="auto"/>
                      <w:kern w:val="2"/>
                      <w:sz w:val="21"/>
                      <w:szCs w:val="21"/>
                      <w:highlight w:val="none"/>
                      <w:shd w:val="clear" w:color="auto" w:fill="auto"/>
                    </w:rPr>
                    <w:t>1#</w:t>
                  </w:r>
                </w:p>
              </w:tc>
              <w:tc>
                <w:tcPr>
                  <w:tcW w:w="613"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val="en-US" w:eastAsia="zh-CN"/>
                    </w:rPr>
                    <w:t>--</w:t>
                  </w:r>
                </w:p>
              </w:tc>
              <w:tc>
                <w:tcPr>
                  <w:tcW w:w="667"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val="en-US" w:eastAsia="zh-CN"/>
                    </w:rPr>
                    <w:t>--</w:t>
                  </w:r>
                </w:p>
              </w:tc>
              <w:tc>
                <w:tcPr>
                  <w:tcW w:w="1383" w:type="dxa"/>
                  <w:vAlign w:val="center"/>
                </w:tcPr>
                <w:p>
                  <w:pPr>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非甲烷总烃</w:t>
                  </w:r>
                </w:p>
              </w:tc>
              <w:tc>
                <w:tcPr>
                  <w:tcW w:w="717"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1h</w:t>
                  </w:r>
                </w:p>
              </w:tc>
              <w:tc>
                <w:tcPr>
                  <w:tcW w:w="950"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2000</w:t>
                  </w:r>
                </w:p>
              </w:tc>
              <w:tc>
                <w:tcPr>
                  <w:tcW w:w="1317"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ascii="Times New Roman" w:cs="Times New Roman"/>
                      <w:color w:val="auto"/>
                      <w:sz w:val="21"/>
                      <w:szCs w:val="21"/>
                      <w:shd w:val="clear" w:color="auto" w:fill="auto"/>
                      <w:lang w:val="en-US" w:eastAsia="zh-CN"/>
                    </w:rPr>
                    <w:t>0.07L</w:t>
                  </w:r>
                </w:p>
              </w:tc>
              <w:tc>
                <w:tcPr>
                  <w:tcW w:w="883"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ascii="Times New Roman" w:cs="Times New Roman"/>
                      <w:color w:val="auto"/>
                      <w:kern w:val="2"/>
                      <w:sz w:val="21"/>
                      <w:szCs w:val="21"/>
                      <w:highlight w:val="none"/>
                      <w:shd w:val="clear" w:color="auto" w:fill="auto"/>
                      <w:lang w:val="en-US" w:eastAsia="zh-CN"/>
                    </w:rPr>
                    <w:t>--</w:t>
                  </w:r>
                </w:p>
              </w:tc>
              <w:tc>
                <w:tcPr>
                  <w:tcW w:w="933" w:type="dxa"/>
                  <w:vAlign w:val="center"/>
                </w:tcPr>
                <w:p>
                  <w:pPr>
                    <w:pStyle w:val="34"/>
                    <w:spacing w:line="240" w:lineRule="auto"/>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0</w:t>
                  </w:r>
                </w:p>
              </w:tc>
              <w:tc>
                <w:tcPr>
                  <w:tcW w:w="680" w:type="dxa"/>
                  <w:vAlign w:val="center"/>
                </w:tcPr>
                <w:p>
                  <w:pPr>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达标</w:t>
                  </w:r>
                </w:p>
              </w:tc>
            </w:tr>
          </w:tbl>
          <w:p>
            <w:pPr>
              <w:pStyle w:val="34"/>
              <w:spacing w:line="360" w:lineRule="auto"/>
              <w:jc w:val="center"/>
              <w:rPr>
                <w:rFonts w:hint="default" w:ascii="Times New Roman" w:hAnsi="Times New Roman" w:eastAsia="宋体" w:cs="Times New Roman"/>
                <w:color w:val="auto"/>
                <w:kern w:val="2"/>
                <w:sz w:val="24"/>
                <w:szCs w:val="24"/>
                <w:highlight w:val="none"/>
              </w:rPr>
            </w:pPr>
            <w:r>
              <w:rPr>
                <w:rFonts w:hint="eastAsia" w:ascii="Times New Roman" w:hAnsi="Times New Roman" w:eastAsia="宋体" w:cs="Times New Roman"/>
                <w:b/>
                <w:color w:val="auto"/>
                <w:sz w:val="24"/>
                <w:szCs w:val="24"/>
                <w:highlight w:val="none"/>
                <w:lang w:eastAsia="zh-CN"/>
              </w:rPr>
              <w:drawing>
                <wp:anchor distT="0" distB="0" distL="114300" distR="114300" simplePos="0" relativeHeight="1416059904" behindDoc="0" locked="0" layoutInCell="1" allowOverlap="1">
                  <wp:simplePos x="0" y="0"/>
                  <wp:positionH relativeFrom="column">
                    <wp:posOffset>4418330</wp:posOffset>
                  </wp:positionH>
                  <wp:positionV relativeFrom="paragraph">
                    <wp:posOffset>67310</wp:posOffset>
                  </wp:positionV>
                  <wp:extent cx="1038225" cy="1095375"/>
                  <wp:effectExtent l="0" t="0" r="9525" b="9525"/>
                  <wp:wrapNone/>
                  <wp:docPr id="21" name="图片 21" descr="1589875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9875661(1)"/>
                          <pic:cNvPicPr>
                            <a:picLocks noChangeAspect="1"/>
                          </pic:cNvPicPr>
                        </pic:nvPicPr>
                        <pic:blipFill>
                          <a:blip r:embed="rId10"/>
                          <a:stretch>
                            <a:fillRect/>
                          </a:stretch>
                        </pic:blipFill>
                        <pic:spPr>
                          <a:xfrm>
                            <a:off x="0" y="0"/>
                            <a:ext cx="1038225" cy="1095375"/>
                          </a:xfrm>
                          <a:prstGeom prst="rect">
                            <a:avLst/>
                          </a:prstGeom>
                        </pic:spPr>
                      </pic:pic>
                    </a:graphicData>
                  </a:graphic>
                </wp:anchor>
              </w:drawing>
            </w:r>
            <w:r>
              <w:rPr>
                <w:rFonts w:ascii="Times New Roman" w:hAnsi="Times New Roman"/>
                <w:color w:val="auto"/>
              </w:rPr>
              <w:drawing>
                <wp:inline distT="0" distB="0" distL="114300" distR="114300">
                  <wp:extent cx="5431790" cy="4225290"/>
                  <wp:effectExtent l="0" t="0" r="16510" b="381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1"/>
                          <a:stretch>
                            <a:fillRect/>
                          </a:stretch>
                        </pic:blipFill>
                        <pic:spPr>
                          <a:xfrm>
                            <a:off x="0" y="0"/>
                            <a:ext cx="5431790" cy="4225290"/>
                          </a:xfrm>
                          <a:prstGeom prst="rect">
                            <a:avLst/>
                          </a:prstGeom>
                          <a:noFill/>
                          <a:ln>
                            <a:noFill/>
                          </a:ln>
                        </pic:spPr>
                      </pic:pic>
                    </a:graphicData>
                  </a:graphic>
                </wp:inline>
              </w:drawing>
            </w:r>
          </w:p>
          <w:p>
            <w:pPr>
              <w:pStyle w:val="34"/>
              <w:spacing w:line="360" w:lineRule="auto"/>
              <w:jc w:val="center"/>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图3-1 环境空气现状布点图</w:t>
            </w:r>
          </w:p>
          <w:p>
            <w:pPr>
              <w:numPr>
                <w:ilvl w:val="0"/>
                <w:numId w:val="4"/>
              </w:num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地表水环境质量现状</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本项目参考《佳木斯海事局同江海事工作船码头工程修复工程项目》环评报告中地表水监测数据。</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（1）监测点位</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根据建设项目所处地表水系为松花江，本项目监测点位设置在拟建码头上游1km，拟建码头及拟建码头下游3km进行监测。具体监测点位置见表</w:t>
            </w:r>
            <w:r>
              <w:rPr>
                <w:rFonts w:hint="default" w:ascii="Times New Roman" w:hAnsi="Times New Roman" w:cs="Times New Roman"/>
                <w:kern w:val="2"/>
                <w:sz w:val="24"/>
                <w:szCs w:val="24"/>
                <w:lang w:val="en-US" w:eastAsia="zh-CN"/>
              </w:rPr>
              <w:t>3-4</w:t>
            </w:r>
            <w:r>
              <w:rPr>
                <w:rFonts w:hint="default" w:ascii="Times New Roman" w:hAnsi="Times New Roman" w:cs="Times New Roman"/>
                <w:kern w:val="2"/>
                <w:sz w:val="24"/>
                <w:szCs w:val="24"/>
              </w:rPr>
              <w:t>及图3</w:t>
            </w:r>
            <w:r>
              <w:rPr>
                <w:rFonts w:hint="default" w:ascii="Times New Roman" w:hAnsi="Times New Roman" w:cs="Times New Roman"/>
                <w:kern w:val="2"/>
                <w:sz w:val="24"/>
                <w:szCs w:val="24"/>
                <w:lang w:val="en-US" w:eastAsia="zh-CN"/>
              </w:rPr>
              <w:t>-2</w:t>
            </w:r>
            <w:r>
              <w:rPr>
                <w:rFonts w:hint="default" w:ascii="Times New Roman" w:hAnsi="Times New Roman" w:cs="Times New Roman"/>
                <w:kern w:val="2"/>
                <w:sz w:val="24"/>
                <w:szCs w:val="24"/>
              </w:rPr>
              <w:t>。</w:t>
            </w:r>
          </w:p>
          <w:p>
            <w:pPr>
              <w:adjustRightInd w:val="0"/>
              <w:snapToGrid w:val="0"/>
              <w:spacing w:before="312" w:beforeLines="100" w:line="240" w:lineRule="auto"/>
              <w:jc w:val="center"/>
              <w:rPr>
                <w:rFonts w:hint="default" w:ascii="Times New Roman" w:hAnsi="Times New Roman" w:eastAsia="宋体" w:cs="Times New Roman"/>
                <w:b/>
                <w:kern w:val="0"/>
              </w:rPr>
            </w:pPr>
          </w:p>
          <w:p>
            <w:pPr>
              <w:adjustRightInd w:val="0"/>
              <w:snapToGrid w:val="0"/>
              <w:spacing w:before="312" w:beforeLines="100" w:line="240" w:lineRule="auto"/>
              <w:jc w:val="center"/>
              <w:rPr>
                <w:rFonts w:hint="default" w:ascii="Times New Roman" w:hAnsi="Times New Roman" w:eastAsia="宋体" w:cs="Times New Roman"/>
                <w:b/>
                <w:kern w:val="0"/>
              </w:rPr>
            </w:pPr>
            <w:r>
              <w:rPr>
                <w:rFonts w:hint="default" w:ascii="Times New Roman" w:hAnsi="Times New Roman" w:eastAsia="宋体" w:cs="Times New Roman"/>
                <w:b/>
                <w:kern w:val="0"/>
              </w:rPr>
              <w:t>表</w:t>
            </w:r>
            <w:r>
              <w:rPr>
                <w:rFonts w:hint="default" w:ascii="Times New Roman" w:hAnsi="Times New Roman" w:eastAsia="宋体" w:cs="Times New Roman"/>
                <w:b/>
                <w:kern w:val="0"/>
                <w:lang w:val="en-US" w:eastAsia="zh-CN"/>
              </w:rPr>
              <w:t>3-4</w:t>
            </w:r>
            <w:r>
              <w:rPr>
                <w:rFonts w:hint="default" w:ascii="Times New Roman" w:hAnsi="Times New Roman" w:eastAsia="宋体" w:cs="Times New Roman"/>
                <w:b/>
                <w:kern w:val="0"/>
              </w:rPr>
              <w:t xml:space="preserve"> 松花江环境质量现状监测点位</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5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42" w:type="dxa"/>
                  <w:noWrap w:val="0"/>
                  <w:vAlign w:val="center"/>
                </w:tcPr>
                <w:p>
                  <w:pPr>
                    <w:pStyle w:val="62"/>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地表水名称</w:t>
                  </w:r>
                </w:p>
              </w:tc>
              <w:tc>
                <w:tcPr>
                  <w:tcW w:w="5480" w:type="dxa"/>
                  <w:noWrap w:val="0"/>
                  <w:vAlign w:val="center"/>
                </w:tcPr>
                <w:p>
                  <w:pPr>
                    <w:pStyle w:val="62"/>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042" w:type="dxa"/>
                  <w:vMerge w:val="restart"/>
                  <w:noWrap w:val="0"/>
                  <w:vAlign w:val="center"/>
                </w:tcPr>
                <w:p>
                  <w:pPr>
                    <w:pStyle w:val="62"/>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松花江</w:t>
                  </w:r>
                </w:p>
              </w:tc>
              <w:tc>
                <w:tcPr>
                  <w:tcW w:w="5480" w:type="dxa"/>
                  <w:noWrap w:val="0"/>
                  <w:vAlign w:val="center"/>
                </w:tcPr>
                <w:p>
                  <w:pPr>
                    <w:pStyle w:val="62"/>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1#拟选码头上游1000m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42" w:type="dxa"/>
                  <w:vMerge w:val="continue"/>
                  <w:noWrap w:val="0"/>
                  <w:vAlign w:val="center"/>
                </w:tcPr>
                <w:p>
                  <w:pPr>
                    <w:pStyle w:val="62"/>
                    <w:adjustRightInd w:val="0"/>
                    <w:snapToGrid w:val="0"/>
                    <w:spacing w:line="240" w:lineRule="auto"/>
                    <w:rPr>
                      <w:rFonts w:hint="default" w:ascii="Times New Roman" w:hAnsi="Times New Roman" w:eastAsia="宋体" w:cs="Times New Roman"/>
                      <w:sz w:val="21"/>
                      <w:szCs w:val="21"/>
                    </w:rPr>
                  </w:pPr>
                </w:p>
              </w:tc>
              <w:tc>
                <w:tcPr>
                  <w:tcW w:w="5480" w:type="dxa"/>
                  <w:noWrap w:val="0"/>
                  <w:vAlign w:val="center"/>
                </w:tcPr>
                <w:p>
                  <w:pPr>
                    <w:pStyle w:val="62"/>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2#拟选码头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042" w:type="dxa"/>
                  <w:vMerge w:val="continue"/>
                  <w:noWrap w:val="0"/>
                  <w:vAlign w:val="center"/>
                </w:tcPr>
                <w:p>
                  <w:pPr>
                    <w:pStyle w:val="62"/>
                    <w:adjustRightInd w:val="0"/>
                    <w:snapToGrid w:val="0"/>
                    <w:spacing w:line="240" w:lineRule="auto"/>
                    <w:rPr>
                      <w:rFonts w:hint="default" w:ascii="Times New Roman" w:hAnsi="Times New Roman" w:eastAsia="宋体" w:cs="Times New Roman"/>
                      <w:sz w:val="21"/>
                      <w:szCs w:val="21"/>
                    </w:rPr>
                  </w:pPr>
                </w:p>
              </w:tc>
              <w:tc>
                <w:tcPr>
                  <w:tcW w:w="5480" w:type="dxa"/>
                  <w:noWrap w:val="0"/>
                  <w:vAlign w:val="center"/>
                </w:tcPr>
                <w:p>
                  <w:pPr>
                    <w:pStyle w:val="62"/>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3#拟选码头下游3000m</w:t>
                  </w:r>
                </w:p>
              </w:tc>
            </w:tr>
          </w:tbl>
          <w:p>
            <w:pPr>
              <w:spacing w:line="500" w:lineRule="exact"/>
              <w:rPr>
                <w:kern w:val="18"/>
                <w:sz w:val="32"/>
                <w:szCs w:val="32"/>
              </w:rPr>
            </w:pPr>
            <w:r>
              <w:rPr>
                <w:rFonts w:hint="eastAsia" w:eastAsia="宋体"/>
                <w:b/>
                <w:lang w:eastAsia="zh-CN"/>
              </w:rPr>
              <w:drawing>
                <wp:anchor distT="0" distB="0" distL="114300" distR="114300" simplePos="0" relativeHeight="1416145920" behindDoc="0" locked="0" layoutInCell="1" allowOverlap="1">
                  <wp:simplePos x="0" y="0"/>
                  <wp:positionH relativeFrom="column">
                    <wp:posOffset>4645025</wp:posOffset>
                  </wp:positionH>
                  <wp:positionV relativeFrom="paragraph">
                    <wp:posOffset>167005</wp:posOffset>
                  </wp:positionV>
                  <wp:extent cx="776605" cy="819785"/>
                  <wp:effectExtent l="0" t="0" r="4445" b="18415"/>
                  <wp:wrapNone/>
                  <wp:docPr id="26" name="图片 26" descr="158987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89876079"/>
                          <pic:cNvPicPr>
                            <a:picLocks noChangeAspect="1"/>
                          </pic:cNvPicPr>
                        </pic:nvPicPr>
                        <pic:blipFill>
                          <a:blip r:embed="rId12"/>
                          <a:stretch>
                            <a:fillRect/>
                          </a:stretch>
                        </pic:blipFill>
                        <pic:spPr>
                          <a:xfrm>
                            <a:off x="0" y="0"/>
                            <a:ext cx="776605" cy="819785"/>
                          </a:xfrm>
                          <a:prstGeom prst="rect">
                            <a:avLst/>
                          </a:prstGeom>
                        </pic:spPr>
                      </pic:pic>
                    </a:graphicData>
                  </a:graphic>
                </wp:anchor>
              </w:drawing>
            </w:r>
            <w:r>
              <w:rPr>
                <w:kern w:val="18"/>
                <w:sz w:val="32"/>
                <w:szCs w:val="32"/>
              </w:rPr>
              <w:drawing>
                <wp:anchor distT="0" distB="0" distL="114300" distR="114300" simplePos="0" relativeHeight="1416144896" behindDoc="0" locked="0" layoutInCell="1" allowOverlap="1">
                  <wp:simplePos x="0" y="0"/>
                  <wp:positionH relativeFrom="column">
                    <wp:posOffset>76200</wp:posOffset>
                  </wp:positionH>
                  <wp:positionV relativeFrom="paragraph">
                    <wp:posOffset>174625</wp:posOffset>
                  </wp:positionV>
                  <wp:extent cx="5352415" cy="3218815"/>
                  <wp:effectExtent l="0" t="0" r="635" b="635"/>
                  <wp:wrapNone/>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3"/>
                          <a:stretch>
                            <a:fillRect/>
                          </a:stretch>
                        </pic:blipFill>
                        <pic:spPr>
                          <a:xfrm>
                            <a:off x="0" y="0"/>
                            <a:ext cx="5352415" cy="3218815"/>
                          </a:xfrm>
                          <a:prstGeom prst="rect">
                            <a:avLst/>
                          </a:prstGeom>
                          <a:noFill/>
                          <a:ln>
                            <a:noFill/>
                          </a:ln>
                        </pic:spPr>
                      </pic:pic>
                    </a:graphicData>
                  </a:graphic>
                </wp:anchor>
              </w:drawing>
            </w:r>
          </w:p>
          <w:p>
            <w:pPr>
              <w:spacing w:line="500" w:lineRule="exact"/>
              <w:rPr>
                <w:kern w:val="18"/>
                <w:sz w:val="32"/>
                <w:szCs w:val="32"/>
              </w:rPr>
            </w:pPr>
          </w:p>
          <w:p>
            <w:pPr>
              <w:tabs>
                <w:tab w:val="left" w:pos="7109"/>
              </w:tabs>
              <w:spacing w:line="500" w:lineRule="exact"/>
              <w:rPr>
                <w:kern w:val="18"/>
                <w:sz w:val="32"/>
                <w:szCs w:val="32"/>
              </w:rPr>
            </w:pPr>
            <w:r>
              <w:rPr>
                <w:kern w:val="18"/>
                <w:sz w:val="32"/>
                <w:szCs w:val="32"/>
              </w:rPr>
              <w:tab/>
            </w:r>
          </w:p>
          <w:p>
            <w:pPr>
              <w:spacing w:line="500" w:lineRule="exact"/>
              <w:rPr>
                <w:kern w:val="18"/>
                <w:sz w:val="32"/>
                <w:szCs w:val="32"/>
              </w:rPr>
            </w:pPr>
          </w:p>
          <w:p>
            <w:pPr>
              <w:spacing w:line="500" w:lineRule="exact"/>
              <w:rPr>
                <w:kern w:val="18"/>
                <w:sz w:val="32"/>
                <w:szCs w:val="32"/>
              </w:rPr>
            </w:pPr>
          </w:p>
          <w:p>
            <w:pPr>
              <w:spacing w:line="500" w:lineRule="exact"/>
              <w:rPr>
                <w:kern w:val="18"/>
                <w:sz w:val="32"/>
                <w:szCs w:val="32"/>
              </w:rPr>
            </w:pPr>
          </w:p>
          <w:p>
            <w:pPr>
              <w:spacing w:line="500" w:lineRule="exact"/>
              <w:rPr>
                <w:kern w:val="18"/>
                <w:sz w:val="32"/>
                <w:szCs w:val="32"/>
              </w:rPr>
            </w:pPr>
          </w:p>
          <w:p>
            <w:pPr>
              <w:spacing w:line="500" w:lineRule="exact"/>
              <w:rPr>
                <w:kern w:val="18"/>
                <w:sz w:val="32"/>
                <w:szCs w:val="32"/>
              </w:rPr>
            </w:pPr>
          </w:p>
          <w:p>
            <w:pPr>
              <w:spacing w:line="500" w:lineRule="exact"/>
              <w:rPr>
                <w:kern w:val="18"/>
                <w:sz w:val="32"/>
                <w:szCs w:val="32"/>
              </w:rPr>
            </w:pPr>
          </w:p>
          <w:p>
            <w:pPr>
              <w:spacing w:line="500" w:lineRule="exact"/>
              <w:rPr>
                <w:kern w:val="18"/>
                <w:sz w:val="32"/>
                <w:szCs w:val="32"/>
              </w:rPr>
            </w:pPr>
          </w:p>
          <w:p>
            <w:pPr>
              <w:spacing w:line="500" w:lineRule="exact"/>
              <w:rPr>
                <w:kern w:val="18"/>
                <w:sz w:val="32"/>
                <w:szCs w:val="32"/>
              </w:rPr>
            </w:pPr>
          </w:p>
          <w:p>
            <w:pPr>
              <w:pStyle w:val="63"/>
              <w:adjustRightInd w:val="0"/>
              <w:snapToGrid w:val="0"/>
              <w:spacing w:line="360" w:lineRule="auto"/>
              <w:rPr>
                <w:rFonts w:hint="eastAsia" w:eastAsia="宋体"/>
                <w:b/>
                <w:lang w:eastAsia="zh-CN"/>
              </w:rPr>
            </w:pPr>
            <w:r>
              <w:rPr>
                <w:rFonts w:eastAsia="宋体"/>
                <w:b/>
              </w:rPr>
              <w:t>图3</w:t>
            </w:r>
            <w:r>
              <w:rPr>
                <w:rFonts w:hint="eastAsia" w:eastAsia="宋体"/>
                <w:b/>
                <w:lang w:val="en-US" w:eastAsia="zh-CN"/>
              </w:rPr>
              <w:t>-2</w:t>
            </w:r>
            <w:r>
              <w:rPr>
                <w:rFonts w:eastAsia="宋体"/>
                <w:b/>
              </w:rPr>
              <w:t xml:space="preserve"> 地表水监测点位图</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（2）监测项目与分析方法</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本次地表水环境现状监测因子共计8项，分别为：pH、高锰酸盐指数、COD、BOD5、石油类、氨氮、总磷，DO。</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监测项目分析方法见表</w:t>
            </w:r>
            <w:r>
              <w:rPr>
                <w:rFonts w:hint="eastAsia" w:ascii="Times New Roman" w:hAnsi="Times New Roman" w:cs="Times New Roman"/>
                <w:kern w:val="2"/>
                <w:sz w:val="24"/>
                <w:szCs w:val="24"/>
                <w:lang w:val="en-US" w:eastAsia="zh-CN"/>
              </w:rPr>
              <w:t>3-5</w:t>
            </w:r>
            <w:r>
              <w:rPr>
                <w:rFonts w:hint="default" w:ascii="Times New Roman" w:hAnsi="Times New Roman" w:cs="Times New Roman"/>
                <w:kern w:val="2"/>
                <w:sz w:val="24"/>
                <w:szCs w:val="24"/>
              </w:rPr>
              <w:t>。</w:t>
            </w:r>
          </w:p>
          <w:p>
            <w:pPr>
              <w:pStyle w:val="63"/>
              <w:adjustRightInd w:val="0"/>
              <w:snapToGrid w:val="0"/>
              <w:spacing w:before="156" w:beforeLines="50" w:line="240" w:lineRule="auto"/>
              <w:jc w:val="center"/>
              <w:rPr>
                <w:rFonts w:hint="default" w:ascii="Times New Roman" w:hAnsi="Times New Roman" w:eastAsia="宋体" w:cs="Times New Roman"/>
                <w:b/>
              </w:rPr>
            </w:pPr>
            <w:r>
              <w:rPr>
                <w:rFonts w:hint="default" w:ascii="Times New Roman" w:hAnsi="Times New Roman" w:eastAsia="宋体" w:cs="Times New Roman"/>
                <w:b/>
              </w:rPr>
              <w:t>表</w:t>
            </w:r>
            <w:r>
              <w:rPr>
                <w:rFonts w:hint="default" w:ascii="Times New Roman" w:hAnsi="Times New Roman" w:eastAsia="宋体" w:cs="Times New Roman"/>
                <w:b/>
                <w:lang w:val="en-US" w:eastAsia="zh-CN"/>
              </w:rPr>
              <w:t xml:space="preserve">3-5 </w:t>
            </w:r>
            <w:r>
              <w:rPr>
                <w:rFonts w:hint="default" w:ascii="Times New Roman" w:hAnsi="Times New Roman" w:eastAsia="宋体" w:cs="Times New Roman"/>
                <w:b/>
              </w:rPr>
              <w:t xml:space="preserve"> 监测项目分析方法</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68"/>
              <w:gridCol w:w="1836"/>
              <w:gridCol w:w="6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70"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017"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612"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标准方法名称及代号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3612" w:type="pct"/>
                  <w:shd w:val="solid" w:color="FFFFFF" w:fill="auto"/>
                  <w:noWrap w:val="0"/>
                  <w:vAlign w:val="center"/>
                </w:tcPr>
                <w:p>
                  <w:pPr>
                    <w:pStyle w:val="14"/>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pH的测定 玻璃电极法 GB 6920-1986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高锰酸盐指数</w:t>
                  </w:r>
                </w:p>
              </w:tc>
              <w:tc>
                <w:tcPr>
                  <w:tcW w:w="3612"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高锰酸盐指数的测定 GB 11892-1989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2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3612" w:type="pct"/>
                  <w:shd w:val="solid" w:color="FFFFFF" w:fill="auto"/>
                  <w:noWrap w:val="0"/>
                  <w:vAlign w:val="center"/>
                </w:tcPr>
                <w:p>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水质 化学需氧量的测定 重铬酸盐法HJ 828-2017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09"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3612" w:type="pct"/>
                  <w:shd w:val="solid" w:color="FFFFFF" w:fill="auto"/>
                  <w:noWrap w:val="0"/>
                  <w:vAlign w:val="center"/>
                </w:tcPr>
                <w:p>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水质 五日生化需氧量的测定 稀释与接种法HJ 505-2009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3612"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水质 石油类和动植物油类的测定 红外分光光度法HJ 637-2012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3612"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氨氮的测定 纳氏试剂分光光度法 HJ 535-2009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3612"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水质 总磷的测定 钼酸铵分光光度法GB 11893-1989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370" w:type="pct"/>
                  <w:shd w:val="clear" w:color="auto"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017"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DO</w:t>
                  </w:r>
                </w:p>
              </w:tc>
              <w:tc>
                <w:tcPr>
                  <w:tcW w:w="3612" w:type="pct"/>
                  <w:shd w:val="solid" w:color="FFFFFF" w:fill="auto"/>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溶解氧的的测定 电化学探头法 HJ 506-2009</w:t>
                  </w:r>
                </w:p>
              </w:tc>
            </w:tr>
          </w:tbl>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（3）监测时间及频率</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采样时间为2018年10月8日至9日，连续采样2天，每天各采样1次。</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（4）监测单位</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地表水环境质量现状由黑龙江省洁源检测技术有限公司进行监测。</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（5）监测统计结果</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监测结果具体见表</w:t>
            </w:r>
            <w:r>
              <w:rPr>
                <w:rFonts w:hint="eastAsia" w:ascii="Times New Roman" w:hAnsi="Times New Roman" w:cs="Times New Roman"/>
                <w:kern w:val="2"/>
                <w:sz w:val="24"/>
                <w:szCs w:val="24"/>
                <w:lang w:val="en-US" w:eastAsia="zh-CN"/>
              </w:rPr>
              <w:t>3-6</w:t>
            </w:r>
            <w:r>
              <w:rPr>
                <w:rFonts w:hint="default" w:ascii="Times New Roman" w:hAnsi="Times New Roman" w:cs="Times New Roman"/>
                <w:kern w:val="2"/>
                <w:sz w:val="24"/>
                <w:szCs w:val="24"/>
              </w:rPr>
              <w:t>。</w:t>
            </w:r>
          </w:p>
          <w:p>
            <w:pPr>
              <w:pStyle w:val="63"/>
              <w:adjustRightInd w:val="0"/>
              <w:snapToGrid w:val="0"/>
              <w:spacing w:before="156" w:beforeLines="50" w:line="240" w:lineRule="auto"/>
              <w:jc w:val="center"/>
              <w:rPr>
                <w:rFonts w:hint="default" w:ascii="Times New Roman" w:hAnsi="Times New Roman" w:eastAsia="宋体" w:cs="Times New Roman"/>
                <w:b/>
              </w:rPr>
            </w:pPr>
            <w:r>
              <w:rPr>
                <w:rFonts w:hint="eastAsia" w:ascii="Times New Roman" w:hAnsi="Times New Roman" w:eastAsia="宋体" w:cs="Times New Roman"/>
                <w:b/>
              </w:rPr>
              <w:t xml:space="preserve">  </w:t>
            </w:r>
            <w:r>
              <w:rPr>
                <w:rFonts w:hint="default" w:ascii="Times New Roman" w:hAnsi="Times New Roman" w:eastAsia="宋体" w:cs="Times New Roman"/>
                <w:b/>
              </w:rPr>
              <w:t>表</w:t>
            </w:r>
            <w:r>
              <w:rPr>
                <w:rFonts w:hint="eastAsia" w:ascii="Times New Roman" w:hAnsi="Times New Roman" w:eastAsia="宋体" w:cs="Times New Roman"/>
                <w:b/>
                <w:lang w:val="en-US" w:eastAsia="zh-CN"/>
              </w:rPr>
              <w:t>3-6</w:t>
            </w:r>
            <w:r>
              <w:rPr>
                <w:rFonts w:hint="default" w:ascii="Times New Roman" w:hAnsi="Times New Roman" w:eastAsia="宋体" w:cs="Times New Roman"/>
                <w:b/>
              </w:rPr>
              <w:t xml:space="preserve"> 地表水检测结果  单位：mg/L</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1609"/>
              <w:gridCol w:w="1154"/>
              <w:gridCol w:w="1154"/>
              <w:gridCol w:w="1159"/>
              <w:gridCol w:w="1154"/>
              <w:gridCol w:w="1154"/>
              <w:gridCol w:w="1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6" w:hRule="atLeast"/>
              </w:trPr>
              <w:tc>
                <w:tcPr>
                  <w:tcW w:w="267" w:type="pct"/>
                  <w:vMerge w:val="restar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891" w:type="pct"/>
                  <w:vMerge w:val="restar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tc>
              <w:tc>
                <w:tcPr>
                  <w:tcW w:w="1920" w:type="pct"/>
                  <w:gridSpan w:val="3"/>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2018年10月08日</w:t>
                  </w:r>
                </w:p>
              </w:tc>
              <w:tc>
                <w:tcPr>
                  <w:tcW w:w="1920" w:type="pct"/>
                  <w:gridSpan w:val="3"/>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2018年10月09日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7" w:type="pct"/>
                  <w:vMerge w:val="continue"/>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p>
              </w:tc>
              <w:tc>
                <w:tcPr>
                  <w:tcW w:w="891" w:type="pct"/>
                  <w:vMerge w:val="continue"/>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1#拟选码头上游1000m</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2#拟选码头</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3#拟选码头下游3000m</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1#拟选码头上游1000m</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2#拟选码头</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3#拟选码头下游3000m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7.08</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7.12</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7.18</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7.08</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7.12</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化学需氧量</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生化需氧量</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氨氮</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0.431</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0.454</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0.373</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0.455</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0.436</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总磷</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0.172</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0.146</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0.115</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0.164</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0.140</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高锰酸盐指数</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4.17</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4.25</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4.09</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4.21</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4.15</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石油类</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0.01L</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0.01L</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0.01L</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0.01L</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0.01L</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6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891"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DO</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9.25</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9.32</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9.34</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9.17</w:t>
                  </w:r>
                </w:p>
              </w:tc>
              <w:tc>
                <w:tcPr>
                  <w:tcW w:w="639"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9.22</w:t>
                  </w:r>
                </w:p>
              </w:tc>
              <w:tc>
                <w:tcPr>
                  <w:tcW w:w="640"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9.25</w:t>
                  </w:r>
                </w:p>
              </w:tc>
            </w:tr>
          </w:tbl>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（6）评价结果</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标准指数计算结果见表</w:t>
            </w:r>
            <w:r>
              <w:rPr>
                <w:rFonts w:hint="eastAsia" w:ascii="Times New Roman" w:hAnsi="Times New Roman" w:cs="Times New Roman"/>
                <w:kern w:val="2"/>
                <w:sz w:val="24"/>
                <w:szCs w:val="24"/>
                <w:lang w:val="en-US" w:eastAsia="zh-CN"/>
              </w:rPr>
              <w:t>3-7</w:t>
            </w:r>
            <w:r>
              <w:rPr>
                <w:rFonts w:hint="default" w:ascii="Times New Roman" w:hAnsi="Times New Roman" w:cs="Times New Roman"/>
                <w:kern w:val="2"/>
                <w:sz w:val="24"/>
                <w:szCs w:val="24"/>
              </w:rPr>
              <w:t>。</w:t>
            </w:r>
          </w:p>
          <w:p>
            <w:pPr>
              <w:pStyle w:val="64"/>
              <w:wordWrap/>
              <w:adjustRightInd w:val="0"/>
              <w:snapToGrid w:val="0"/>
              <w:spacing w:before="156" w:beforeLines="50"/>
              <w:ind w:firstLine="422"/>
              <w:jc w:val="center"/>
              <w:rPr>
                <w:rFonts w:hint="eastAsia" w:ascii="Times New Roman" w:hAnsi="Times New Roman" w:eastAsia="宋体" w:cs="Times New Roman"/>
                <w:b/>
                <w:kern w:val="0"/>
                <w:sz w:val="24"/>
                <w:szCs w:val="22"/>
                <w:lang w:val="en-US" w:eastAsia="zh-CN" w:bidi="ar-SA"/>
              </w:rPr>
            </w:pPr>
            <w:r>
              <w:rPr>
                <w:rFonts w:hint="eastAsia" w:ascii="Times New Roman" w:hAnsi="Times New Roman" w:eastAsia="宋体" w:cs="Times New Roman"/>
                <w:b/>
                <w:kern w:val="0"/>
                <w:sz w:val="24"/>
                <w:szCs w:val="22"/>
                <w:lang w:val="en-US" w:eastAsia="zh-CN" w:bidi="ar-SA"/>
              </w:rPr>
              <w:t>表3-7 标准指数计算结果</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742"/>
              <w:gridCol w:w="1240"/>
              <w:gridCol w:w="617"/>
              <w:gridCol w:w="746"/>
              <w:gridCol w:w="773"/>
              <w:gridCol w:w="744"/>
              <w:gridCol w:w="1036"/>
              <w:gridCol w:w="904"/>
              <w:gridCol w:w="746"/>
              <w:gridCol w:w="8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72"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河流</w:t>
                  </w:r>
                </w:p>
              </w:tc>
              <w:tc>
                <w:tcPr>
                  <w:tcW w:w="411"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监测点位</w:t>
                  </w:r>
                </w:p>
              </w:tc>
              <w:tc>
                <w:tcPr>
                  <w:tcW w:w="687"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监测时间</w:t>
                  </w:r>
                </w:p>
              </w:tc>
              <w:tc>
                <w:tcPr>
                  <w:tcW w:w="3528" w:type="pct"/>
                  <w:gridSpan w:val="8"/>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标准指数S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72"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411"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687"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高锰酸盐指数</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DO</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372"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松花江</w:t>
                  </w:r>
                </w:p>
              </w:tc>
              <w:tc>
                <w:tcPr>
                  <w:tcW w:w="411"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687"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2018.10.8</w:t>
                  </w: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0.04</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0.90</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0.623</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0.43</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0.70</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0.86</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372"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411"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687"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2018.10.9</w:t>
                  </w: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0.04</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0.85</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0.65</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0.45</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0.70</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0.82</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372"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411"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687"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2018.10.8</w:t>
                  </w: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0.06</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0.80</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0.60</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0.45</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0.71</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0.73</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372"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411"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687"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2018.10.9</w:t>
                  </w: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0.06</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0.80</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0.63</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0.44</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0.69</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0.70</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372"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411" w:type="pct"/>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687"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2018.10.8</w:t>
                  </w: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0.09</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0.75</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0.37</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372"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411" w:type="pct"/>
                  <w:vMerge w:val="continue"/>
                  <w:noWrap w:val="0"/>
                  <w:vAlign w:val="center"/>
                </w:tcPr>
                <w:p>
                  <w:pPr>
                    <w:adjustRightInd w:val="0"/>
                    <w:snapToGrid w:val="0"/>
                    <w:jc w:val="center"/>
                    <w:rPr>
                      <w:rFonts w:hint="default" w:ascii="Times New Roman" w:hAnsi="Times New Roman" w:cs="Times New Roman"/>
                      <w:sz w:val="21"/>
                      <w:szCs w:val="21"/>
                    </w:rPr>
                  </w:pPr>
                </w:p>
              </w:tc>
              <w:tc>
                <w:tcPr>
                  <w:tcW w:w="687"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2018.10.9</w:t>
                  </w:r>
                </w:p>
              </w:tc>
              <w:tc>
                <w:tcPr>
                  <w:tcW w:w="34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0.09</w:t>
                  </w:r>
                </w:p>
              </w:tc>
              <w:tc>
                <w:tcPr>
                  <w:tcW w:w="413"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0.80</w:t>
                  </w:r>
                </w:p>
              </w:tc>
              <w:tc>
                <w:tcPr>
                  <w:tcW w:w="428"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0.60</w:t>
                  </w:r>
                </w:p>
              </w:tc>
              <w:tc>
                <w:tcPr>
                  <w:tcW w:w="412"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0.39</w:t>
                  </w:r>
                </w:p>
              </w:tc>
              <w:tc>
                <w:tcPr>
                  <w:tcW w:w="574" w:type="pc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501" w:type="pct"/>
                  <w:tcBorders>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0.64</w:t>
                  </w:r>
                </w:p>
              </w:tc>
              <w:tc>
                <w:tcPr>
                  <w:tcW w:w="413"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left w:val="single" w:color="auto" w:sz="4" w:space="0"/>
                  </w:tcBorders>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0.47</w:t>
                  </w:r>
                </w:p>
              </w:tc>
            </w:tr>
          </w:tbl>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（7）评价结论</w:t>
            </w:r>
          </w:p>
          <w:p>
            <w:pPr>
              <w:pStyle w:val="61"/>
              <w:adjustRightInd w:val="0"/>
              <w:snapToGrid w:val="0"/>
              <w:ind w:firstLine="560"/>
              <w:rPr>
                <w:rFonts w:hint="default" w:ascii="Times New Roman" w:hAnsi="Times New Roman" w:cs="Times New Roman"/>
                <w:kern w:val="2"/>
                <w:sz w:val="24"/>
                <w:szCs w:val="24"/>
                <w:lang w:val="en-US" w:eastAsia="zh-CN"/>
              </w:rPr>
            </w:pPr>
            <w:r>
              <w:rPr>
                <w:rFonts w:hint="default" w:ascii="Times New Roman" w:hAnsi="Times New Roman" w:cs="Times New Roman"/>
                <w:kern w:val="2"/>
                <w:sz w:val="24"/>
                <w:szCs w:val="24"/>
              </w:rPr>
              <w:t>松花江3个监测断面，各监测因子指标均满足《地表水环境质量标准》(GB3838-2002)中</w:t>
            </w:r>
            <w:r>
              <w:rPr>
                <w:rFonts w:hint="eastAsia" w:ascii="Times New Roman" w:hAnsi="Times New Roman" w:cs="Times New Roman"/>
                <w:kern w:val="2"/>
                <w:sz w:val="24"/>
                <w:szCs w:val="24"/>
              </w:rPr>
              <w:t>Ⅲ</w:t>
            </w:r>
            <w:r>
              <w:rPr>
                <w:rFonts w:hint="default" w:ascii="Times New Roman" w:hAnsi="Times New Roman" w:cs="Times New Roman"/>
                <w:kern w:val="2"/>
                <w:sz w:val="24"/>
                <w:szCs w:val="24"/>
              </w:rPr>
              <w:t>类标准要求。</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3、声环境质量现状</w:t>
            </w:r>
          </w:p>
          <w:p>
            <w:pPr>
              <w:pStyle w:val="61"/>
              <w:adjustRightInd w:val="0"/>
              <w:snapToGrid w:val="0"/>
              <w:ind w:firstLine="560"/>
              <w:rPr>
                <w:rFonts w:hint="default" w:ascii="Times New Roman" w:hAnsi="Times New Roman" w:cs="Times New Roman"/>
                <w:kern w:val="2"/>
                <w:sz w:val="24"/>
                <w:szCs w:val="24"/>
              </w:rPr>
            </w:pPr>
            <w:r>
              <w:rPr>
                <w:rFonts w:hint="default" w:ascii="Times New Roman" w:hAnsi="Times New Roman" w:cs="Times New Roman"/>
                <w:kern w:val="2"/>
                <w:sz w:val="24"/>
                <w:szCs w:val="24"/>
              </w:rPr>
              <w:t>本项目所在区域为商业、工业混合区，工业混杂，故该区域环境噪声执行2类区域标准。项目周边无其他工业企业，区域噪声值可以满足《声环境质量标准》（GB3096 -2008）中的2类标准要求。</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地下水现状评价结论</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黑龙江省星科环境监测有限公司</w:t>
            </w:r>
            <w:r>
              <w:rPr>
                <w:rFonts w:hint="default" w:ascii="Times New Roman" w:hAnsi="Times New Roman" w:eastAsia="宋体" w:cs="Times New Roman"/>
                <w:color w:val="auto"/>
                <w:sz w:val="24"/>
                <w:szCs w:val="24"/>
              </w:rPr>
              <w:t>于2019年0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u w:val="none" w:color="000000"/>
              </w:rPr>
              <w:t>现场监测</w:t>
            </w:r>
            <w:r>
              <w:rPr>
                <w:rFonts w:hint="default" w:ascii="Times New Roman" w:hAnsi="Times New Roman" w:eastAsia="宋体" w:cs="Times New Roman"/>
                <w:color w:val="auto"/>
                <w:sz w:val="24"/>
                <w:szCs w:val="24"/>
              </w:rPr>
              <w:t>，通过选取八大离子：钾、钠、钙、镁、CO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、HCO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、Cl</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；基本水质因子：pH值（无量纲）、氨氮、硝酸盐（氮）、亚硝酸盐（氮）、挥发酚、氰化物、砷、汞、铬（六价）、总硬度、铅、氟化物、镉、铁、锰、溶解性总固体、</w:t>
            </w:r>
            <w:r>
              <w:rPr>
                <w:rFonts w:hint="eastAsia" w:ascii="Times New Roman" w:hAnsi="Times New Roman" w:eastAsia="宋体" w:cs="Times New Roman"/>
                <w:color w:val="auto"/>
                <w:sz w:val="24"/>
                <w:szCs w:val="24"/>
                <w:lang w:val="en-US" w:eastAsia="zh-CN"/>
              </w:rPr>
              <w:t>耗氧量</w:t>
            </w:r>
            <w:r>
              <w:rPr>
                <w:rFonts w:hint="default" w:ascii="Times New Roman" w:hAnsi="Times New Roman" w:eastAsia="宋体" w:cs="Times New Roman"/>
                <w:color w:val="auto"/>
                <w:sz w:val="24"/>
                <w:szCs w:val="24"/>
              </w:rPr>
              <w:t>、总大肠菌群（MPN</w:t>
            </w:r>
            <w:r>
              <w:rPr>
                <w:rFonts w:hint="default" w:ascii="Times New Roman" w:hAnsi="Times New Roman" w:eastAsia="宋体" w:cs="Times New Roman"/>
                <w:color w:val="auto"/>
                <w:sz w:val="24"/>
                <w:szCs w:val="24"/>
                <w:vertAlign w:val="superscript"/>
              </w:rPr>
              <w:t>b</w:t>
            </w:r>
            <w:r>
              <w:rPr>
                <w:rFonts w:hint="default" w:ascii="Times New Roman" w:hAnsi="Times New Roman" w:eastAsia="宋体" w:cs="Times New Roman"/>
                <w:color w:val="auto"/>
                <w:sz w:val="24"/>
                <w:szCs w:val="24"/>
              </w:rPr>
              <w:t>/100mL））、硫酸盐、氯化物；特征因子：石油类等因子的分析，结果表明，评价区域地下水水质因子和特征因子均符合《地下水质量标准》（GB/T14848-2017）</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ROMAN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III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类标准，石油类符合</w:t>
            </w:r>
            <w:r>
              <w:rPr>
                <w:rFonts w:hint="default" w:ascii="Times New Roman" w:hAnsi="Times New Roman" w:eastAsia="宋体" w:cs="Times New Roman"/>
                <w:bCs/>
                <w:color w:val="auto"/>
                <w:sz w:val="24"/>
                <w:szCs w:val="24"/>
              </w:rPr>
              <w:t>《生活饮用水卫生标准》（GB5749-2006）附录A生活饮用水水质参考指标及限值</w:t>
            </w:r>
            <w:r>
              <w:rPr>
                <w:rFonts w:hint="default" w:ascii="Times New Roman" w:hAnsi="Times New Roman" w:eastAsia="宋体" w:cs="Times New Roman"/>
                <w:color w:val="auto"/>
                <w:sz w:val="24"/>
                <w:szCs w:val="24"/>
              </w:rPr>
              <w:t>。</w:t>
            </w:r>
          </w:p>
          <w:p>
            <w:pPr>
              <w:tabs>
                <w:tab w:val="left" w:pos="5760"/>
              </w:tabs>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主要环境保护目标（列出名单及保护级别）</w:t>
            </w:r>
          </w:p>
          <w:p>
            <w:pPr>
              <w:pStyle w:val="34"/>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据现场踏勘可知，本项目所在评价区域内无国家、省、市级自然保护区及文物保护对象，主要保护对象为周围的居民。本项目周围主要保护目标的情况如下：</w:t>
            </w:r>
          </w:p>
          <w:p>
            <w:pPr>
              <w:spacing w:line="360" w:lineRule="auto"/>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表3</w:t>
            </w:r>
            <w:r>
              <w:rPr>
                <w:rFonts w:hint="eastAsia" w:ascii="Times New Roman" w:hAnsi="Times New Roman" w:eastAsia="宋体" w:cs="Times New Roman"/>
                <w:b/>
                <w:color w:val="auto"/>
                <w:kern w:val="0"/>
                <w:sz w:val="24"/>
                <w:szCs w:val="24"/>
                <w:highlight w:val="none"/>
                <w:lang w:val="en-US" w:eastAsia="zh-CN"/>
              </w:rPr>
              <w:t>-8</w:t>
            </w:r>
            <w:r>
              <w:rPr>
                <w:rFonts w:hint="default" w:ascii="Times New Roman" w:hAnsi="Times New Roman" w:eastAsia="宋体" w:cs="Times New Roman"/>
                <w:b/>
                <w:color w:val="auto"/>
                <w:kern w:val="0"/>
                <w:sz w:val="24"/>
                <w:szCs w:val="24"/>
                <w:highlight w:val="none"/>
              </w:rPr>
              <w:t xml:space="preserve"> 环境空气保护目标</w:t>
            </w:r>
          </w:p>
          <w:tbl>
            <w:tblPr>
              <w:tblStyle w:val="27"/>
              <w:tblW w:w="90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708"/>
              <w:gridCol w:w="709"/>
              <w:gridCol w:w="1134"/>
              <w:gridCol w:w="959"/>
              <w:gridCol w:w="1127"/>
              <w:gridCol w:w="1127"/>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0"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417" w:type="dxa"/>
                  <w:gridSpan w:val="2"/>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坐标/m</w:t>
                  </w:r>
                </w:p>
              </w:tc>
              <w:tc>
                <w:tcPr>
                  <w:tcW w:w="1134" w:type="dxa"/>
                  <w:vMerge w:val="restart"/>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959"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保护内容</w:t>
                  </w:r>
                </w:p>
              </w:tc>
              <w:tc>
                <w:tcPr>
                  <w:tcW w:w="1127"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1127"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相对厂址方位</w:t>
                  </w:r>
                </w:p>
              </w:tc>
              <w:tc>
                <w:tcPr>
                  <w:tcW w:w="1127"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0"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p>
              </w:tc>
              <w:tc>
                <w:tcPr>
                  <w:tcW w:w="708" w:type="dxa"/>
                  <w:shd w:val="clear" w:color="auto" w:fill="auto"/>
                  <w:vAlign w:val="center"/>
                </w:tcPr>
                <w:p>
                  <w:pPr>
                    <w:pStyle w:val="34"/>
                    <w:spacing w:line="240" w:lineRule="auto"/>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X</w:t>
                  </w:r>
                </w:p>
              </w:tc>
              <w:tc>
                <w:tcPr>
                  <w:tcW w:w="709" w:type="dxa"/>
                  <w:shd w:val="clear" w:color="auto" w:fill="auto"/>
                  <w:vAlign w:val="center"/>
                </w:tcPr>
                <w:p>
                  <w:pPr>
                    <w:pStyle w:val="34"/>
                    <w:spacing w:line="240" w:lineRule="auto"/>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Y</w:t>
                  </w:r>
                </w:p>
              </w:tc>
              <w:tc>
                <w:tcPr>
                  <w:tcW w:w="1134" w:type="dxa"/>
                  <w:vMerge w:val="continue"/>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59"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p>
              </w:tc>
              <w:tc>
                <w:tcPr>
                  <w:tcW w:w="1127"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p>
              </w:tc>
              <w:tc>
                <w:tcPr>
                  <w:tcW w:w="1127"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p>
              </w:tc>
              <w:tc>
                <w:tcPr>
                  <w:tcW w:w="1127"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0"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同江镇</w:t>
                  </w:r>
                </w:p>
              </w:tc>
              <w:tc>
                <w:tcPr>
                  <w:tcW w:w="708"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1542</w:t>
                  </w:r>
                </w:p>
              </w:tc>
              <w:tc>
                <w:tcPr>
                  <w:tcW w:w="709"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880</w:t>
                  </w:r>
                </w:p>
              </w:tc>
              <w:tc>
                <w:tcPr>
                  <w:tcW w:w="1134" w:type="dxa"/>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农村人群集中区</w:t>
                  </w:r>
                </w:p>
              </w:tc>
              <w:tc>
                <w:tcPr>
                  <w:tcW w:w="959" w:type="dxa"/>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人群</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NW</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1775.433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0"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胜利村</w:t>
                  </w:r>
                </w:p>
              </w:tc>
              <w:tc>
                <w:tcPr>
                  <w:tcW w:w="708"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-1857</w:t>
                  </w:r>
                </w:p>
              </w:tc>
              <w:tc>
                <w:tcPr>
                  <w:tcW w:w="709"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-1657</w:t>
                  </w:r>
                </w:p>
              </w:tc>
              <w:tc>
                <w:tcPr>
                  <w:tcW w:w="1134" w:type="dxa"/>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农村人群集中区</w:t>
                  </w:r>
                </w:p>
              </w:tc>
              <w:tc>
                <w:tcPr>
                  <w:tcW w:w="959" w:type="dxa"/>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人群</w:t>
                  </w:r>
                </w:p>
              </w:tc>
              <w:tc>
                <w:tcPr>
                  <w:tcW w:w="1127"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二类</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SW</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2488.794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0"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新源村</w:t>
                  </w:r>
                </w:p>
              </w:tc>
              <w:tc>
                <w:tcPr>
                  <w:tcW w:w="708"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1548</w:t>
                  </w:r>
                </w:p>
              </w:tc>
              <w:tc>
                <w:tcPr>
                  <w:tcW w:w="709"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1324</w:t>
                  </w:r>
                </w:p>
              </w:tc>
              <w:tc>
                <w:tcPr>
                  <w:tcW w:w="1134" w:type="dxa"/>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农村人群集中区</w:t>
                  </w:r>
                </w:p>
              </w:tc>
              <w:tc>
                <w:tcPr>
                  <w:tcW w:w="959" w:type="dxa"/>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人群</w:t>
                  </w:r>
                </w:p>
              </w:tc>
              <w:tc>
                <w:tcPr>
                  <w:tcW w:w="1127"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二类</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NE</w:t>
                  </w:r>
                </w:p>
              </w:tc>
              <w:tc>
                <w:tcPr>
                  <w:tcW w:w="1127" w:type="dxa"/>
                  <w:shd w:val="clear" w:color="auto" w:fill="auto"/>
                  <w:vAlign w:val="center"/>
                </w:tcPr>
                <w:p>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2036.978</w:t>
                  </w:r>
                </w:p>
              </w:tc>
            </w:tr>
          </w:tbl>
          <w:p>
            <w:pPr>
              <w:pStyle w:val="34"/>
              <w:spacing w:line="360" w:lineRule="auto"/>
              <w:jc w:val="center"/>
              <w:rPr>
                <w:rFonts w:hint="default" w:ascii="Times New Roman" w:hAnsi="Times New Roman" w:eastAsia="宋体" w:cs="Times New Roman"/>
                <w:color w:val="FF0000"/>
                <w:sz w:val="24"/>
                <w:szCs w:val="24"/>
              </w:rPr>
            </w:pPr>
            <w:r>
              <w:rPr>
                <w:sz w:val="24"/>
              </w:rPr>
              <mc:AlternateContent>
                <mc:Choice Requires="wps">
                  <w:drawing>
                    <wp:anchor distT="0" distB="0" distL="114300" distR="114300" simplePos="0" relativeHeight="3745138688" behindDoc="0" locked="0" layoutInCell="1" allowOverlap="1">
                      <wp:simplePos x="0" y="0"/>
                      <wp:positionH relativeFrom="column">
                        <wp:posOffset>678815</wp:posOffset>
                      </wp:positionH>
                      <wp:positionV relativeFrom="paragraph">
                        <wp:posOffset>1064260</wp:posOffset>
                      </wp:positionV>
                      <wp:extent cx="680720" cy="3429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68072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同江镇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45pt;margin-top:83.8pt;height:27pt;width:53.6pt;z-index:-549828608;mso-width-relative:page;mso-height-relative:page;" filled="f" stroked="f" coordsize="21600,21600" o:gfxdata="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NW3Ina&#10;AAAACwEAAA8AAAAAAAAAAQAgAAAAIgAAAGRycy9kb3ducmV2LnhtbFBLAQIUABQAAAAIAIdO4kB9&#10;9BOhHgIAABkEAAAOAAAAAAAAAAEAIAAAACkBAABkcnMvZTJvRG9jLnhtbFBLBQYAAAAABgAGAFkB&#10;AAC5BQ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同江镇</w:t>
                            </w:r>
                          </w:p>
                        </w:txbxContent>
                      </v:textbox>
                    </v:shape>
                  </w:pict>
                </mc:Fallback>
              </mc:AlternateContent>
            </w:r>
            <w:r>
              <w:rPr>
                <w:sz w:val="24"/>
              </w:rPr>
              <mc:AlternateContent>
                <mc:Choice Requires="wps">
                  <w:drawing>
                    <wp:anchor distT="0" distB="0" distL="114300" distR="114300" simplePos="0" relativeHeight="2580644864" behindDoc="0" locked="0" layoutInCell="1" allowOverlap="1">
                      <wp:simplePos x="0" y="0"/>
                      <wp:positionH relativeFrom="column">
                        <wp:posOffset>514350</wp:posOffset>
                      </wp:positionH>
                      <wp:positionV relativeFrom="paragraph">
                        <wp:posOffset>3610610</wp:posOffset>
                      </wp:positionV>
                      <wp:extent cx="680720" cy="3429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68072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胜利村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284.3pt;height:27pt;width:53.6pt;z-index:-1714322432;mso-width-relative:page;mso-height-relative:page;" filled="f" stroked="f" coordsize="21600,21600" o:gfxdata="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ISs4ja&#10;AAAACgEAAA8AAAAAAAAAAQAgAAAAIgAAAGRycy9kb3ducmV2LnhtbFBLAQIUABQAAAAIAIdO4kCX&#10;Bfy0HgIAABkEAAAOAAAAAAAAAAEAIAAAACkBAABkcnMvZTJvRG9jLnhtbFBLBQYAAAAABgAGAFkB&#10;AAC5BQ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胜利村</w:t>
                            </w:r>
                          </w:p>
                        </w:txbxContent>
                      </v:textbox>
                    </v:shape>
                  </w:pict>
                </mc:Fallback>
              </mc:AlternateContent>
            </w:r>
            <w:r>
              <w:rPr>
                <w:sz w:val="24"/>
              </w:rPr>
              <mc:AlternateContent>
                <mc:Choice Requires="wps">
                  <w:drawing>
                    <wp:anchor distT="0" distB="0" distL="114300" distR="114300" simplePos="0" relativeHeight="1416151040" behindDoc="0" locked="0" layoutInCell="1" allowOverlap="1">
                      <wp:simplePos x="0" y="0"/>
                      <wp:positionH relativeFrom="column">
                        <wp:posOffset>3856990</wp:posOffset>
                      </wp:positionH>
                      <wp:positionV relativeFrom="paragraph">
                        <wp:posOffset>789940</wp:posOffset>
                      </wp:positionV>
                      <wp:extent cx="680720" cy="342900"/>
                      <wp:effectExtent l="0" t="0" r="0" b="0"/>
                      <wp:wrapNone/>
                      <wp:docPr id="80" name="文本框 80"/>
                      <wp:cNvGraphicFramePr/>
                      <a:graphic xmlns:a="http://schemas.openxmlformats.org/drawingml/2006/main">
                        <a:graphicData uri="http://schemas.microsoft.com/office/word/2010/wordprocessingShape">
                          <wps:wsp>
                            <wps:cNvSpPr txBox="1"/>
                            <wps:spPr>
                              <a:xfrm>
                                <a:off x="4009390" y="3355975"/>
                                <a:ext cx="68072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新源村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62.2pt;height:27pt;width:53.6pt;z-index:1416151040;mso-width-relative:page;mso-height-relative:page;" filled="f" stroked="f" coordsize="21600,21600" o:gfxdata="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sbxltsAAAALAQAADwAAAAAAAAABACAAAAAiAAAAZHJzL2Rvd25yZXYueG1sUEsB&#10;AhQAFAAAAAgAh07iQIjMrfQrAgAAJQQAAA4AAAAAAAAAAQAgAAAAKgEAAGRycy9lMm9Eb2MueG1s&#10;UEsFBgAAAAAGAAYAWQEAAMcFA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新源村</w:t>
                            </w:r>
                          </w:p>
                        </w:txbxContent>
                      </v:textbox>
                    </v:shape>
                  </w:pict>
                </mc:Fallback>
              </mc:AlternateContent>
            </w:r>
            <w:r>
              <w:rPr>
                <w:sz w:val="24"/>
              </w:rPr>
              <mc:AlternateContent>
                <mc:Choice Requires="wps">
                  <w:drawing>
                    <wp:anchor distT="0" distB="0" distL="114300" distR="114300" simplePos="0" relativeHeight="1416150016" behindDoc="0" locked="0" layoutInCell="1" allowOverlap="1">
                      <wp:simplePos x="0" y="0"/>
                      <wp:positionH relativeFrom="column">
                        <wp:posOffset>3969385</wp:posOffset>
                      </wp:positionH>
                      <wp:positionV relativeFrom="paragraph">
                        <wp:posOffset>729615</wp:posOffset>
                      </wp:positionV>
                      <wp:extent cx="337820" cy="562610"/>
                      <wp:effectExtent l="6985" t="6350" r="17145" b="21590"/>
                      <wp:wrapNone/>
                      <wp:docPr id="79" name="任意多边形 79"/>
                      <wp:cNvGraphicFramePr/>
                      <a:graphic xmlns:a="http://schemas.openxmlformats.org/drawingml/2006/main">
                        <a:graphicData uri="http://schemas.microsoft.com/office/word/2010/wordprocessingShape">
                          <wps:wsp>
                            <wps:cNvSpPr/>
                            <wps:spPr>
                              <a:xfrm>
                                <a:off x="4883785" y="1633220"/>
                                <a:ext cx="337820" cy="562610"/>
                              </a:xfrm>
                              <a:custGeom>
                                <a:avLst/>
                                <a:gdLst>
                                  <a:gd name="connisteX0" fmla="*/ 43815 w 337820"/>
                                  <a:gd name="connsiteY0" fmla="*/ 0 h 562610"/>
                                  <a:gd name="connisteX1" fmla="*/ 303530 w 337820"/>
                                  <a:gd name="connsiteY1" fmla="*/ 0 h 562610"/>
                                  <a:gd name="connisteX2" fmla="*/ 337820 w 337820"/>
                                  <a:gd name="connsiteY2" fmla="*/ 294005 h 562610"/>
                                  <a:gd name="connisteX3" fmla="*/ 268605 w 337820"/>
                                  <a:gd name="connsiteY3" fmla="*/ 562610 h 562610"/>
                                  <a:gd name="connisteX4" fmla="*/ 86995 w 337820"/>
                                  <a:gd name="connsiteY4" fmla="*/ 536575 h 562610"/>
                                  <a:gd name="connisteX5" fmla="*/ 113030 w 337820"/>
                                  <a:gd name="connsiteY5" fmla="*/ 415290 h 562610"/>
                                  <a:gd name="connisteX6" fmla="*/ 0 w 337820"/>
                                  <a:gd name="connsiteY6" fmla="*/ 381000 h 562610"/>
                                  <a:gd name="connisteX7" fmla="*/ 43815 w 337820"/>
                                  <a:gd name="connsiteY7" fmla="*/ 0 h 5626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337820" h="562610">
                                    <a:moveTo>
                                      <a:pt x="43815" y="0"/>
                                    </a:moveTo>
                                    <a:lnTo>
                                      <a:pt x="303530" y="0"/>
                                    </a:lnTo>
                                    <a:lnTo>
                                      <a:pt x="337820" y="294005"/>
                                    </a:lnTo>
                                    <a:lnTo>
                                      <a:pt x="268605" y="562610"/>
                                    </a:lnTo>
                                    <a:lnTo>
                                      <a:pt x="86995" y="536575"/>
                                    </a:lnTo>
                                    <a:lnTo>
                                      <a:pt x="113030" y="415290"/>
                                    </a:lnTo>
                                    <a:lnTo>
                                      <a:pt x="0" y="381000"/>
                                    </a:lnTo>
                                    <a:lnTo>
                                      <a:pt x="43815" y="0"/>
                                    </a:lnTo>
                                    <a:close/>
                                  </a:path>
                                </a:pathLst>
                              </a:cu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12.55pt;margin-top:57.45pt;height:44.3pt;width:26.6pt;z-index:1416150016;mso-width-relative:page;mso-height-relative:page;" fillcolor="#92D050" filled="t" stroked="t" coordsize="337820,562610" o:gfxdata="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B0PnwO2wAAAAsBAAAPAAAAAAAAAAEAIAAAACIAAABkcnMvZG93bnJldi54bWxQSwECFAAU&#10;AAAACACHTuJASyItR30DAACtCgAADgAAAAAAAAABACAAAAAqAQAAZHJzL2Uyb0RvYy54bWxQSwUG&#10;AAAAAAYABgBZAQAAGQcAAAAA&#10;" path="m43815,0l303530,0,337820,294005,268605,562610,86995,536575,113030,415290,0,381000,43815,0xe">
                      <v:path o:connectlocs="43815,0;303530,0;337820,294005;268605,562610;86995,536575;113030,415290;0,381000;43815,0" o:connectangles="0,0,0,0,0,0,0,0"/>
                      <v:fill on="t" opacity="26214f" focussize="0,0"/>
                      <v:stroke weight="1pt" color="#00B050 [3204]" miterlimit="8" joinstyle="miter"/>
                      <v:imagedata o:title=""/>
                      <o:lock v:ext="edit" aspectratio="f"/>
                    </v:shape>
                  </w:pict>
                </mc:Fallback>
              </mc:AlternateContent>
            </w:r>
            <w:r>
              <w:rPr>
                <w:sz w:val="24"/>
              </w:rPr>
              <mc:AlternateContent>
                <mc:Choice Requires="wps">
                  <w:drawing>
                    <wp:anchor distT="0" distB="0" distL="114300" distR="114300" simplePos="0" relativeHeight="1416148992" behindDoc="0" locked="0" layoutInCell="1" allowOverlap="1">
                      <wp:simplePos x="0" y="0"/>
                      <wp:positionH relativeFrom="column">
                        <wp:posOffset>592455</wp:posOffset>
                      </wp:positionH>
                      <wp:positionV relativeFrom="paragraph">
                        <wp:posOffset>3561080</wp:posOffset>
                      </wp:positionV>
                      <wp:extent cx="666750" cy="588645"/>
                      <wp:effectExtent l="6985" t="6350" r="12065" b="14605"/>
                      <wp:wrapNone/>
                      <wp:docPr id="78" name="任意多边形 78"/>
                      <wp:cNvGraphicFramePr/>
                      <a:graphic xmlns:a="http://schemas.openxmlformats.org/drawingml/2006/main">
                        <a:graphicData uri="http://schemas.microsoft.com/office/word/2010/wordprocessingShape">
                          <wps:wsp>
                            <wps:cNvSpPr/>
                            <wps:spPr>
                              <a:xfrm>
                                <a:off x="1506855" y="4464685"/>
                                <a:ext cx="666750" cy="588645"/>
                              </a:xfrm>
                              <a:custGeom>
                                <a:avLst/>
                                <a:gdLst>
                                  <a:gd name="connisteX0" fmla="*/ 0 w 666750"/>
                                  <a:gd name="connsiteY0" fmla="*/ 233680 h 588645"/>
                                  <a:gd name="connisteX1" fmla="*/ 164465 w 666750"/>
                                  <a:gd name="connsiteY1" fmla="*/ 60325 h 588645"/>
                                  <a:gd name="connisteX2" fmla="*/ 389890 w 666750"/>
                                  <a:gd name="connsiteY2" fmla="*/ 0 h 588645"/>
                                  <a:gd name="connisteX3" fmla="*/ 666750 w 666750"/>
                                  <a:gd name="connsiteY3" fmla="*/ 95250 h 588645"/>
                                  <a:gd name="connisteX4" fmla="*/ 649605 w 666750"/>
                                  <a:gd name="connsiteY4" fmla="*/ 198755 h 588645"/>
                                  <a:gd name="connisteX5" fmla="*/ 554355 w 666750"/>
                                  <a:gd name="connsiteY5" fmla="*/ 346075 h 588645"/>
                                  <a:gd name="connisteX6" fmla="*/ 147320 w 666750"/>
                                  <a:gd name="connsiteY6" fmla="*/ 588645 h 588645"/>
                                  <a:gd name="connisteX7" fmla="*/ 43180 w 666750"/>
                                  <a:gd name="connsiteY7" fmla="*/ 450215 h 588645"/>
                                  <a:gd name="connisteX8" fmla="*/ 0 w 666750"/>
                                  <a:gd name="connsiteY8" fmla="*/ 233680 h 5886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666750" h="588645">
                                    <a:moveTo>
                                      <a:pt x="0" y="233680"/>
                                    </a:moveTo>
                                    <a:lnTo>
                                      <a:pt x="164465" y="60325"/>
                                    </a:lnTo>
                                    <a:lnTo>
                                      <a:pt x="389890" y="0"/>
                                    </a:lnTo>
                                    <a:lnTo>
                                      <a:pt x="666750" y="95250"/>
                                    </a:lnTo>
                                    <a:lnTo>
                                      <a:pt x="649605" y="198755"/>
                                    </a:lnTo>
                                    <a:lnTo>
                                      <a:pt x="554355" y="346075"/>
                                    </a:lnTo>
                                    <a:lnTo>
                                      <a:pt x="147320" y="588645"/>
                                    </a:lnTo>
                                    <a:lnTo>
                                      <a:pt x="43180" y="450215"/>
                                    </a:lnTo>
                                    <a:lnTo>
                                      <a:pt x="0" y="233680"/>
                                    </a:lnTo>
                                    <a:close/>
                                  </a:path>
                                </a:pathLst>
                              </a:cu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6.65pt;margin-top:280.4pt;height:46.35pt;width:52.5pt;z-index:1416148992;mso-width-relative:page;mso-height-relative:page;" fillcolor="#92D050" filled="t" stroked="t" coordsize="666750,588645" o:gfxdata="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WcAhLtoA&#10;AAAKAQAADwAAAAAAAAABACAAAAAiAAAAZHJzL2Rvd25yZXYueG1sUEsBAhQAFAAAAAgAh07iQCQA&#10;VqysAwAAiAsAAA4AAAAAAAAAAQAgAAAAKQEAAGRycy9lMm9Eb2MueG1sUEsFBgAAAAAGAAYAWQEA&#10;AEcHAAAAAA==&#10;" path="m0,233680l164465,60325,389890,0,666750,95250,649605,198755,554355,346075,147320,588645,43180,450215,0,233680xe">
                      <v:path o:connectlocs="0,233680;164465,60325;389890,0;666750,95250;649605,198755;554355,346075;147320,588645;43180,450215;0,233680" o:connectangles="0,0,0,0,0,0,0,0,0"/>
                      <v:fill on="t" opacity="26214f" focussize="0,0"/>
                      <v:stroke weight="1pt" color="#00B050 [3204]" miterlimit="8" joinstyle="miter"/>
                      <v:imagedata o:title=""/>
                      <o:lock v:ext="edit" aspectratio="f"/>
                    </v:shape>
                  </w:pict>
                </mc:Fallback>
              </mc:AlternateContent>
            </w:r>
            <w:r>
              <w:rPr>
                <w:sz w:val="24"/>
              </w:rPr>
              <mc:AlternateContent>
                <mc:Choice Requires="wps">
                  <w:drawing>
                    <wp:anchor distT="0" distB="0" distL="114300" distR="114300" simplePos="0" relativeHeight="1416147968" behindDoc="0" locked="0" layoutInCell="1" allowOverlap="1">
                      <wp:simplePos x="0" y="0"/>
                      <wp:positionH relativeFrom="column">
                        <wp:posOffset>584200</wp:posOffset>
                      </wp:positionH>
                      <wp:positionV relativeFrom="paragraph">
                        <wp:posOffset>651510</wp:posOffset>
                      </wp:positionV>
                      <wp:extent cx="1082040" cy="1662430"/>
                      <wp:effectExtent l="6350" t="6350" r="16510" b="7620"/>
                      <wp:wrapNone/>
                      <wp:docPr id="76" name="任意多边形 76"/>
                      <wp:cNvGraphicFramePr/>
                      <a:graphic xmlns:a="http://schemas.openxmlformats.org/drawingml/2006/main">
                        <a:graphicData uri="http://schemas.microsoft.com/office/word/2010/wordprocessingShape">
                          <wps:wsp>
                            <wps:cNvSpPr/>
                            <wps:spPr>
                              <a:xfrm>
                                <a:off x="1498600" y="1555115"/>
                                <a:ext cx="1082040" cy="1662430"/>
                              </a:xfrm>
                              <a:custGeom>
                                <a:avLst/>
                                <a:gdLst>
                                  <a:gd name="connisteX0" fmla="*/ 25400 w 1082040"/>
                                  <a:gd name="connsiteY0" fmla="*/ 8890 h 1662430"/>
                                  <a:gd name="connisteX1" fmla="*/ 354965 w 1082040"/>
                                  <a:gd name="connsiteY1" fmla="*/ 0 h 1662430"/>
                                  <a:gd name="connisteX2" fmla="*/ 553720 w 1082040"/>
                                  <a:gd name="connsiteY2" fmla="*/ 207645 h 1662430"/>
                                  <a:gd name="connisteX3" fmla="*/ 874395 w 1082040"/>
                                  <a:gd name="connsiteY3" fmla="*/ 224790 h 1662430"/>
                                  <a:gd name="connisteX4" fmla="*/ 1082040 w 1082040"/>
                                  <a:gd name="connsiteY4" fmla="*/ 614680 h 1662430"/>
                                  <a:gd name="connisteX5" fmla="*/ 1047750 w 1082040"/>
                                  <a:gd name="connsiteY5" fmla="*/ 1004570 h 1662430"/>
                                  <a:gd name="connisteX6" fmla="*/ 605790 w 1082040"/>
                                  <a:gd name="connsiteY6" fmla="*/ 874395 h 1662430"/>
                                  <a:gd name="connisteX7" fmla="*/ 415290 w 1082040"/>
                                  <a:gd name="connsiteY7" fmla="*/ 866140 h 1662430"/>
                                  <a:gd name="connisteX8" fmla="*/ 562610 w 1082040"/>
                                  <a:gd name="connsiteY8" fmla="*/ 1567180 h 1662430"/>
                                  <a:gd name="connisteX9" fmla="*/ 0 w 1082040"/>
                                  <a:gd name="connsiteY9" fmla="*/ 1662430 h 1662430"/>
                                  <a:gd name="connisteX10" fmla="*/ 25400 w 1082040"/>
                                  <a:gd name="connsiteY10" fmla="*/ 8890 h 16624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082040" h="1662430">
                                    <a:moveTo>
                                      <a:pt x="25400" y="8890"/>
                                    </a:moveTo>
                                    <a:lnTo>
                                      <a:pt x="354965" y="0"/>
                                    </a:lnTo>
                                    <a:lnTo>
                                      <a:pt x="553720" y="207645"/>
                                    </a:lnTo>
                                    <a:lnTo>
                                      <a:pt x="874395" y="224790"/>
                                    </a:lnTo>
                                    <a:lnTo>
                                      <a:pt x="1082040" y="614680"/>
                                    </a:lnTo>
                                    <a:lnTo>
                                      <a:pt x="1047750" y="1004570"/>
                                    </a:lnTo>
                                    <a:lnTo>
                                      <a:pt x="605790" y="874395"/>
                                    </a:lnTo>
                                    <a:lnTo>
                                      <a:pt x="415290" y="866140"/>
                                    </a:lnTo>
                                    <a:lnTo>
                                      <a:pt x="562610" y="1567180"/>
                                    </a:lnTo>
                                    <a:lnTo>
                                      <a:pt x="0" y="1662430"/>
                                    </a:lnTo>
                                    <a:lnTo>
                                      <a:pt x="25400" y="8890"/>
                                    </a:lnTo>
                                    <a:close/>
                                  </a:path>
                                </a:pathLst>
                              </a:custGeom>
                              <a:solidFill>
                                <a:srgbClr val="92D050">
                                  <a:alpha val="4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6pt;margin-top:51.3pt;height:130.9pt;width:85.2pt;z-index:1416147968;mso-width-relative:page;mso-height-relative:page;" fillcolor="#92D050" filled="t" stroked="t" coordsize="1082040,1662430" o:gfxdata="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AVPBSb2AAAAAoBAAAPAAAAAAAAAAEAIAAAACIAAABkcnMvZG93bnJldi54bWxQSwEC&#10;FAAUAAAACACHTuJALDYpNvUDAABWDQAADgAAAAAAAAABACAAAAAnAQAAZHJzL2Uyb0RvYy54bWxQ&#10;SwUGAAAAAAYABgBZAQAAjgcAAAAA&#10;" path="m25400,8890l354965,0,553720,207645,874395,224790,1082040,614680,1047750,1004570,605790,874395,415290,866140,562610,1567180,0,1662430,25400,8890xe">
                      <v:path o:connectlocs="25400,8890;354965,0;553720,207645;874395,224790;1082040,614680;1047750,1004570;605790,874395;415290,866140;562610,1567180;0,1662430;25400,8890" o:connectangles="0,0,0,0,0,0,0,0,0,0,0"/>
                      <v:fill on="t" opacity="26214f" focussize="0,0"/>
                      <v:stroke weight="1pt" color="#00B050 [3204]" miterlimit="8" joinstyle="miter"/>
                      <v:imagedata o:title=""/>
                      <o:lock v:ext="edit" aspectratio="f"/>
                    </v:shape>
                  </w:pict>
                </mc:Fallback>
              </mc:AlternateContent>
            </w:r>
            <w:r>
              <w:rPr>
                <w:rFonts w:hint="default" w:ascii="Times New Roman" w:hAnsi="Times New Roman" w:eastAsia="宋体" w:cs="Times New Roman"/>
                <w:color w:val="FF0000"/>
                <w:sz w:val="24"/>
                <w:szCs w:val="24"/>
                <w:lang w:val="en-US" w:eastAsia="zh-CN"/>
              </w:rPr>
              <w:drawing>
                <wp:anchor distT="0" distB="0" distL="114300" distR="114300" simplePos="0" relativeHeight="1416146944" behindDoc="0" locked="0" layoutInCell="1" allowOverlap="1">
                  <wp:simplePos x="0" y="0"/>
                  <wp:positionH relativeFrom="column">
                    <wp:posOffset>4889500</wp:posOffset>
                  </wp:positionH>
                  <wp:positionV relativeFrom="paragraph">
                    <wp:posOffset>-9525</wp:posOffset>
                  </wp:positionV>
                  <wp:extent cx="891540" cy="940435"/>
                  <wp:effectExtent l="0" t="0" r="3810" b="12065"/>
                  <wp:wrapNone/>
                  <wp:docPr id="29" name="图片 29" descr="158987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9876694"/>
                          <pic:cNvPicPr>
                            <a:picLocks noChangeAspect="1"/>
                          </pic:cNvPicPr>
                        </pic:nvPicPr>
                        <pic:blipFill>
                          <a:blip r:embed="rId10"/>
                          <a:stretch>
                            <a:fillRect/>
                          </a:stretch>
                        </pic:blipFill>
                        <pic:spPr>
                          <a:xfrm>
                            <a:off x="0" y="0"/>
                            <a:ext cx="891540" cy="940435"/>
                          </a:xfrm>
                          <a:prstGeom prst="rect">
                            <a:avLst/>
                          </a:prstGeom>
                        </pic:spPr>
                      </pic:pic>
                    </a:graphicData>
                  </a:graphic>
                </wp:anchor>
              </w:drawing>
            </w:r>
            <w:r>
              <w:drawing>
                <wp:inline distT="0" distB="0" distL="114300" distR="114300">
                  <wp:extent cx="5726430" cy="4501515"/>
                  <wp:effectExtent l="0" t="0" r="7620" b="1333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4"/>
                          <a:stretch>
                            <a:fillRect/>
                          </a:stretch>
                        </pic:blipFill>
                        <pic:spPr>
                          <a:xfrm>
                            <a:off x="0" y="0"/>
                            <a:ext cx="5726430" cy="4501515"/>
                          </a:xfrm>
                          <a:prstGeom prst="rect">
                            <a:avLst/>
                          </a:prstGeom>
                          <a:noFill/>
                          <a:ln>
                            <a:noFill/>
                          </a:ln>
                        </pic:spPr>
                      </pic:pic>
                    </a:graphicData>
                  </a:graphic>
                </wp:inline>
              </w:drawing>
            </w:r>
          </w:p>
          <w:p>
            <w:pPr>
              <w:pStyle w:val="34"/>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sz w:val="24"/>
                <w:szCs w:val="24"/>
                <w:highlight w:val="none"/>
              </w:rPr>
              <w:t>图3-</w:t>
            </w:r>
            <w:r>
              <w:rPr>
                <w:rFonts w:hint="eastAsia" w:ascii="Times New Roman"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敏感目标图</w:t>
            </w:r>
          </w:p>
          <w:p>
            <w:pPr>
              <w:pStyle w:val="34"/>
              <w:spacing w:line="360" w:lineRule="auto"/>
              <w:rPr>
                <w:rFonts w:hint="default" w:ascii="Times New Roman" w:hAnsi="Times New Roman" w:eastAsia="宋体" w:cs="Times New Roman"/>
                <w:color w:val="FF0000"/>
                <w:sz w:val="24"/>
                <w:szCs w:val="24"/>
                <w:highlight w:val="none"/>
                <w:lang w:eastAsia="zh-CN"/>
              </w:rPr>
            </w:pPr>
          </w:p>
          <w:p>
            <w:pPr>
              <w:pStyle w:val="34"/>
              <w:spacing w:line="360" w:lineRule="auto"/>
              <w:rPr>
                <w:rFonts w:hint="default" w:ascii="Times New Roman" w:hAnsi="Times New Roman" w:eastAsia="宋体" w:cs="Times New Roman"/>
                <w:color w:val="FF0000"/>
                <w:sz w:val="24"/>
                <w:szCs w:val="24"/>
                <w:highlight w:val="none"/>
                <w:lang w:eastAsia="zh-CN"/>
              </w:rPr>
            </w:pPr>
          </w:p>
          <w:p>
            <w:pPr>
              <w:pStyle w:val="34"/>
              <w:spacing w:line="360" w:lineRule="auto"/>
              <w:rPr>
                <w:rFonts w:hint="default" w:ascii="Times New Roman" w:hAnsi="Times New Roman" w:eastAsia="宋体" w:cs="Times New Roman"/>
                <w:color w:val="FF0000"/>
                <w:sz w:val="24"/>
                <w:szCs w:val="24"/>
                <w:highlight w:val="none"/>
                <w:lang w:eastAsia="zh-CN"/>
              </w:rPr>
            </w:pPr>
          </w:p>
          <w:p>
            <w:pPr>
              <w:pStyle w:val="34"/>
              <w:spacing w:line="360" w:lineRule="auto"/>
              <w:rPr>
                <w:rFonts w:hint="default" w:ascii="Times New Roman" w:hAnsi="Times New Roman" w:eastAsia="宋体" w:cs="Times New Roman"/>
                <w:color w:val="FF0000"/>
                <w:sz w:val="24"/>
                <w:szCs w:val="24"/>
                <w:highlight w:val="none"/>
                <w:lang w:eastAsia="zh-CN"/>
              </w:rPr>
            </w:pPr>
          </w:p>
          <w:p>
            <w:pPr>
              <w:pStyle w:val="34"/>
              <w:spacing w:line="360" w:lineRule="auto"/>
              <w:rPr>
                <w:rFonts w:hint="default" w:ascii="Times New Roman" w:hAnsi="Times New Roman" w:eastAsia="宋体" w:cs="Times New Roman"/>
                <w:color w:val="FF0000"/>
                <w:sz w:val="24"/>
                <w:szCs w:val="24"/>
                <w:highlight w:val="none"/>
                <w:lang w:eastAsia="zh-CN"/>
              </w:rPr>
            </w:pPr>
          </w:p>
          <w:p>
            <w:pPr>
              <w:pStyle w:val="34"/>
              <w:spacing w:line="360" w:lineRule="auto"/>
              <w:rPr>
                <w:rFonts w:hint="default" w:ascii="Times New Roman" w:hAnsi="Times New Roman" w:eastAsia="宋体" w:cs="Times New Roman"/>
                <w:color w:val="FF0000"/>
                <w:sz w:val="24"/>
                <w:szCs w:val="24"/>
                <w:highlight w:val="none"/>
                <w:lang w:eastAsia="zh-CN"/>
              </w:rPr>
            </w:pPr>
          </w:p>
        </w:tc>
      </w:tr>
    </w:tbl>
    <w:p>
      <w:pPr>
        <w:pStyle w:val="34"/>
        <w:rPr>
          <w:rFonts w:hint="default" w:ascii="Times New Roman" w:hAnsi="Times New Roman" w:eastAsia="宋体" w:cs="Times New Roman"/>
          <w:color w:val="FF0000"/>
          <w:sz w:val="32"/>
          <w:szCs w:val="32"/>
          <w:highlight w:val="none"/>
        </w:rPr>
      </w:pPr>
      <w:r>
        <w:rPr>
          <w:rFonts w:hint="default" w:ascii="Times New Roman" w:hAnsi="Times New Roman" w:eastAsia="宋体" w:cs="Times New Roman"/>
          <w:color w:val="FF0000"/>
          <w:highlight w:val="none"/>
        </w:rPr>
        <w:br w:type="page"/>
      </w:r>
    </w:p>
    <w:p>
      <w:pPr>
        <w:pStyle w:val="3"/>
        <w:spacing w:before="0" w:after="0" w:line="413" w:lineRule="auto"/>
        <w:rPr>
          <w:rFonts w:hint="default" w:ascii="Times New Roman" w:hAnsi="Times New Roman" w:eastAsia="宋体" w:cs="Times New Roman"/>
          <w:color w:val="auto"/>
          <w:highlight w:val="none"/>
        </w:rPr>
      </w:pPr>
      <w:bookmarkStart w:id="18" w:name="_Toc7017"/>
      <w:r>
        <w:rPr>
          <w:rFonts w:hint="default" w:ascii="Times New Roman" w:hAnsi="Times New Roman" w:eastAsia="宋体" w:cs="Times New Roman"/>
          <w:color w:val="auto"/>
          <w:highlight w:val="none"/>
        </w:rPr>
        <w:t>四、评价适</w:t>
      </w:r>
      <w:bookmarkStart w:id="19" w:name="_Toc251921956"/>
      <w:r>
        <w:rPr>
          <w:rFonts w:hint="default" w:ascii="Times New Roman" w:hAnsi="Times New Roman" w:eastAsia="宋体" w:cs="Times New Roman"/>
          <w:color w:val="auto"/>
          <w:highlight w:val="none"/>
        </w:rPr>
        <w:t>用标准</w:t>
      </w:r>
      <w:bookmarkEnd w:id="18"/>
    </w:p>
    <w:tbl>
      <w:tblPr>
        <w:tblStyle w:val="27"/>
        <w:tblW w:w="9242"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42"/>
        <w:gridCol w:w="860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642" w:type="dxa"/>
            <w:vAlign w:val="center"/>
          </w:tcPr>
          <w:p>
            <w:pPr>
              <w:spacing w:line="276" w:lineRule="auto"/>
              <w:jc w:val="center"/>
              <w:rPr>
                <w:rFonts w:hint="default" w:ascii="Times New Roman" w:hAnsi="Times New Roman" w:eastAsia="宋体" w:cs="Times New Roman"/>
                <w:color w:val="FF0000"/>
                <w:highlight w:val="none"/>
              </w:rPr>
            </w:pPr>
            <w:r>
              <w:rPr>
                <w:rFonts w:hint="default" w:ascii="Times New Roman" w:hAnsi="Times New Roman" w:eastAsia="宋体" w:cs="Times New Roman"/>
                <w:color w:val="auto"/>
                <w:highlight w:val="none"/>
              </w:rPr>
              <w:t>环境</w:t>
            </w:r>
            <w:bookmarkEnd w:id="19"/>
            <w:r>
              <w:rPr>
                <w:rFonts w:hint="default" w:ascii="Times New Roman" w:hAnsi="Times New Roman" w:eastAsia="宋体" w:cs="Times New Roman"/>
                <w:color w:val="auto"/>
                <w:highlight w:val="none"/>
              </w:rPr>
              <w:t>质量标准</w:t>
            </w:r>
          </w:p>
        </w:tc>
        <w:tc>
          <w:tcPr>
            <w:tcW w:w="8600" w:type="dxa"/>
          </w:tcPr>
          <w:p>
            <w:pPr>
              <w:tabs>
                <w:tab w:val="left" w:pos="5760"/>
              </w:tabs>
              <w:ind w:firstLine="434" w:firstLineChars="18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1、地表水执行《地表水环境质量标准》（GB3838—2002）中的</w:t>
            </w:r>
            <w:r>
              <w:rPr>
                <w:rFonts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highlight w:val="none"/>
              </w:rPr>
              <w:t>类标准。</w:t>
            </w:r>
          </w:p>
          <w:p>
            <w:pPr>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表4-1 地表水环境质量标准（单位：mg/L）</w:t>
            </w:r>
          </w:p>
          <w:tbl>
            <w:tblPr>
              <w:tblStyle w:val="27"/>
              <w:tblW w:w="838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1803"/>
              <w:gridCol w:w="596"/>
              <w:gridCol w:w="650"/>
              <w:gridCol w:w="637"/>
              <w:gridCol w:w="968"/>
              <w:gridCol w:w="652"/>
              <w:gridCol w:w="903"/>
              <w:gridCol w:w="762"/>
              <w:gridCol w:w="763"/>
              <w:gridCol w:w="650"/>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1803"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596"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650"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DO</w:t>
                  </w:r>
                </w:p>
              </w:tc>
              <w:tc>
                <w:tcPr>
                  <w:tcW w:w="637"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w:t>
                  </w:r>
                </w:p>
              </w:tc>
              <w:tc>
                <w:tcPr>
                  <w:tcW w:w="968"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652"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903"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高锰酸盐指数</w:t>
                  </w:r>
                </w:p>
              </w:tc>
              <w:tc>
                <w:tcPr>
                  <w:tcW w:w="762"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763"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50"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1803"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（GB3838-2002）</w:t>
                  </w:r>
                  <w:r>
                    <w:rPr>
                      <w:rFonts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1"/>
                      <w:szCs w:val="21"/>
                      <w:highlight w:val="none"/>
                      <w:lang w:val="en-US" w:eastAsia="zh-CN"/>
                    </w:rPr>
                    <w:t>类</w:t>
                  </w:r>
                </w:p>
              </w:tc>
              <w:tc>
                <w:tcPr>
                  <w:tcW w:w="596"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650"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p>
              </w:tc>
              <w:tc>
                <w:tcPr>
                  <w:tcW w:w="637" w:type="dxa"/>
                  <w:vAlign w:val="center"/>
                </w:tcPr>
                <w:p>
                  <w:pPr>
                    <w:tabs>
                      <w:tab w:val="left" w:pos="576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w:t>
                  </w:r>
                </w:p>
              </w:tc>
              <w:tc>
                <w:tcPr>
                  <w:tcW w:w="968" w:type="dxa"/>
                  <w:vAlign w:val="center"/>
                </w:tcPr>
                <w:p>
                  <w:pPr>
                    <w:tabs>
                      <w:tab w:val="left" w:pos="5760"/>
                    </w:tabs>
                    <w:spacing w:line="240" w:lineRule="auto"/>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0</w:t>
                  </w:r>
                </w:p>
              </w:tc>
              <w:tc>
                <w:tcPr>
                  <w:tcW w:w="652" w:type="dxa"/>
                  <w:vAlign w:val="center"/>
                </w:tcPr>
                <w:p>
                  <w:pPr>
                    <w:tabs>
                      <w:tab w:val="left" w:pos="5760"/>
                    </w:tabs>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≤0.5</w:t>
                  </w:r>
                </w:p>
              </w:tc>
              <w:tc>
                <w:tcPr>
                  <w:tcW w:w="903" w:type="dxa"/>
                  <w:vAlign w:val="center"/>
                </w:tcPr>
                <w:p>
                  <w:pPr>
                    <w:tabs>
                      <w:tab w:val="left" w:pos="5760"/>
                    </w:tabs>
                    <w:spacing w:line="240" w:lineRule="auto"/>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6</w:t>
                  </w:r>
                </w:p>
              </w:tc>
              <w:tc>
                <w:tcPr>
                  <w:tcW w:w="762" w:type="dxa"/>
                  <w:vAlign w:val="center"/>
                </w:tcPr>
                <w:p>
                  <w:pPr>
                    <w:tabs>
                      <w:tab w:val="left" w:pos="5760"/>
                    </w:tabs>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20</w:t>
                  </w:r>
                </w:p>
              </w:tc>
              <w:tc>
                <w:tcPr>
                  <w:tcW w:w="763" w:type="dxa"/>
                  <w:vAlign w:val="center"/>
                </w:tcPr>
                <w:p>
                  <w:pPr>
                    <w:tabs>
                      <w:tab w:val="left" w:pos="5760"/>
                    </w:tabs>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w:t>
                  </w:r>
                </w:p>
              </w:tc>
              <w:tc>
                <w:tcPr>
                  <w:tcW w:w="650" w:type="dxa"/>
                  <w:vAlign w:val="center"/>
                </w:tcPr>
                <w:p>
                  <w:pPr>
                    <w:tabs>
                      <w:tab w:val="left" w:pos="5760"/>
                    </w:tabs>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0</w:t>
                  </w:r>
                </w:p>
              </w:tc>
            </w:tr>
          </w:tbl>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2、环境空气质量执行《环境空气质量标准》（GB3095-2012）中的二级标准；非甲烷总烃执行《环境空气质量 非甲烷总烃限值》(DB13/1577-2012)中二级标准浓度限值要求。</w:t>
            </w:r>
          </w:p>
          <w:p>
            <w:pPr>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表4-2 环境空气质量标准（单位：mg/m</w:t>
            </w:r>
            <w:r>
              <w:rPr>
                <w:rFonts w:hint="default" w:ascii="Times New Roman" w:hAnsi="Times New Roman" w:eastAsia="宋体" w:cs="Times New Roman"/>
                <w:b/>
                <w:color w:val="auto"/>
                <w:sz w:val="24"/>
                <w:szCs w:val="24"/>
                <w:highlight w:val="none"/>
                <w:vertAlign w:val="superscript"/>
              </w:rPr>
              <w:t>3</w:t>
            </w:r>
            <w:r>
              <w:rPr>
                <w:rFonts w:hint="default" w:ascii="Times New Roman" w:hAnsi="Times New Roman" w:eastAsia="宋体" w:cs="Times New Roman"/>
                <w:b/>
                <w:color w:val="auto"/>
                <w:sz w:val="24"/>
                <w:szCs w:val="24"/>
                <w:highlight w:val="none"/>
              </w:rPr>
              <w:t>）</w:t>
            </w:r>
          </w:p>
          <w:tbl>
            <w:tblPr>
              <w:tblStyle w:val="27"/>
              <w:tblW w:w="838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81"/>
              <w:gridCol w:w="1952"/>
              <w:gridCol w:w="1434"/>
              <w:gridCol w:w="31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3386" w:type="dxa"/>
                  <w:gridSpan w:val="2"/>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3117"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3117"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（GB3095-2012）中二级标准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0.075</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311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95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43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117"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 非甲烷总烃限值》(DB13/1577-2012)中二级标准浓度限值</w:t>
                  </w:r>
                </w:p>
              </w:tc>
            </w:tr>
          </w:tbl>
          <w:p>
            <w:pPr>
              <w:tabs>
                <w:tab w:val="left" w:pos="5760"/>
              </w:tabs>
              <w:spacing w:line="520" w:lineRule="exact"/>
              <w:ind w:firstLine="480" w:firstLineChars="200"/>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kern w:val="0"/>
                <w:sz w:val="24"/>
                <w:szCs w:val="24"/>
                <w:highlight w:val="none"/>
                <w:lang w:bidi="ar"/>
              </w:rPr>
              <w:t>3、</w:t>
            </w:r>
            <w:r>
              <w:rPr>
                <w:rFonts w:hint="default" w:ascii="Times New Roman" w:hAnsi="Times New Roman" w:eastAsia="宋体" w:cs="Times New Roman"/>
                <w:color w:val="auto"/>
                <w:sz w:val="24"/>
                <w:szCs w:val="24"/>
                <w:highlight w:val="none"/>
              </w:rPr>
              <w:t>声环境：</w:t>
            </w:r>
            <w:r>
              <w:rPr>
                <w:rFonts w:hint="default" w:ascii="Times New Roman" w:hAnsi="Times New Roman" w:eastAsia="宋体" w:cs="Times New Roman"/>
                <w:color w:val="auto"/>
                <w:kern w:val="0"/>
                <w:sz w:val="24"/>
                <w:szCs w:val="24"/>
                <w:highlight w:val="none"/>
                <w:lang w:bidi="ar"/>
              </w:rPr>
              <w:t>项目位于</w:t>
            </w:r>
            <w:r>
              <w:rPr>
                <w:rFonts w:hint="eastAsia" w:ascii="Times New Roman" w:hAnsi="Times New Roman" w:eastAsia="宋体" w:cs="Times New Roman"/>
                <w:color w:val="auto"/>
                <w:sz w:val="24"/>
                <w:szCs w:val="24"/>
                <w:lang w:val="en-US" w:eastAsia="zh-CN"/>
              </w:rPr>
              <w:t>同江市开发区平安大道南、市政搅拌站西侧</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lang w:val="en-US" w:eastAsia="zh-CN"/>
              </w:rPr>
              <w:t>站址东侧为</w:t>
            </w:r>
            <w:r>
              <w:rPr>
                <w:rFonts w:hint="eastAsia" w:ascii="Times New Roman" w:hAnsi="Times New Roman" w:eastAsia="宋体" w:cs="Times New Roman"/>
                <w:color w:val="auto"/>
                <w:kern w:val="0"/>
                <w:lang w:val="en-US" w:eastAsia="zh-CN"/>
              </w:rPr>
              <w:t>农田</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sz w:val="24"/>
                <w:szCs w:val="24"/>
                <w:lang w:val="en-US" w:eastAsia="zh-CN"/>
              </w:rPr>
              <w:t>站址南侧为</w:t>
            </w:r>
            <w:r>
              <w:rPr>
                <w:rFonts w:hint="eastAsia" w:ascii="Times New Roman" w:hAnsi="Times New Roman" w:eastAsia="宋体" w:cs="Times New Roman"/>
                <w:color w:val="auto"/>
                <w:sz w:val="24"/>
                <w:szCs w:val="24"/>
                <w:lang w:val="en-US" w:eastAsia="zh-CN"/>
              </w:rPr>
              <w:t>树林</w:t>
            </w:r>
            <w:r>
              <w:rPr>
                <w:rFonts w:hint="default" w:ascii="Times New Roman" w:hAnsi="Times New Roman" w:eastAsia="宋体" w:cs="Times New Roman"/>
                <w:color w:val="auto"/>
                <w:kern w:val="0"/>
                <w:lang w:val="en-US" w:eastAsia="zh-CN"/>
              </w:rPr>
              <w:t>；站址西侧为</w:t>
            </w:r>
            <w:r>
              <w:rPr>
                <w:rFonts w:hint="eastAsia" w:ascii="Times New Roman" w:hAnsi="Times New Roman" w:eastAsia="宋体" w:cs="Times New Roman"/>
                <w:color w:val="auto"/>
                <w:kern w:val="0"/>
                <w:lang w:val="en-US" w:eastAsia="zh-CN"/>
              </w:rPr>
              <w:t>树林</w:t>
            </w:r>
            <w:r>
              <w:rPr>
                <w:rFonts w:hint="default" w:ascii="Times New Roman" w:hAnsi="Times New Roman" w:eastAsia="宋体" w:cs="Times New Roman"/>
                <w:color w:val="auto"/>
                <w:kern w:val="0"/>
                <w:lang w:val="en-US" w:eastAsia="zh-CN"/>
              </w:rPr>
              <w:t>；站址北侧</w:t>
            </w:r>
            <w:r>
              <w:rPr>
                <w:rFonts w:hint="eastAsia" w:ascii="Times New Roman" w:cs="Times New Roman"/>
                <w:color w:val="auto"/>
                <w:kern w:val="0"/>
                <w:lang w:val="en-US" w:eastAsia="zh-CN"/>
              </w:rPr>
              <w:t>隔平安大道（城市主干道）</w:t>
            </w:r>
            <w:r>
              <w:rPr>
                <w:rFonts w:hint="default" w:ascii="Times New Roman" w:hAnsi="Times New Roman" w:eastAsia="宋体" w:cs="Times New Roman"/>
                <w:color w:val="auto"/>
                <w:kern w:val="0"/>
                <w:lang w:val="en-US" w:eastAsia="zh-CN"/>
              </w:rPr>
              <w:t>为</w:t>
            </w:r>
            <w:r>
              <w:rPr>
                <w:rFonts w:hint="eastAsia" w:ascii="Times New Roman" w:cs="Times New Roman"/>
                <w:color w:val="auto"/>
                <w:kern w:val="0"/>
                <w:lang w:val="en-US" w:eastAsia="zh-CN"/>
              </w:rPr>
              <w:t>农田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highlight w:val="none"/>
                <w:lang w:bidi="ar"/>
              </w:rPr>
              <w:t>因此</w:t>
            </w:r>
            <w:r>
              <w:rPr>
                <w:rFonts w:hint="eastAsia" w:ascii="Times New Roman" w:hAnsi="Times New Roman" w:eastAsia="宋体" w:cs="Times New Roman"/>
                <w:color w:val="auto"/>
                <w:kern w:val="0"/>
                <w:highlight w:val="none"/>
                <w:lang w:val="en-US" w:eastAsia="zh-CN" w:bidi="ar"/>
              </w:rPr>
              <w:t>北</w:t>
            </w:r>
            <w:r>
              <w:rPr>
                <w:rFonts w:hint="default" w:ascii="Times New Roman" w:hAnsi="Times New Roman" w:eastAsia="宋体" w:cs="Times New Roman"/>
                <w:color w:val="auto"/>
                <w:kern w:val="0"/>
                <w:sz w:val="24"/>
                <w:szCs w:val="24"/>
                <w:lang w:val="en-US" w:eastAsia="zh-CN"/>
              </w:rPr>
              <w:t>侧</w:t>
            </w:r>
            <w:r>
              <w:rPr>
                <w:rFonts w:hint="default" w:ascii="Times New Roman" w:hAnsi="Times New Roman" w:eastAsia="宋体" w:cs="Times New Roman"/>
                <w:color w:val="auto"/>
                <w:kern w:val="0"/>
                <w:highlight w:val="none"/>
                <w:lang w:bidi="ar"/>
              </w:rPr>
              <w:t>站址边界噪声执行《声环境质量标准》（GB3096-2008）中4a类标准。</w:t>
            </w:r>
          </w:p>
          <w:p>
            <w:pPr>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表4-3 声环境质量标准   单位：dB（A）</w:t>
            </w:r>
          </w:p>
          <w:tbl>
            <w:tblPr>
              <w:tblStyle w:val="27"/>
              <w:tblW w:w="838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07"/>
              <w:gridCol w:w="1883"/>
              <w:gridCol w:w="19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7" w:type="dxa"/>
                  <w:vAlign w:val="center"/>
                </w:tcPr>
                <w:p>
                  <w:pPr>
                    <w:tabs>
                      <w:tab w:val="left" w:pos="5760"/>
                    </w:tabs>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  别</w:t>
                  </w:r>
                </w:p>
              </w:tc>
              <w:tc>
                <w:tcPr>
                  <w:tcW w:w="1883" w:type="dxa"/>
                  <w:vAlign w:val="center"/>
                </w:tcPr>
                <w:p>
                  <w:pPr>
                    <w:tabs>
                      <w:tab w:val="left" w:pos="5760"/>
                    </w:tabs>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  间</w:t>
                  </w:r>
                </w:p>
              </w:tc>
              <w:tc>
                <w:tcPr>
                  <w:tcW w:w="1994" w:type="dxa"/>
                  <w:vAlign w:val="center"/>
                </w:tcPr>
                <w:p>
                  <w:pPr>
                    <w:tabs>
                      <w:tab w:val="left" w:pos="5760"/>
                    </w:tabs>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  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7"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c>
                <w:tcPr>
                  <w:tcW w:w="188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994"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7"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《声环境质量标准》4a类标准</w:t>
                  </w:r>
                </w:p>
              </w:tc>
              <w:tc>
                <w:tcPr>
                  <w:tcW w:w="188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994"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pPr>
              <w:spacing w:line="52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4、地下水质量执行《地下水质量标准》（GB/T14848-2017）III类标准。</w:t>
            </w:r>
          </w:p>
          <w:p>
            <w:pPr>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表4-4 地下水质量标准</w:t>
            </w:r>
          </w:p>
          <w:tbl>
            <w:tblPr>
              <w:tblStyle w:val="27"/>
              <w:tblW w:w="83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19"/>
              <w:gridCol w:w="962"/>
              <w:gridCol w:w="1365"/>
              <w:gridCol w:w="3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302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6.5-8.5</w:t>
                  </w:r>
                </w:p>
              </w:tc>
              <w:tc>
                <w:tcPr>
                  <w:tcW w:w="3022"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《地下水质量标准》</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（GB/T14848-2017）</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硝酸盐</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亚硝酸盐</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挥发性酚类</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氰化物</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铬（六价）</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总硬度</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铁</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锰</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溶解性总固体</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耗氧量</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硫酸盐</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氯化物</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总大肠菌群</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细菌总数</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3022" w:type="dxa"/>
                  <w:vMerge w:val="continue"/>
                  <w:vAlign w:val="center"/>
                </w:tcPr>
                <w:p>
                  <w:pPr>
                    <w:pStyle w:val="36"/>
                    <w:ind w:firstLine="48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2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96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365"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3022"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"http://www.so.com/link?url=http%3A%2F%2Fdown.foodmate.net%2Fstandard%2Fsort%2F3%2F10968.html&amp;q=%E7%94%9F%E6%B4%BB%E9%A5%AE%E7%94%A8%E6%B0%B4%E5%8D%AB%E7%94%9F%E6%A0%87%E5%87%86&amp;ts=1492818678&amp;t=f292eaab4879132ddca0e967c0e58a0&amp;src=haosou" \t "_blank"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1"/>
                      <w:szCs w:val="21"/>
                      <w:highlight w:val="none"/>
                    </w:rPr>
                    <w:t>《生活饮用水卫生标准</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》（GB5749-2006）附录A生活饮用水水质参考指标及限值</w:t>
                  </w:r>
                </w:p>
              </w:tc>
            </w:tr>
          </w:tbl>
          <w:p>
            <w:pPr>
              <w:spacing w:line="520" w:lineRule="exact"/>
              <w:ind w:firstLine="480" w:firstLineChars="200"/>
              <w:rPr>
                <w:rFonts w:hint="default" w:ascii="Times New Roman" w:hAnsi="Times New Roman" w:eastAsia="宋体" w:cs="Times New Roman"/>
                <w:color w:val="FF0000"/>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984" w:hRule="atLeast"/>
        </w:trPr>
        <w:tc>
          <w:tcPr>
            <w:tcW w:w="642" w:type="dxa"/>
            <w:vAlign w:val="center"/>
          </w:tcPr>
          <w:p>
            <w:pPr>
              <w:jc w:val="center"/>
              <w:rPr>
                <w:rFonts w:hint="default" w:ascii="Times New Roman" w:hAnsi="Times New Roman" w:eastAsia="宋体" w:cs="Times New Roman"/>
                <w:color w:val="FF0000"/>
                <w:highlight w:val="none"/>
              </w:rPr>
            </w:pPr>
            <w:r>
              <w:rPr>
                <w:rFonts w:hint="default" w:ascii="Times New Roman" w:hAnsi="Times New Roman" w:eastAsia="宋体" w:cs="Times New Roman"/>
                <w:color w:val="auto"/>
                <w:highlight w:val="none"/>
              </w:rPr>
              <w:t>污染物排放标准</w:t>
            </w:r>
          </w:p>
        </w:tc>
        <w:tc>
          <w:tcPr>
            <w:tcW w:w="8600" w:type="dxa"/>
            <w:vAlign w:val="center"/>
          </w:tcPr>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1、厂界噪声执行《工业企业厂界环境噪声排放标准》（GB12348-2008）表1中的</w:t>
            </w:r>
            <w:r>
              <w:rPr>
                <w:rFonts w:hint="default" w:ascii="Times New Roman" w:hAnsi="Times New Roman" w:eastAsia="宋体" w:cs="Times New Roman"/>
                <w:bCs/>
                <w:color w:val="auto"/>
                <w:highlight w:val="none"/>
                <w:lang w:val="en-US" w:eastAsia="zh-CN"/>
              </w:rPr>
              <w:t>2</w:t>
            </w:r>
            <w:r>
              <w:rPr>
                <w:rFonts w:hint="default" w:ascii="Times New Roman" w:hAnsi="Times New Roman" w:eastAsia="宋体" w:cs="Times New Roman"/>
                <w:bCs/>
                <w:color w:val="auto"/>
                <w:highlight w:val="none"/>
              </w:rPr>
              <w:t>类和4类标准，详见下表。</w:t>
            </w:r>
          </w:p>
          <w:p>
            <w:pPr>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表4-5 </w:t>
            </w:r>
            <w:r>
              <w:rPr>
                <w:rFonts w:hint="default" w:ascii="Times New Roman" w:hAnsi="Times New Roman" w:eastAsia="宋体" w:cs="Times New Roman"/>
                <w:b/>
                <w:bCs/>
                <w:color w:val="auto"/>
                <w:sz w:val="24"/>
                <w:szCs w:val="24"/>
                <w:highlight w:val="none"/>
              </w:rPr>
              <w:t>工业企业厂界环境噪声排放标准</w:t>
            </w:r>
          </w:p>
          <w:tbl>
            <w:tblPr>
              <w:tblStyle w:val="27"/>
              <w:tblW w:w="838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33"/>
              <w:gridCol w:w="2388"/>
              <w:gridCol w:w="2200"/>
              <w:gridCol w:w="19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3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  别</w:t>
                  </w:r>
                </w:p>
              </w:tc>
              <w:tc>
                <w:tcPr>
                  <w:tcW w:w="2388"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  间</w:t>
                  </w:r>
                </w:p>
              </w:tc>
              <w:tc>
                <w:tcPr>
                  <w:tcW w:w="220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  间</w:t>
                  </w:r>
                </w:p>
              </w:tc>
              <w:tc>
                <w:tcPr>
                  <w:tcW w:w="196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3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c>
                <w:tcPr>
                  <w:tcW w:w="2388"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dB（A）</w:t>
                  </w:r>
                </w:p>
              </w:tc>
              <w:tc>
                <w:tcPr>
                  <w:tcW w:w="220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dB（A）</w:t>
                  </w:r>
                </w:p>
              </w:tc>
              <w:tc>
                <w:tcPr>
                  <w:tcW w:w="196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侧、南侧、西侧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3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4类</w:t>
                  </w:r>
                </w:p>
              </w:tc>
              <w:tc>
                <w:tcPr>
                  <w:tcW w:w="2388"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70dB（A）</w:t>
                  </w:r>
                </w:p>
              </w:tc>
              <w:tc>
                <w:tcPr>
                  <w:tcW w:w="220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55dB（A）</w:t>
                  </w:r>
                </w:p>
              </w:tc>
              <w:tc>
                <w:tcPr>
                  <w:tcW w:w="196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w:t>
                  </w:r>
                </w:p>
              </w:tc>
            </w:tr>
          </w:tbl>
          <w:p>
            <w:pPr>
              <w:spacing w:line="440" w:lineRule="atLeast"/>
              <w:ind w:firstLine="480" w:firstLineChars="200"/>
              <w:rPr>
                <w:rFonts w:hint="default" w:ascii="Times New Roman" w:hAnsi="Times New Roman" w:eastAsia="宋体" w:cs="Times New Roman"/>
                <w:bCs/>
                <w:color w:val="auto"/>
                <w:kern w:val="0"/>
                <w:highlight w:val="none"/>
              </w:rPr>
            </w:pPr>
            <w:r>
              <w:rPr>
                <w:rFonts w:hint="default" w:ascii="Times New Roman" w:hAnsi="Times New Roman" w:eastAsia="宋体" w:cs="Times New Roman"/>
                <w:bCs/>
                <w:color w:val="auto"/>
                <w:kern w:val="0"/>
                <w:highlight w:val="none"/>
              </w:rPr>
              <w:t>2、本项目加油站周界非甲烷总烃浓度执行《大气污染物综合排放标准》（GB16297-1996）表2中的非甲烷总烃周界外浓度最高点无组织排放监控浓度限值≤4.0mg/m</w:t>
            </w:r>
            <w:r>
              <w:rPr>
                <w:rFonts w:hint="default" w:ascii="Times New Roman" w:hAnsi="Times New Roman" w:eastAsia="宋体" w:cs="Times New Roman"/>
                <w:bCs/>
                <w:color w:val="auto"/>
                <w:kern w:val="0"/>
                <w:highlight w:val="none"/>
                <w:vertAlign w:val="superscript"/>
              </w:rPr>
              <w:t>3</w:t>
            </w:r>
            <w:r>
              <w:rPr>
                <w:rFonts w:hint="default" w:ascii="Times New Roman" w:hAnsi="Times New Roman" w:eastAsia="宋体" w:cs="Times New Roman"/>
                <w:bCs/>
                <w:color w:val="auto"/>
                <w:kern w:val="0"/>
                <w:highlight w:val="none"/>
              </w:rPr>
              <w:t>。</w:t>
            </w:r>
          </w:p>
          <w:p>
            <w:pPr>
              <w:spacing w:line="440" w:lineRule="atLeast"/>
              <w:ind w:firstLine="434" w:firstLineChars="181"/>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3、本项目施工期颗粒物</w:t>
            </w:r>
            <w:r>
              <w:rPr>
                <w:rFonts w:hint="default" w:ascii="Times New Roman" w:hAnsi="Times New Roman" w:eastAsia="宋体" w:cs="Times New Roman"/>
                <w:bCs/>
                <w:color w:val="auto"/>
                <w:kern w:val="0"/>
                <w:highlight w:val="none"/>
              </w:rPr>
              <w:t>浓度执行《大气污染物综合排放标准》（GB16297-1996）</w:t>
            </w:r>
            <w:r>
              <w:rPr>
                <w:rFonts w:hint="default" w:ascii="Times New Roman" w:hAnsi="Times New Roman" w:eastAsia="宋体" w:cs="Times New Roman"/>
                <w:color w:val="auto"/>
                <w:highlight w:val="none"/>
              </w:rPr>
              <w:t>表2中</w:t>
            </w:r>
            <w:r>
              <w:rPr>
                <w:rFonts w:hint="default" w:ascii="Times New Roman" w:hAnsi="Times New Roman" w:eastAsia="宋体" w:cs="Times New Roman"/>
                <w:bCs/>
                <w:color w:val="auto"/>
                <w:kern w:val="0"/>
                <w:highlight w:val="none"/>
              </w:rPr>
              <w:t>颗粒物周界外浓度最高点无组织排放监控浓度限值≤1.0mg/m</w:t>
            </w:r>
            <w:r>
              <w:rPr>
                <w:rFonts w:hint="default" w:ascii="Times New Roman" w:hAnsi="Times New Roman" w:eastAsia="宋体" w:cs="Times New Roman"/>
                <w:bCs/>
                <w:color w:val="auto"/>
                <w:kern w:val="0"/>
                <w:highlight w:val="none"/>
                <w:vertAlign w:val="superscript"/>
              </w:rPr>
              <w:t>3</w:t>
            </w:r>
            <w:r>
              <w:rPr>
                <w:rFonts w:hint="default" w:ascii="Times New Roman" w:hAnsi="Times New Roman" w:eastAsia="宋体" w:cs="Times New Roman"/>
                <w:bCs/>
                <w:color w:val="auto"/>
                <w:kern w:val="0"/>
                <w:highlight w:val="none"/>
              </w:rPr>
              <w:t>。</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4、本项目施工期间噪声执行《建筑施工场界环境噪声排放标准》（GB12523-2011）标准要求，即昼间≤70dB（A）、夜间≤55dB（A）</w:t>
            </w:r>
          </w:p>
          <w:p>
            <w:pPr>
              <w:spacing w:line="440" w:lineRule="atLeast"/>
              <w:ind w:firstLine="480" w:firstLineChars="200"/>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5、</w:t>
            </w:r>
            <w:r>
              <w:rPr>
                <w:rFonts w:hint="default" w:ascii="Times New Roman" w:hAnsi="Times New Roman" w:eastAsia="宋体" w:cs="Times New Roman"/>
                <w:bCs/>
                <w:color w:val="auto"/>
                <w:highlight w:val="none"/>
              </w:rPr>
              <w:t>《加油站大气污染物排放标准》（GB20952-2007）</w:t>
            </w:r>
            <w:r>
              <w:rPr>
                <w:rFonts w:hint="default" w:ascii="Times New Roman" w:hAnsi="Times New Roman" w:eastAsia="宋体" w:cs="Times New Roman"/>
                <w:bCs/>
                <w:color w:val="auto"/>
                <w:highlight w:val="none"/>
                <w:lang w:eastAsia="zh-CN"/>
              </w:rPr>
              <w:t>。</w:t>
            </w:r>
          </w:p>
          <w:p>
            <w:pPr>
              <w:spacing w:line="440" w:lineRule="atLeast"/>
              <w:ind w:firstLine="480" w:firstLineChars="200"/>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6、</w:t>
            </w:r>
            <w:r>
              <w:rPr>
                <w:rFonts w:hint="default" w:ascii="Times New Roman" w:hAnsi="Times New Roman" w:eastAsia="宋体" w:cs="Times New Roman"/>
                <w:bCs/>
                <w:color w:val="auto"/>
                <w:highlight w:val="none"/>
              </w:rPr>
              <w:t>《挥发性有机物无组织排放控制标准》（GB37822-2019)表A.1厂区内VOCS无组织排放限值要求</w:t>
            </w:r>
            <w:r>
              <w:rPr>
                <w:rFonts w:hint="default" w:ascii="Times New Roman" w:hAnsi="Times New Roman" w:eastAsia="宋体" w:cs="Times New Roman"/>
                <w:bCs/>
                <w:color w:val="auto"/>
                <w:highlight w:val="none"/>
                <w:lang w:eastAsia="zh-CN"/>
              </w:rPr>
              <w:t>。</w:t>
            </w:r>
          </w:p>
          <w:p>
            <w:pPr>
              <w:pStyle w:val="2"/>
              <w:spacing w:line="240" w:lineRule="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highlight w:val="none"/>
              </w:rPr>
              <w:t>表4-</w:t>
            </w:r>
            <w:r>
              <w:rPr>
                <w:rFonts w:hint="default" w:ascii="Times New Roman" w:hAnsi="Times New Roman" w:eastAsia="宋体"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rPr>
              <w:t xml:space="preserve"> 《挥发性有机物无组织排放控制标准》</w:t>
            </w:r>
          </w:p>
          <w:tbl>
            <w:tblPr>
              <w:tblStyle w:val="28"/>
              <w:tblW w:w="838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062"/>
              <w:gridCol w:w="1038"/>
              <w:gridCol w:w="837"/>
              <w:gridCol w:w="4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污染源</w:t>
                  </w:r>
                </w:p>
              </w:tc>
              <w:tc>
                <w:tcPr>
                  <w:tcW w:w="10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污染因子</w:t>
                  </w:r>
                </w:p>
              </w:tc>
              <w:tc>
                <w:tcPr>
                  <w:tcW w:w="103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标准值</w:t>
                  </w:r>
                </w:p>
              </w:tc>
              <w:tc>
                <w:tcPr>
                  <w:tcW w:w="8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单位</w:t>
                  </w:r>
                </w:p>
              </w:tc>
              <w:tc>
                <w:tcPr>
                  <w:tcW w:w="44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5"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lang w:val="en-US" w:eastAsia="zh-CN"/>
                    </w:rPr>
                    <w:t>厂区内VOC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无组织排放限值</w:t>
                  </w:r>
                </w:p>
              </w:tc>
              <w:tc>
                <w:tcPr>
                  <w:tcW w:w="1062"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非甲烷总烃</w:t>
                  </w:r>
                </w:p>
              </w:tc>
              <w:tc>
                <w:tcPr>
                  <w:tcW w:w="103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lang w:val="en-US" w:eastAsia="zh-CN"/>
                    </w:rPr>
                    <w:t>10</w:t>
                  </w:r>
                </w:p>
              </w:tc>
              <w:tc>
                <w:tcPr>
                  <w:tcW w:w="837"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4462" w:type="dxa"/>
                  <w:tcBorders>
                    <w:tl2br w:val="nil"/>
                    <w:tr2bl w:val="nil"/>
                  </w:tcBorders>
                  <w:vAlign w:val="center"/>
                </w:tcPr>
                <w:p>
                  <w:pPr>
                    <w:pStyle w:val="58"/>
                    <w:ind w:firstLine="0" w:firstLineChars="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lang w:val="en-US" w:eastAsia="zh-CN"/>
                    </w:rPr>
                    <w:t>挥发性有机物无组织排放控制标准</w:t>
                  </w:r>
                  <w:r>
                    <w:rPr>
                      <w:rFonts w:hint="default" w:ascii="Times New Roman" w:hAnsi="Times New Roman" w:eastAsia="宋体" w:cs="Times New Roman"/>
                      <w:color w:val="auto"/>
                      <w:sz w:val="21"/>
                      <w:szCs w:val="21"/>
                    </w:rPr>
                    <w:t>》（GB3</w:t>
                  </w:r>
                  <w:r>
                    <w:rPr>
                      <w:rFonts w:hint="default" w:ascii="Times New Roman" w:hAnsi="Times New Roman" w:eastAsia="宋体" w:cs="Times New Roman"/>
                      <w:color w:val="auto"/>
                      <w:sz w:val="21"/>
                      <w:szCs w:val="21"/>
                      <w:lang w:val="en-US" w:eastAsia="zh-CN"/>
                    </w:rPr>
                    <w:t>7822</w:t>
                  </w: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表A.1厂区内VOC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无组织排放限值中厂房外</w:t>
                  </w:r>
                  <w:r>
                    <w:rPr>
                      <w:rFonts w:hint="default" w:ascii="Times New Roman" w:hAnsi="Times New Roman" w:eastAsia="宋体" w:cs="Times New Roman"/>
                      <w:color w:val="auto"/>
                      <w:lang w:val="en-US" w:eastAsia="zh-CN"/>
                    </w:rPr>
                    <w:t>监控点处1h平均浓度值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5"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p>
              </w:tc>
              <w:tc>
                <w:tcPr>
                  <w:tcW w:w="106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p>
              </w:tc>
              <w:tc>
                <w:tcPr>
                  <w:tcW w:w="103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lang w:val="en-US" w:eastAsia="zh-CN"/>
                    </w:rPr>
                    <w:t>30</w:t>
                  </w:r>
                </w:p>
              </w:tc>
              <w:tc>
                <w:tcPr>
                  <w:tcW w:w="837"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4462" w:type="dxa"/>
                  <w:tcBorders>
                    <w:tl2br w:val="nil"/>
                    <w:tr2bl w:val="nil"/>
                  </w:tcBorders>
                  <w:vAlign w:val="center"/>
                </w:tcPr>
                <w:p>
                  <w:pPr>
                    <w:pStyle w:val="58"/>
                    <w:ind w:firstLine="0" w:firstLineChars="0"/>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lang w:val="en-US" w:eastAsia="zh-CN"/>
                    </w:rPr>
                    <w:t>挥发性有机物无组织排放控制标准</w:t>
                  </w:r>
                  <w:r>
                    <w:rPr>
                      <w:rFonts w:hint="default" w:ascii="Times New Roman" w:hAnsi="Times New Roman" w:eastAsia="宋体" w:cs="Times New Roman"/>
                      <w:color w:val="auto"/>
                      <w:sz w:val="21"/>
                      <w:szCs w:val="21"/>
                    </w:rPr>
                    <w:t>》（GB3</w:t>
                  </w:r>
                  <w:r>
                    <w:rPr>
                      <w:rFonts w:hint="default" w:ascii="Times New Roman" w:hAnsi="Times New Roman" w:eastAsia="宋体" w:cs="Times New Roman"/>
                      <w:color w:val="auto"/>
                      <w:sz w:val="21"/>
                      <w:szCs w:val="21"/>
                      <w:lang w:val="en-US" w:eastAsia="zh-CN"/>
                    </w:rPr>
                    <w:t>7822</w:t>
                  </w: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表A.1厂区内VOC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无组织排放限值中厂房外</w:t>
                  </w:r>
                  <w:r>
                    <w:rPr>
                      <w:rFonts w:hint="default" w:ascii="Times New Roman" w:hAnsi="Times New Roman" w:eastAsia="宋体" w:cs="Times New Roman"/>
                      <w:color w:val="auto"/>
                      <w:lang w:val="en-US" w:eastAsia="zh-CN"/>
                    </w:rPr>
                    <w:t>监控点处任意一次浓度值</w:t>
                  </w:r>
                </w:p>
              </w:tc>
            </w:tr>
          </w:tbl>
          <w:p>
            <w:pPr>
              <w:spacing w:line="440" w:lineRule="atLeast"/>
              <w:ind w:firstLine="480" w:firstLineChars="200"/>
              <w:rPr>
                <w:rFonts w:hint="default" w:ascii="Times New Roman" w:hAnsi="Times New Roman" w:eastAsia="宋体" w:cs="Times New Roman"/>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428" w:hRule="atLeast"/>
        </w:trPr>
        <w:tc>
          <w:tcPr>
            <w:tcW w:w="642" w:type="dxa"/>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相关文件</w:t>
            </w:r>
          </w:p>
        </w:tc>
        <w:tc>
          <w:tcPr>
            <w:tcW w:w="8600" w:type="dxa"/>
            <w:vAlign w:val="center"/>
          </w:tcPr>
          <w:p>
            <w:pPr>
              <w:spacing w:line="24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1、《汽车加油加气站设计与施工规范》（GB50156-2012）（2014年版局部修订版）</w:t>
            </w:r>
          </w:p>
          <w:p>
            <w:pPr>
              <w:spacing w:line="24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2、《加油站地下水污染防治技术指南(试行)》</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33" w:hRule="atLeast"/>
        </w:trPr>
        <w:tc>
          <w:tcPr>
            <w:tcW w:w="642" w:type="dxa"/>
            <w:vAlign w:val="center"/>
          </w:tcPr>
          <w:p>
            <w:pPr>
              <w:spacing w:line="3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总量</w:t>
            </w:r>
          </w:p>
        </w:tc>
        <w:tc>
          <w:tcPr>
            <w:tcW w:w="8600" w:type="dxa"/>
            <w:vAlign w:val="center"/>
          </w:tcPr>
          <w:p>
            <w:pPr>
              <w:keepNext w:val="0"/>
              <w:keepLines w:val="0"/>
              <w:suppressLineNumbers w:val="0"/>
              <w:tabs>
                <w:tab w:val="left" w:pos="-93"/>
                <w:tab w:val="left" w:pos="117"/>
              </w:tabs>
              <w:snapToGrid w:val="0"/>
              <w:spacing w:before="0" w:beforeAutospacing="0" w:after="0" w:afterAutospacing="0"/>
              <w:ind w:left="0" w:right="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预测总量：挥发性有机物（VOCs）：</w:t>
            </w:r>
            <w:r>
              <w:rPr>
                <w:rFonts w:hint="eastAsia" w:ascii="Times New Roman" w:hAnsi="Times New Roman" w:eastAsia="宋体" w:cs="Times New Roman"/>
                <w:color w:val="auto"/>
                <w:kern w:val="2"/>
                <w:sz w:val="21"/>
                <w:szCs w:val="21"/>
                <w:lang w:val="en-US" w:eastAsia="zh-CN"/>
              </w:rPr>
              <w:t>4.141</w:t>
            </w:r>
            <w:r>
              <w:rPr>
                <w:rFonts w:hint="default"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0"/>
              </w:rPr>
              <w:t>t/a</w:t>
            </w:r>
          </w:p>
          <w:p>
            <w:pPr>
              <w:keepNext w:val="0"/>
              <w:keepLines w:val="0"/>
              <w:suppressLineNumbers w:val="0"/>
              <w:tabs>
                <w:tab w:val="left" w:pos="-93"/>
                <w:tab w:val="left" w:pos="117"/>
              </w:tabs>
              <w:snapToGrid w:val="0"/>
              <w:spacing w:before="0" w:beforeAutospacing="0" w:after="0" w:afterAutospacing="0"/>
              <w:ind w:left="0" w:right="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0"/>
              </w:rPr>
              <w:t>核</w:t>
            </w:r>
            <w:r>
              <w:rPr>
                <w:rFonts w:hint="default" w:ascii="Times New Roman" w:hAnsi="Times New Roman" w:eastAsia="宋体" w:cs="Times New Roman"/>
                <w:color w:val="auto"/>
                <w:kern w:val="0"/>
                <w:lang w:val="en-US" w:eastAsia="zh-CN"/>
              </w:rPr>
              <w:t>算</w:t>
            </w:r>
            <w:r>
              <w:rPr>
                <w:rFonts w:hint="default" w:ascii="Times New Roman" w:hAnsi="Times New Roman" w:eastAsia="宋体" w:cs="Times New Roman"/>
                <w:color w:val="auto"/>
                <w:kern w:val="0"/>
              </w:rPr>
              <w:t>总量：挥发性有机物（VOCs）：</w:t>
            </w:r>
            <w:r>
              <w:rPr>
                <w:rFonts w:hint="eastAsia" w:ascii="Times New Roman" w:hAnsi="Times New Roman" w:eastAsia="宋体" w:cs="Times New Roman"/>
                <w:color w:val="auto"/>
                <w:kern w:val="2"/>
                <w:sz w:val="21"/>
                <w:szCs w:val="21"/>
                <w:lang w:val="en-US" w:eastAsia="zh-CN"/>
              </w:rPr>
              <w:t>4.141</w:t>
            </w:r>
            <w:r>
              <w:rPr>
                <w:rFonts w:hint="default"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0"/>
              </w:rPr>
              <w:t>t/a；</w:t>
            </w:r>
          </w:p>
        </w:tc>
      </w:tr>
    </w:tbl>
    <w:p>
      <w:pPr>
        <w:pStyle w:val="34"/>
        <w:rPr>
          <w:rFonts w:hint="default" w:ascii="Times New Roman" w:hAnsi="Times New Roman" w:eastAsia="宋体" w:cs="Times New Roman"/>
          <w:color w:val="FF0000"/>
          <w:sz w:val="32"/>
          <w:szCs w:val="32"/>
          <w:highlight w:val="none"/>
        </w:rPr>
      </w:pPr>
      <w:r>
        <w:rPr>
          <w:rFonts w:hint="default" w:ascii="Times New Roman" w:hAnsi="Times New Roman" w:eastAsia="宋体" w:cs="Times New Roman"/>
          <w:color w:val="FF0000"/>
          <w:highlight w:val="none"/>
        </w:rPr>
        <w:br w:type="page"/>
      </w:r>
    </w:p>
    <w:p>
      <w:pPr>
        <w:pStyle w:val="3"/>
        <w:spacing w:before="0" w:after="0" w:line="413" w:lineRule="auto"/>
        <w:rPr>
          <w:rFonts w:hint="default" w:ascii="Times New Roman" w:hAnsi="Times New Roman" w:eastAsia="宋体" w:cs="Times New Roman"/>
          <w:color w:val="auto"/>
          <w:highlight w:val="none"/>
        </w:rPr>
      </w:pPr>
      <w:bookmarkStart w:id="20" w:name="_Toc15838"/>
      <w:r>
        <w:rPr>
          <w:rFonts w:hint="default" w:ascii="Times New Roman" w:hAnsi="Times New Roman" w:eastAsia="宋体" w:cs="Times New Roman"/>
          <w:color w:val="auto"/>
          <w:highlight w:val="none"/>
        </w:rPr>
        <w:t>五、建设项</w:t>
      </w:r>
      <w:bookmarkStart w:id="21" w:name="_Toc251921957"/>
      <w:r>
        <w:rPr>
          <w:rFonts w:hint="default" w:ascii="Times New Roman" w:hAnsi="Times New Roman" w:eastAsia="宋体" w:cs="Times New Roman"/>
          <w:color w:val="auto"/>
          <w:highlight w:val="none"/>
        </w:rPr>
        <w:t>目工程分析及主要污染工序</w:t>
      </w:r>
      <w:bookmarkEnd w:id="20"/>
    </w:p>
    <w:bookmarkEnd w:id="21"/>
    <w:tbl>
      <w:tblPr>
        <w:tblStyle w:val="27"/>
        <w:tblW w:w="9242"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24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242" w:type="dxa"/>
          </w:tcPr>
          <w:p>
            <w:pPr>
              <w:pStyle w:val="14"/>
              <w:autoSpaceDE w:val="0"/>
              <w:autoSpaceDN w:val="0"/>
              <w:adjustRightInd w:val="0"/>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1、工艺流程简述：</w:t>
            </w:r>
          </w:p>
          <w:p>
            <w:pPr>
              <w:pStyle w:val="14"/>
              <w:autoSpaceDE w:val="0"/>
              <w:autoSpaceDN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204460" cy="1765300"/>
                  <wp:effectExtent l="0" t="0" r="152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04460" cy="1765300"/>
                          </a:xfrm>
                          <a:prstGeom prst="rect">
                            <a:avLst/>
                          </a:prstGeom>
                          <a:noFill/>
                          <a:ln w="9525">
                            <a:noFill/>
                          </a:ln>
                        </pic:spPr>
                      </pic:pic>
                    </a:graphicData>
                  </a:graphic>
                </wp:inline>
              </w:drawing>
            </w:r>
          </w:p>
          <w:p>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图5-1 </w:t>
            </w:r>
            <w:r>
              <w:rPr>
                <w:rFonts w:hint="default" w:ascii="Times New Roman" w:hAnsi="Times New Roman" w:eastAsia="宋体" w:cs="Times New Roman"/>
                <w:b/>
                <w:color w:val="auto"/>
                <w:szCs w:val="21"/>
              </w:rPr>
              <w:t>施工期工艺流程图</w:t>
            </w:r>
          </w:p>
          <w:p>
            <w:pPr>
              <w:autoSpaceDE w:val="0"/>
              <w:autoSpaceDN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drawing>
                <wp:inline distT="0" distB="0" distL="114300" distR="114300">
                  <wp:extent cx="5640070" cy="1851660"/>
                  <wp:effectExtent l="0" t="0" r="17780"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640070" cy="1851660"/>
                          </a:xfrm>
                          <a:prstGeom prst="rect">
                            <a:avLst/>
                          </a:prstGeom>
                          <a:noFill/>
                          <a:ln>
                            <a:noFill/>
                          </a:ln>
                        </pic:spPr>
                      </pic:pic>
                    </a:graphicData>
                  </a:graphic>
                </wp:inline>
              </w:drawing>
            </w:r>
          </w:p>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图5-2 </w:t>
            </w:r>
            <w:r>
              <w:rPr>
                <w:rFonts w:hint="default" w:ascii="Times New Roman" w:hAnsi="Times New Roman" w:eastAsia="宋体" w:cs="Times New Roman"/>
                <w:b/>
                <w:color w:val="auto"/>
                <w:szCs w:val="21"/>
              </w:rPr>
              <w:t>营运期工艺流程图</w:t>
            </w:r>
          </w:p>
          <w:p>
            <w:pPr>
              <w:spacing w:line="520" w:lineRule="exact"/>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项目工艺主要由卸油、储存和加油组成。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（1）卸油及卸油油气回收工艺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卸油：该站采用油罐车经连通软管与油罐卸油孔连通卸油的方式卸油。装满汽油、柴油的油槽车到达加油站罐区后，在油罐附近停稳熄火，将连通软管与油罐车的卸油口、储罐的进油口利用密闭快速接头连接好，接好静电接地装置，静止几分钟后开始卸油。油品卸完后，拆除连通软管，人工封闭好油罐进口和罐车卸油口，拆除静电接地装置，发动油品罐车缓慢离开罐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汽油罐卸油油气回收：汽油油罐车卸下一定数量的油品，就需吸入大致相等的气体补充到槽车内部，而加油站内的埋地油罐也因注入油品而向外排出相当数量的油气。通过安装一根气相管线，将油槽车与汽油储罐连通，卸车过程中，油槽车内部的汽油通过卸车管线进入储罐，储罐的油气经过气相管线输回油罐车内，完成密闭式卸油过程。回收到油罐车内的油气，可由油罐车带回油库后，再经油库安装的油气回收设施回收处理。</w:t>
            </w:r>
          </w:p>
          <w:p>
            <w:pPr>
              <w:spacing w:line="360" w:lineRule="auto"/>
              <w:ind w:firstLine="48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4"/>
                <w:szCs w:val="24"/>
              </w:rPr>
              <w:t>卸油及卸油油气回收工艺流程图如下：</w:t>
            </w:r>
          </w:p>
          <w:p>
            <w:pPr>
              <w:ind w:firstLine="537" w:firstLineChars="19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mc:AlternateContent>
                <mc:Choice Requires="wpg">
                  <w:drawing>
                    <wp:inline distT="0" distB="0" distL="114300" distR="114300">
                      <wp:extent cx="5345430" cy="1293495"/>
                      <wp:effectExtent l="5080" t="0" r="2540" b="20955"/>
                      <wp:docPr id="27" name="组合 27"/>
                      <wp:cNvGraphicFramePr/>
                      <a:graphic xmlns:a="http://schemas.openxmlformats.org/drawingml/2006/main">
                        <a:graphicData uri="http://schemas.microsoft.com/office/word/2010/wordprocessingGroup">
                          <wpg:wgp>
                            <wpg:cNvGrpSpPr/>
                            <wpg:grpSpPr>
                              <a:xfrm>
                                <a:off x="0" y="0"/>
                                <a:ext cx="5345430" cy="1293495"/>
                                <a:chOff x="1939" y="1954"/>
                                <a:chExt cx="9050" cy="2064"/>
                              </a:xfrm>
                              <a:effectLst/>
                            </wpg:grpSpPr>
                            <wps:wsp>
                              <wps:cNvPr id="56" name="Rectangle 20"/>
                              <wps:cNvSpPr>
                                <a:spLocks noChangeArrowheads="1"/>
                              </wps:cNvSpPr>
                              <wps:spPr bwMode="auto">
                                <a:xfrm>
                                  <a:off x="5109" y="3247"/>
                                  <a:ext cx="1980" cy="621"/>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57" name="Rectangle 19"/>
                              <wps:cNvSpPr>
                                <a:spLocks noChangeArrowheads="1"/>
                              </wps:cNvSpPr>
                              <wps:spPr bwMode="auto">
                                <a:xfrm>
                                  <a:off x="9009" y="2944"/>
                                  <a:ext cx="1980" cy="621"/>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58" name="Rectangle 18"/>
                              <wps:cNvSpPr>
                                <a:spLocks noChangeArrowheads="1"/>
                              </wps:cNvSpPr>
                              <wps:spPr bwMode="auto">
                                <a:xfrm>
                                  <a:off x="6769" y="1966"/>
                                  <a:ext cx="1980" cy="621"/>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59" name="Rectangle 17"/>
                              <wps:cNvSpPr>
                                <a:spLocks noChangeArrowheads="1"/>
                              </wps:cNvSpPr>
                              <wps:spPr bwMode="auto">
                                <a:xfrm>
                                  <a:off x="3619" y="1954"/>
                                  <a:ext cx="1980" cy="621"/>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60" name="Rectangle 16"/>
                              <wps:cNvSpPr>
                                <a:spLocks noChangeArrowheads="1"/>
                              </wps:cNvSpPr>
                              <wps:spPr bwMode="auto">
                                <a:xfrm>
                                  <a:off x="5239" y="2269"/>
                                  <a:ext cx="1980" cy="501"/>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阀  门</w:t>
                                    </w:r>
                                  </w:p>
                                </w:txbxContent>
                              </wps:txbx>
                              <wps:bodyPr rot="0" vert="horz" wrap="square" lIns="91440" tIns="45720" rIns="91440" bIns="45720" anchor="t" anchorCtr="0" upright="1">
                                <a:noAutofit/>
                              </wps:bodyPr>
                            </wps:wsp>
                            <wps:wsp>
                              <wps:cNvPr id="61" name="Rectangle 15"/>
                              <wps:cNvSpPr>
                                <a:spLocks noChangeArrowheads="1"/>
                              </wps:cNvSpPr>
                              <wps:spPr bwMode="auto">
                                <a:xfrm>
                                  <a:off x="8299" y="2269"/>
                                  <a:ext cx="1980" cy="495"/>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软   管</w:t>
                                    </w:r>
                                  </w:p>
                                </w:txbxContent>
                              </wps:txbx>
                              <wps:bodyPr rot="0" vert="horz" wrap="square" lIns="91440" tIns="45720" rIns="91440" bIns="45720" anchor="t" anchorCtr="0" upright="1">
                                <a:noAutofit/>
                              </wps:bodyPr>
                            </wps:wsp>
                            <wps:wsp>
                              <wps:cNvPr id="62" name="Rectangle 14"/>
                              <wps:cNvSpPr>
                                <a:spLocks noChangeArrowheads="1"/>
                              </wps:cNvSpPr>
                              <wps:spPr bwMode="auto">
                                <a:xfrm>
                                  <a:off x="8299" y="3517"/>
                                  <a:ext cx="1980" cy="501"/>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油罐卸油孔</w:t>
                                    </w:r>
                                  </w:p>
                                </w:txbxContent>
                              </wps:txbx>
                              <wps:bodyPr rot="0" vert="horz" wrap="square" lIns="91440" tIns="45720" rIns="91440" bIns="45720" anchor="t" anchorCtr="0" upright="1">
                                <a:noAutofit/>
                              </wps:bodyPr>
                            </wps:wsp>
                            <wps:wsp>
                              <wps:cNvPr id="63" name="Line 13"/>
                              <wps:cNvCnPr/>
                              <wps:spPr bwMode="auto">
                                <a:xfrm>
                                  <a:off x="4099" y="2491"/>
                                  <a:ext cx="1100" cy="0"/>
                                </a:xfrm>
                                <a:prstGeom prst="line">
                                  <a:avLst/>
                                </a:prstGeom>
                                <a:noFill/>
                                <a:ln w="9525" cmpd="sng">
                                  <a:solidFill>
                                    <a:srgbClr val="000000"/>
                                  </a:solidFill>
                                  <a:round/>
                                  <a:tailEnd type="triangle" w="med" len="med"/>
                                </a:ln>
                                <a:effectLst/>
                              </wps:spPr>
                              <wps:bodyPr/>
                            </wps:wsp>
                            <wps:wsp>
                              <wps:cNvPr id="64" name="Line 12"/>
                              <wps:cNvCnPr/>
                              <wps:spPr bwMode="auto">
                                <a:xfrm>
                                  <a:off x="7219" y="2521"/>
                                  <a:ext cx="1080" cy="0"/>
                                </a:xfrm>
                                <a:prstGeom prst="line">
                                  <a:avLst/>
                                </a:prstGeom>
                                <a:noFill/>
                                <a:ln w="9525" cmpd="sng">
                                  <a:solidFill>
                                    <a:srgbClr val="000000"/>
                                  </a:solidFill>
                                  <a:round/>
                                  <a:tailEnd type="triangle" w="med" len="med"/>
                                </a:ln>
                                <a:effectLst/>
                              </wps:spPr>
                              <wps:bodyPr/>
                            </wps:wsp>
                            <wps:wsp>
                              <wps:cNvPr id="65" name="Line 11"/>
                              <wps:cNvCnPr/>
                              <wps:spPr bwMode="auto">
                                <a:xfrm>
                                  <a:off x="9379" y="2950"/>
                                  <a:ext cx="1" cy="468"/>
                                </a:xfrm>
                                <a:prstGeom prst="line">
                                  <a:avLst/>
                                </a:prstGeom>
                                <a:noFill/>
                                <a:ln w="9525" cmpd="sng">
                                  <a:solidFill>
                                    <a:srgbClr val="000000"/>
                                  </a:solidFill>
                                  <a:round/>
                                  <a:tailEnd type="triangle" w="med" len="med"/>
                                </a:ln>
                                <a:effectLst/>
                              </wps:spPr>
                              <wps:bodyPr/>
                            </wps:wsp>
                            <wps:wsp>
                              <wps:cNvPr id="66" name="Line 10"/>
                              <wps:cNvCnPr/>
                              <wps:spPr bwMode="auto">
                                <a:xfrm flipH="1">
                                  <a:off x="4099" y="3766"/>
                                  <a:ext cx="4180" cy="0"/>
                                </a:xfrm>
                                <a:prstGeom prst="line">
                                  <a:avLst/>
                                </a:prstGeom>
                                <a:noFill/>
                                <a:ln w="9525" cmpd="sng">
                                  <a:solidFill>
                                    <a:srgbClr val="000000"/>
                                  </a:solidFill>
                                  <a:round/>
                                  <a:tailEnd type="triangle" w="med" len="med"/>
                                </a:ln>
                                <a:effectLst/>
                              </wps:spPr>
                              <wps:bodyPr/>
                            </wps:wsp>
                            <wps:wsp>
                              <wps:cNvPr id="67" name="Rectangle 21"/>
                              <wps:cNvSpPr>
                                <a:spLocks noChangeArrowheads="1"/>
                              </wps:cNvSpPr>
                              <wps:spPr bwMode="auto">
                                <a:xfrm>
                                  <a:off x="2061" y="2872"/>
                                  <a:ext cx="1980" cy="426"/>
                                </a:xfrm>
                                <a:prstGeom prst="rect">
                                  <a:avLst/>
                                </a:prstGeom>
                                <a:solidFill>
                                  <a:srgbClr val="FFFFFF"/>
                                </a:solidFill>
                                <a:ln>
                                  <a:noFill/>
                                </a:ln>
                                <a:effectLst/>
                              </wps:spPr>
                              <wps:txbx>
                                <w:txbxContent>
                                  <w:p>
                                    <w:pPr>
                                      <w:jc w:val="center"/>
                                      <w:rPr>
                                        <w:rFonts w:hint="eastAsia"/>
                                        <w:szCs w:val="21"/>
                                      </w:rPr>
                                    </w:pPr>
                                    <w:r>
                                      <w:rPr>
                                        <w:rFonts w:hint="eastAsia"/>
                                        <w:szCs w:val="21"/>
                                      </w:rPr>
                                      <w:t>汽油油气</w:t>
                                    </w:r>
                                  </w:p>
                                </w:txbxContent>
                              </wps:txbx>
                              <wps:bodyPr rot="0" vert="horz" wrap="square" lIns="91440" tIns="45720" rIns="91440" bIns="45720" anchor="t" anchorCtr="0" upright="1">
                                <a:noAutofit/>
                              </wps:bodyPr>
                            </wps:wsp>
                            <wps:wsp>
                              <wps:cNvPr id="68" name="Line 22"/>
                              <wps:cNvCnPr/>
                              <wps:spPr bwMode="auto">
                                <a:xfrm flipV="1">
                                  <a:off x="2421" y="2869"/>
                                  <a:ext cx="1" cy="480"/>
                                </a:xfrm>
                                <a:prstGeom prst="line">
                                  <a:avLst/>
                                </a:prstGeom>
                                <a:noFill/>
                                <a:ln w="9525" cmpd="sng">
                                  <a:solidFill>
                                    <a:srgbClr val="000000"/>
                                  </a:solidFill>
                                  <a:round/>
                                  <a:tailEnd type="triangle" w="med" len="med"/>
                                </a:ln>
                                <a:effectLst/>
                              </wps:spPr>
                              <wps:bodyPr/>
                            </wps:wsp>
                            <wps:wsp>
                              <wps:cNvPr id="69" name="Rectangle 9"/>
                              <wps:cNvSpPr>
                                <a:spLocks noChangeArrowheads="1"/>
                              </wps:cNvSpPr>
                              <wps:spPr bwMode="auto">
                                <a:xfrm>
                                  <a:off x="1939" y="2251"/>
                                  <a:ext cx="2160" cy="474"/>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汽车油槽车</w:t>
                                    </w:r>
                                  </w:p>
                                </w:txbxContent>
                              </wps:txbx>
                              <wps:bodyPr rot="0" vert="horz" wrap="square" lIns="91440" tIns="45720" rIns="91440" bIns="45720" anchor="t" anchorCtr="0" upright="1">
                                <a:noAutofit/>
                              </wps:bodyPr>
                            </wps:wsp>
                            <wps:wsp>
                              <wps:cNvPr id="70" name="Rectangle 8"/>
                              <wps:cNvSpPr>
                                <a:spLocks noChangeArrowheads="1"/>
                              </wps:cNvSpPr>
                              <wps:spPr bwMode="auto">
                                <a:xfrm>
                                  <a:off x="1939" y="3500"/>
                                  <a:ext cx="2160" cy="504"/>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油   罐</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1.85pt;width:420.9pt;" coordorigin="1939,1954" coordsize="9050,2064" o:gfxdata="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BvNUFB1wAAAAUBAAAPAAAAAAAAAAEAIAAAACIAAABkcnMv&#10;ZG93bnJldi54bWxQSwECFAAUAAAACACHTuJAzyDyTekEAADIJQAADgAAAAAAAAABACAAAAAmAQAA&#10;ZHJzL2Uyb0RvYy54bWxQSwUGAAAAAAYABgBZAQAAgQgAAAAA&#10;">
                      <o:lock v:ext="edit" aspectratio="f"/>
                      <v:rect id="Rectangle 20" o:spid="_x0000_s1026" o:spt="1" style="position:absolute;left:5109;top:3247;height:621;width:1980;" fillcolor="#FFFFFF" filled="t" stroked="f" coordsize="21600,21600" o:gfxdata="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RMB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rect id="Rectangle 19" o:spid="_x0000_s1026" o:spt="1" style="position:absolute;left:9009;top:2944;height:621;width:1980;" fillcolor="#FFFFFF" filled="t" stroked="f" coordsize="21600,21600" o:gfxdata="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jpn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rect id="Rectangle 18" o:spid="_x0000_s1026" o:spt="1" style="position:absolute;left:6769;top:1966;height:621;width:1980;" fillcolor="#FFFFFF" filled="t" stroked="f" coordsize="21600,21600" o:gfxdata="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x33v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rect id="Rectangle 17" o:spid="_x0000_s1026" o:spt="1" style="position:absolute;left:3619;top:1954;height:621;width:1980;" fillcolor="#FFFFFF" filled="t" stroked="f" coordsize="21600,21600" o:gfxdata="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L2HS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rect id="Rectangle 16" o:spid="_x0000_s1026" o:spt="1" style="position:absolute;left:5239;top:2269;height:501;width:198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rPr>
                                  <w:rFonts w:hint="eastAsia"/>
                                  <w:szCs w:val="21"/>
                                </w:rPr>
                              </w:pPr>
                              <w:r>
                                <w:rPr>
                                  <w:rFonts w:hint="eastAsia"/>
                                  <w:szCs w:val="21"/>
                                </w:rPr>
                                <w:t>阀  门</w:t>
                              </w:r>
                            </w:p>
                          </w:txbxContent>
                        </v:textbox>
                      </v:rect>
                      <v:rect id="Rectangle 15" o:spid="_x0000_s1026" o:spt="1" style="position:absolute;left:8299;top:2269;height:495;width:198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hint="eastAsia"/>
                                  <w:szCs w:val="21"/>
                                </w:rPr>
                              </w:pPr>
                              <w:r>
                                <w:rPr>
                                  <w:rFonts w:hint="eastAsia"/>
                                  <w:szCs w:val="21"/>
                                </w:rPr>
                                <w:t>软   管</w:t>
                              </w:r>
                            </w:p>
                          </w:txbxContent>
                        </v:textbox>
                      </v:rect>
                      <v:rect id="Rectangle 14" o:spid="_x0000_s1026" o:spt="1" style="position:absolute;left:8299;top:3517;height:501;width:1980;"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hint="eastAsia"/>
                                  <w:szCs w:val="21"/>
                                </w:rPr>
                              </w:pPr>
                              <w:r>
                                <w:rPr>
                                  <w:rFonts w:hint="eastAsia"/>
                                  <w:szCs w:val="21"/>
                                </w:rPr>
                                <w:t>油罐卸油孔</w:t>
                              </w:r>
                            </w:p>
                          </w:txbxContent>
                        </v:textbox>
                      </v:rect>
                      <v:line id="Line 13" o:spid="_x0000_s1026" o:spt="20" style="position:absolute;left:4099;top:2491;height:0;width:110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 o:spid="_x0000_s1026" o:spt="20" style="position:absolute;left:7219;top:2521;height:0;width:108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 o:spid="_x0000_s1026" o:spt="20" style="position:absolute;left:9379;top:2950;height:468;width:1;"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 o:spid="_x0000_s1026" o:spt="20" style="position:absolute;left:4099;top:3766;flip:x;height:0;width:4180;" filled="f" stroked="t" coordsize="21600,21600" o:gfxdata="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lO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1" o:spid="_x0000_s1026" o:spt="1" style="position:absolute;left:2061;top:2872;height:426;width:1980;" fillcolor="#FFFFFF" filled="t" stroked="f" coordsize="21600,21600" o:gfxdata="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0IyC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Cs w:val="21"/>
                                </w:rPr>
                              </w:pPr>
                              <w:r>
                                <w:rPr>
                                  <w:rFonts w:hint="eastAsia"/>
                                  <w:szCs w:val="21"/>
                                </w:rPr>
                                <w:t>汽油油气</w:t>
                              </w:r>
                            </w:p>
                          </w:txbxContent>
                        </v:textbox>
                      </v:rect>
                      <v:line id="Line 22" o:spid="_x0000_s1026" o:spt="20" style="position:absolute;left:2421;top:2869;flip:y;height:480;width:1;" filled="f" stroked="t" coordsize="21600,21600" o:gfxdata="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pQ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9" o:spid="_x0000_s1026" o:spt="1" style="position:absolute;left:1939;top:2251;height:474;width:216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hint="eastAsia"/>
                                  <w:szCs w:val="21"/>
                                </w:rPr>
                              </w:pPr>
                              <w:r>
                                <w:rPr>
                                  <w:rFonts w:hint="eastAsia"/>
                                  <w:szCs w:val="21"/>
                                </w:rPr>
                                <w:t>汽车油槽车</w:t>
                              </w:r>
                            </w:p>
                          </w:txbxContent>
                        </v:textbox>
                      </v:rect>
                      <v:rect id="Rectangle 8" o:spid="_x0000_s1026" o:spt="1" style="position:absolute;left:1939;top:3500;height:504;width:216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hint="eastAsia"/>
                                  <w:szCs w:val="21"/>
                                </w:rPr>
                              </w:pPr>
                              <w:r>
                                <w:rPr>
                                  <w:rFonts w:hint="eastAsia"/>
                                  <w:szCs w:val="21"/>
                                </w:rPr>
                                <w:t>油   罐</w:t>
                              </w:r>
                            </w:p>
                          </w:txbxContent>
                        </v:textbox>
                      </v:rect>
                      <w10:wrap type="none"/>
                      <w10:anchorlock/>
                    </v:group>
                  </w:pict>
                </mc:Fallback>
              </mc:AlternateContent>
            </w:r>
          </w:p>
          <w:p>
            <w:pPr>
              <w:spacing w:beforeLines="50" w:line="480" w:lineRule="auto"/>
              <w:jc w:val="center"/>
              <w:rPr>
                <w:rFonts w:hint="default" w:ascii="Times New Roman" w:hAnsi="Times New Roman" w:eastAsia="宋体" w:cs="Times New Roman"/>
                <w:b/>
                <w:color w:val="auto"/>
                <w:szCs w:val="28"/>
              </w:rPr>
            </w:pPr>
            <w:r>
              <w:rPr>
                <w:rFonts w:hint="default" w:ascii="Times New Roman" w:hAnsi="Times New Roman" w:eastAsia="宋体" w:cs="Times New Roman"/>
                <w:b/>
                <w:color w:val="auto"/>
                <w:szCs w:val="28"/>
              </w:rPr>
              <w:t>图5-3 卸油及卸油油气回收工艺流程图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（2）储油</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对油罐车运来的油品在相应的油罐内进行储存，储存时间为2-3天，从而保证加油站不会出现脱销现象。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（3）加油及汽油油气回收</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1）加油：通过</w:t>
            </w:r>
            <w:r>
              <w:rPr>
                <w:rFonts w:hint="default" w:ascii="Times New Roman" w:hAnsi="Times New Roman" w:eastAsia="宋体" w:cs="Times New Roman"/>
                <w:color w:val="auto"/>
                <w:sz w:val="24"/>
                <w:szCs w:val="24"/>
                <w:lang w:eastAsia="zh-CN"/>
              </w:rPr>
              <w:t>潜油泵</w:t>
            </w:r>
            <w:r>
              <w:rPr>
                <w:rFonts w:hint="default" w:ascii="Times New Roman" w:hAnsi="Times New Roman" w:eastAsia="宋体" w:cs="Times New Roman"/>
                <w:color w:val="auto"/>
                <w:sz w:val="24"/>
                <w:szCs w:val="24"/>
              </w:rPr>
              <w:t>把油品从储油罐抽出，经过加油机的油气分离器、计量器，再经加油枪加到汽车油箱中。</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汽油加油油气回收（分散式）：本站设计加油油气回收采用分散式，汽车加油过程中，将原来油箱口散溢的油气，利用油气回收真空泵通过油气回收专用加油枪收集，经油气回收管线输送至汽油储罐，实现加油与油气等体积置换。</w:t>
            </w:r>
          </w:p>
          <w:p>
            <w:pPr>
              <w:spacing w:line="360" w:lineRule="auto"/>
              <w:ind w:firstLine="48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4"/>
                <w:szCs w:val="24"/>
              </w:rPr>
              <w:t>加油及加油油气回收工艺流程图如下：</w:t>
            </w:r>
          </w:p>
          <w:p>
            <w:pPr>
              <w:ind w:firstLine="537" w:firstLineChars="19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mc:AlternateContent>
                <mc:Choice Requires="wpg">
                  <w:drawing>
                    <wp:inline distT="0" distB="0" distL="114300" distR="114300">
                      <wp:extent cx="5257800" cy="1332230"/>
                      <wp:effectExtent l="4445" t="0" r="14605" b="20320"/>
                      <wp:docPr id="35" name="组合 35"/>
                      <wp:cNvGraphicFramePr/>
                      <a:graphic xmlns:a="http://schemas.openxmlformats.org/drawingml/2006/main">
                        <a:graphicData uri="http://schemas.microsoft.com/office/word/2010/wordprocessingGroup">
                          <wpg:wgp>
                            <wpg:cNvGrpSpPr/>
                            <wpg:grpSpPr>
                              <a:xfrm>
                                <a:off x="0" y="0"/>
                                <a:ext cx="5257800" cy="1332230"/>
                                <a:chOff x="2241" y="3287"/>
                                <a:chExt cx="9030" cy="2098"/>
                              </a:xfrm>
                              <a:effectLst/>
                            </wpg:grpSpPr>
                            <wps:wsp>
                              <wps:cNvPr id="36" name="Rectangle 23"/>
                              <wps:cNvSpPr>
                                <a:spLocks noChangeArrowheads="1"/>
                              </wps:cNvSpPr>
                              <wps:spPr bwMode="auto">
                                <a:xfrm>
                                  <a:off x="7395" y="3312"/>
                                  <a:ext cx="1803" cy="479"/>
                                </a:xfrm>
                                <a:prstGeom prst="rect">
                                  <a:avLst/>
                                </a:prstGeom>
                                <a:solidFill>
                                  <a:srgbClr val="FFFFFF"/>
                                </a:solidFill>
                                <a:ln>
                                  <a:noFill/>
                                </a:ln>
                                <a:effectLst/>
                              </wps:spPr>
                              <wps:txbx>
                                <w:txbxContent>
                                  <w:p>
                                    <w:pPr>
                                      <w:spacing w:line="360" w:lineRule="auto"/>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37" name="Rectangle 25"/>
                              <wps:cNvSpPr>
                                <a:spLocks noChangeArrowheads="1"/>
                              </wps:cNvSpPr>
                              <wps:spPr bwMode="auto">
                                <a:xfrm>
                                  <a:off x="4224" y="3287"/>
                                  <a:ext cx="1623" cy="845"/>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38" name="Rectangle 35"/>
                              <wps:cNvSpPr>
                                <a:spLocks noChangeArrowheads="1"/>
                              </wps:cNvSpPr>
                              <wps:spPr bwMode="auto">
                                <a:xfrm>
                                  <a:off x="4164" y="4592"/>
                                  <a:ext cx="1984" cy="561"/>
                                </a:xfrm>
                                <a:prstGeom prst="rect">
                                  <a:avLst/>
                                </a:prstGeom>
                                <a:solidFill>
                                  <a:srgbClr val="FFFFFF"/>
                                </a:solidFill>
                                <a:ln>
                                  <a:noFill/>
                                </a:ln>
                                <a:effectLst/>
                              </wps:spPr>
                              <wps:txbx>
                                <w:txbxContent>
                                  <w:p>
                                    <w:pPr>
                                      <w:ind w:firstLine="120" w:firstLineChars="50"/>
                                      <w:rPr>
                                        <w:rFonts w:hint="eastAsia"/>
                                        <w:szCs w:val="21"/>
                                      </w:rPr>
                                    </w:pPr>
                                    <w:r>
                                      <w:rPr>
                                        <w:rFonts w:hint="eastAsia"/>
                                        <w:szCs w:val="21"/>
                                      </w:rPr>
                                      <w:t xml:space="preserve">  成品油</w:t>
                                    </w:r>
                                  </w:p>
                                </w:txbxContent>
                              </wps:txbx>
                              <wps:bodyPr rot="0" vert="horz" wrap="square" lIns="91440" tIns="45720" rIns="91440" bIns="45720" anchor="t" anchorCtr="0" upright="1">
                                <a:noAutofit/>
                              </wps:bodyPr>
                            </wps:wsp>
                            <wps:wsp>
                              <wps:cNvPr id="39" name="Rectangle 40"/>
                              <wps:cNvSpPr>
                                <a:spLocks noChangeArrowheads="1"/>
                              </wps:cNvSpPr>
                              <wps:spPr bwMode="auto">
                                <a:xfrm>
                                  <a:off x="7232" y="4542"/>
                                  <a:ext cx="1984" cy="460"/>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40" name="Rectangle 30"/>
                              <wps:cNvSpPr>
                                <a:spLocks noChangeArrowheads="1"/>
                              </wps:cNvSpPr>
                              <wps:spPr bwMode="auto">
                                <a:xfrm>
                                  <a:off x="9319" y="4145"/>
                                  <a:ext cx="1952" cy="425"/>
                                </a:xfrm>
                                <a:prstGeom prst="rect">
                                  <a:avLst/>
                                </a:prstGeom>
                                <a:solidFill>
                                  <a:srgbClr val="FFFFFF"/>
                                </a:solidFill>
                                <a:ln>
                                  <a:noFill/>
                                </a:ln>
                                <a:effectLst/>
                              </wps:spPr>
                              <wps:txbx>
                                <w:txbxContent>
                                  <w:p>
                                    <w:pPr>
                                      <w:jc w:val="center"/>
                                      <w:rPr>
                                        <w:rFonts w:hint="eastAsia"/>
                                        <w:szCs w:val="21"/>
                                      </w:rPr>
                                    </w:pPr>
                                    <w:r>
                                      <w:rPr>
                                        <w:rFonts w:hint="eastAsia"/>
                                        <w:szCs w:val="21"/>
                                      </w:rPr>
                                      <w:t>成品油</w:t>
                                    </w:r>
                                  </w:p>
                                </w:txbxContent>
                              </wps:txbx>
                              <wps:bodyPr rot="0" vert="horz" wrap="square" lIns="91440" tIns="45720" rIns="91440" bIns="45720" anchor="t" anchorCtr="0" upright="1">
                                <a:noAutofit/>
                              </wps:bodyPr>
                            </wps:wsp>
                            <wps:wsp>
                              <wps:cNvPr id="41" name="Line 33"/>
                              <wps:cNvCnPr/>
                              <wps:spPr bwMode="auto">
                                <a:xfrm flipH="1">
                                  <a:off x="9791" y="4115"/>
                                  <a:ext cx="1" cy="525"/>
                                </a:xfrm>
                                <a:prstGeom prst="line">
                                  <a:avLst/>
                                </a:prstGeom>
                                <a:noFill/>
                                <a:ln w="9525" cmpd="sng">
                                  <a:solidFill>
                                    <a:srgbClr val="000000"/>
                                  </a:solidFill>
                                  <a:round/>
                                  <a:tailEnd type="triangle" w="med" len="med"/>
                                </a:ln>
                                <a:effectLst/>
                              </wps:spPr>
                              <wps:bodyPr/>
                            </wps:wsp>
                            <wps:wsp>
                              <wps:cNvPr id="42" name="Rectangle 29"/>
                              <wps:cNvSpPr>
                                <a:spLocks noChangeArrowheads="1"/>
                              </wps:cNvSpPr>
                              <wps:spPr bwMode="auto">
                                <a:xfrm>
                                  <a:off x="5607" y="3469"/>
                                  <a:ext cx="1983" cy="597"/>
                                </a:xfrm>
                                <a:prstGeom prst="rect">
                                  <a:avLst/>
                                </a:prstGeom>
                                <a:solidFill>
                                  <a:srgbClr val="FFFFFF"/>
                                </a:solidFill>
                                <a:ln w="9525" cmpd="sng">
                                  <a:solidFill>
                                    <a:srgbClr val="000000"/>
                                  </a:solidFill>
                                  <a:miter lim="800000"/>
                                </a:ln>
                                <a:effectLst/>
                              </wps:spPr>
                              <wps:txbx>
                                <w:txbxContent>
                                  <w:p>
                                    <w:pPr>
                                      <w:jc w:val="center"/>
                                      <w:rPr>
                                        <w:rFonts w:hint="eastAsia" w:eastAsiaTheme="minorEastAsia"/>
                                        <w:szCs w:val="21"/>
                                        <w:lang w:eastAsia="zh-CN"/>
                                      </w:rPr>
                                    </w:pPr>
                                    <w:r>
                                      <w:rPr>
                                        <w:rFonts w:hint="eastAsia"/>
                                        <w:szCs w:val="21"/>
                                        <w:lang w:eastAsia="zh-CN"/>
                                      </w:rPr>
                                      <w:t>潜油泵</w:t>
                                    </w:r>
                                  </w:p>
                                </w:txbxContent>
                              </wps:txbx>
                              <wps:bodyPr rot="0" vert="horz" wrap="square" lIns="91440" tIns="45720" rIns="91440" bIns="45720" anchor="t" anchorCtr="0" upright="1">
                                <a:noAutofit/>
                              </wps:bodyPr>
                            </wps:wsp>
                            <wps:wsp>
                              <wps:cNvPr id="43" name="Rectangle 28"/>
                              <wps:cNvSpPr>
                                <a:spLocks noChangeArrowheads="1"/>
                              </wps:cNvSpPr>
                              <wps:spPr bwMode="auto">
                                <a:xfrm>
                                  <a:off x="8872" y="3469"/>
                                  <a:ext cx="1984" cy="597"/>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管   道</w:t>
                                    </w:r>
                                  </w:p>
                                </w:txbxContent>
                              </wps:txbx>
                              <wps:bodyPr rot="0" vert="horz" wrap="square" lIns="91440" tIns="45720" rIns="91440" bIns="45720" anchor="t" anchorCtr="0" upright="1">
                                <a:noAutofit/>
                              </wps:bodyPr>
                            </wps:wsp>
                            <wps:wsp>
                              <wps:cNvPr id="44" name="Line 27"/>
                              <wps:cNvCnPr/>
                              <wps:spPr bwMode="auto">
                                <a:xfrm>
                                  <a:off x="4525" y="3770"/>
                                  <a:ext cx="1042" cy="0"/>
                                </a:xfrm>
                                <a:prstGeom prst="line">
                                  <a:avLst/>
                                </a:prstGeom>
                                <a:noFill/>
                                <a:ln w="9525" cmpd="sng">
                                  <a:solidFill>
                                    <a:srgbClr val="000000"/>
                                  </a:solidFill>
                                  <a:round/>
                                  <a:tailEnd type="triangle" w="med" len="med"/>
                                </a:ln>
                                <a:effectLst/>
                              </wps:spPr>
                              <wps:bodyPr/>
                            </wps:wsp>
                            <wps:wsp>
                              <wps:cNvPr id="45" name="Line 26"/>
                              <wps:cNvCnPr/>
                              <wps:spPr bwMode="auto">
                                <a:xfrm>
                                  <a:off x="7620" y="3797"/>
                                  <a:ext cx="1242" cy="0"/>
                                </a:xfrm>
                                <a:prstGeom prst="line">
                                  <a:avLst/>
                                </a:prstGeom>
                                <a:noFill/>
                                <a:ln w="9525" cmpd="sng">
                                  <a:solidFill>
                                    <a:srgbClr val="000000"/>
                                  </a:solidFill>
                                  <a:round/>
                                  <a:tailEnd type="triangle" w="med" len="med"/>
                                </a:ln>
                                <a:effectLst/>
                              </wps:spPr>
                              <wps:bodyPr/>
                            </wps:wsp>
                            <wps:wsp>
                              <wps:cNvPr id="46" name="Rectangle 39"/>
                              <wps:cNvSpPr>
                                <a:spLocks noChangeArrowheads="1"/>
                              </wps:cNvSpPr>
                              <wps:spPr bwMode="auto">
                                <a:xfrm>
                                  <a:off x="8872" y="4789"/>
                                  <a:ext cx="1984" cy="596"/>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加油机</w:t>
                                    </w:r>
                                  </w:p>
                                </w:txbxContent>
                              </wps:txbx>
                              <wps:bodyPr rot="0" vert="horz" wrap="square" lIns="91440" tIns="45720" rIns="91440" bIns="45720" anchor="t" anchorCtr="0" upright="1">
                                <a:noAutofit/>
                              </wps:bodyPr>
                            </wps:wsp>
                            <wps:wsp>
                              <wps:cNvPr id="47" name="Rectangle 38"/>
                              <wps:cNvSpPr>
                                <a:spLocks noChangeArrowheads="1"/>
                              </wps:cNvSpPr>
                              <wps:spPr bwMode="auto">
                                <a:xfrm>
                                  <a:off x="5607" y="4789"/>
                                  <a:ext cx="1983" cy="596"/>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加油枪</w:t>
                                    </w:r>
                                  </w:p>
                                </w:txbxContent>
                              </wps:txbx>
                              <wps:bodyPr rot="0" vert="horz" wrap="square" lIns="91440" tIns="45720" rIns="91440" bIns="45720" anchor="t" anchorCtr="0" upright="1">
                                <a:noAutofit/>
                              </wps:bodyPr>
                            </wps:wsp>
                            <wps:wsp>
                              <wps:cNvPr id="48" name="Rectangle 32"/>
                              <wps:cNvSpPr>
                                <a:spLocks noChangeArrowheads="1"/>
                              </wps:cNvSpPr>
                              <wps:spPr bwMode="auto">
                                <a:xfrm>
                                  <a:off x="2481" y="4257"/>
                                  <a:ext cx="1984" cy="528"/>
                                </a:xfrm>
                                <a:prstGeom prst="rect">
                                  <a:avLst/>
                                </a:prstGeom>
                                <a:solidFill>
                                  <a:srgbClr val="FFFFFF"/>
                                </a:solidFill>
                                <a:ln>
                                  <a:noFill/>
                                </a:ln>
                                <a:effectLst/>
                              </wps:spPr>
                              <wps:txbx>
                                <w:txbxContent>
                                  <w:p>
                                    <w:pPr>
                                      <w:jc w:val="center"/>
                                      <w:rPr>
                                        <w:rFonts w:hint="eastAsia"/>
                                        <w:szCs w:val="21"/>
                                      </w:rPr>
                                    </w:pPr>
                                    <w:r>
                                      <w:rPr>
                                        <w:rFonts w:hint="eastAsia"/>
                                        <w:szCs w:val="21"/>
                                      </w:rPr>
                                      <w:t xml:space="preserve"> 汽油油气</w:t>
                                    </w:r>
                                  </w:p>
                                  <w:p>
                                    <w:pPr>
                                      <w:rPr>
                                        <w:szCs w:val="21"/>
                                      </w:rPr>
                                    </w:pPr>
                                  </w:p>
                                </w:txbxContent>
                              </wps:txbx>
                              <wps:bodyPr rot="0" vert="horz" wrap="square" lIns="91440" tIns="45720" rIns="91440" bIns="45720" anchor="t" anchorCtr="0" upright="1">
                                <a:noAutofit/>
                              </wps:bodyPr>
                            </wps:wsp>
                            <wps:wsp>
                              <wps:cNvPr id="50" name="Rectangle 24"/>
                              <wps:cNvSpPr>
                                <a:spLocks noChangeArrowheads="1"/>
                              </wps:cNvSpPr>
                              <wps:spPr bwMode="auto">
                                <a:xfrm>
                                  <a:off x="2241" y="3517"/>
                                  <a:ext cx="2164" cy="596"/>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油   罐</w:t>
                                    </w:r>
                                  </w:p>
                                </w:txbxContent>
                              </wps:txbx>
                              <wps:bodyPr rot="0" vert="horz" wrap="square" lIns="91440" tIns="45720" rIns="91440" bIns="45720" anchor="t" anchorCtr="0" upright="1">
                                <a:noAutofit/>
                              </wps:bodyPr>
                            </wps:wsp>
                            <wps:wsp>
                              <wps:cNvPr id="51" name="Rectangle 34"/>
                              <wps:cNvSpPr>
                                <a:spLocks noChangeArrowheads="1"/>
                              </wps:cNvSpPr>
                              <wps:spPr bwMode="auto">
                                <a:xfrm>
                                  <a:off x="2241" y="4780"/>
                                  <a:ext cx="2164" cy="596"/>
                                </a:xfrm>
                                <a:prstGeom prst="rect">
                                  <a:avLst/>
                                </a:prstGeom>
                                <a:solidFill>
                                  <a:srgbClr val="FFFFFF"/>
                                </a:solidFill>
                                <a:ln w="9525" cmpd="sng">
                                  <a:solidFill>
                                    <a:srgbClr val="000000"/>
                                  </a:solidFill>
                                  <a:miter lim="800000"/>
                                </a:ln>
                                <a:effectLst/>
                              </wps:spPr>
                              <wps:txbx>
                                <w:txbxContent>
                                  <w:p>
                                    <w:pPr>
                                      <w:jc w:val="center"/>
                                      <w:rPr>
                                        <w:rFonts w:hint="eastAsia"/>
                                        <w:szCs w:val="21"/>
                                      </w:rPr>
                                    </w:pPr>
                                    <w:r>
                                      <w:rPr>
                                        <w:rFonts w:hint="eastAsia"/>
                                        <w:szCs w:val="21"/>
                                      </w:rPr>
                                      <w:t>受油容器</w:t>
                                    </w:r>
                                  </w:p>
                                </w:txbxContent>
                              </wps:txbx>
                              <wps:bodyPr rot="0" vert="horz" wrap="square" lIns="91440" tIns="45720" rIns="91440" bIns="45720" anchor="t" anchorCtr="0" upright="1">
                                <a:noAutofit/>
                              </wps:bodyPr>
                            </wps:wsp>
                            <wps:wsp>
                              <wps:cNvPr id="52" name="Line 37"/>
                              <wps:cNvCnPr/>
                              <wps:spPr bwMode="auto">
                                <a:xfrm flipH="1">
                                  <a:off x="4511" y="5092"/>
                                  <a:ext cx="901" cy="0"/>
                                </a:xfrm>
                                <a:prstGeom prst="line">
                                  <a:avLst/>
                                </a:prstGeom>
                                <a:noFill/>
                                <a:ln w="9525" cmpd="sng">
                                  <a:solidFill>
                                    <a:srgbClr val="000000"/>
                                  </a:solidFill>
                                  <a:round/>
                                  <a:tailEnd type="triangle" w="med" len="med"/>
                                </a:ln>
                                <a:effectLst/>
                              </wps:spPr>
                              <wps:bodyPr/>
                            </wps:wsp>
                            <wps:wsp>
                              <wps:cNvPr id="53" name="Line 36"/>
                              <wps:cNvCnPr/>
                              <wps:spPr bwMode="auto">
                                <a:xfrm flipH="1">
                                  <a:off x="7770" y="5106"/>
                                  <a:ext cx="902" cy="0"/>
                                </a:xfrm>
                                <a:prstGeom prst="line">
                                  <a:avLst/>
                                </a:prstGeom>
                                <a:noFill/>
                                <a:ln w="9525" cmpd="sng">
                                  <a:solidFill>
                                    <a:srgbClr val="000000"/>
                                  </a:solidFill>
                                  <a:round/>
                                  <a:tailEnd type="triangle" w="med" len="med"/>
                                </a:ln>
                                <a:effectLst/>
                              </wps:spPr>
                              <wps:bodyPr/>
                            </wps:wsp>
                            <wps:wsp>
                              <wps:cNvPr id="54" name="Line 31"/>
                              <wps:cNvCnPr/>
                              <wps:spPr bwMode="auto">
                                <a:xfrm flipV="1">
                                  <a:off x="2746" y="4135"/>
                                  <a:ext cx="1" cy="542"/>
                                </a:xfrm>
                                <a:prstGeom prst="line">
                                  <a:avLst/>
                                </a:prstGeom>
                                <a:noFill/>
                                <a:ln w="9525" cmpd="sng">
                                  <a:solidFill>
                                    <a:srgbClr val="000000"/>
                                  </a:solidFill>
                                  <a:round/>
                                  <a:tailEnd type="triangle" w="med" len="med"/>
                                </a:ln>
                                <a:effectLst/>
                              </wps:spPr>
                              <wps:bodyPr/>
                            </wps:wsp>
                          </wpg:wgp>
                        </a:graphicData>
                      </a:graphic>
                    </wp:inline>
                  </w:drawing>
                </mc:Choice>
                <mc:Fallback>
                  <w:pict>
                    <v:group id="_x0000_s1026" o:spid="_x0000_s1026" o:spt="203" style="height:104.9pt;width:414pt;" coordorigin="2241,3287" coordsize="9030,2098" o:gfxdata="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wb39HNUAAAAFAQAADwAAAAAAAAABACAA&#10;AAAiAAAAZHJzL2Rvd25yZXYueG1sUEsBAhQAFAAAAAgAh07iQPLer8FnBQAA1ywAAA4AAAAAAAAA&#10;AQAgAAAAJAEAAGRycy9lMm9Eb2MueG1sUEsFBgAAAAAGAAYAWQEAAP0IAAAAAA==&#10;">
                      <o:lock v:ext="edit" aspectratio="f"/>
                      <v:rect id="Rectangle 23" o:spid="_x0000_s1026" o:spt="1" style="position:absolute;left:7395;top:3312;height:479;width:1803;"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spacing w:line="360" w:lineRule="auto"/>
                                <w:jc w:val="center"/>
                                <w:rPr>
                                  <w:rFonts w:hint="eastAsia"/>
                                  <w:szCs w:val="21"/>
                                </w:rPr>
                              </w:pPr>
                              <w:r>
                                <w:rPr>
                                  <w:rFonts w:hint="eastAsia"/>
                                  <w:szCs w:val="21"/>
                                </w:rPr>
                                <w:t>成品油</w:t>
                              </w:r>
                            </w:p>
                          </w:txbxContent>
                        </v:textbox>
                      </v:rect>
                      <v:rect id="Rectangle 25" o:spid="_x0000_s1026" o:spt="1" style="position:absolute;left:4224;top:3287;height:845;width:1623;" fillcolor="#FFFFFF" filled="t" stroked="f" coordsize="21600,21600" o:gfxdata="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cMP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rect id="Rectangle 35" o:spid="_x0000_s1026" o:spt="1" style="position:absolute;left:4164;top:4592;height:561;width:1984;" fillcolor="#FFFFFF" filled="t" stroked="f" coordsize="21600,21600" o:gfxdata="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JhP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ind w:firstLine="120" w:firstLineChars="50"/>
                                <w:rPr>
                                  <w:rFonts w:hint="eastAsia"/>
                                  <w:szCs w:val="21"/>
                                </w:rPr>
                              </w:pPr>
                              <w:r>
                                <w:rPr>
                                  <w:rFonts w:hint="eastAsia"/>
                                  <w:szCs w:val="21"/>
                                </w:rPr>
                                <w:t xml:space="preserve">  成品油</w:t>
                              </w:r>
                            </w:p>
                          </w:txbxContent>
                        </v:textbox>
                      </v:rect>
                      <v:rect id="Rectangle 40" o:spid="_x0000_s1026" o:spt="1" style="position:absolute;left:7232;top:4542;height:460;width:1984;" fillcolor="#FFFFFF" filled="t" stroked="f" coordsize="21600,21600" o:gfxdata="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UPdS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rect id="Rectangle 30" o:spid="_x0000_s1026" o:spt="1" style="position:absolute;left:9319;top:4145;height:425;width:1952;"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rFonts w:hint="eastAsia"/>
                                  <w:szCs w:val="21"/>
                                </w:rPr>
                              </w:pPr>
                              <w:r>
                                <w:rPr>
                                  <w:rFonts w:hint="eastAsia"/>
                                  <w:szCs w:val="21"/>
                                </w:rPr>
                                <w:t>成品油</w:t>
                              </w:r>
                            </w:p>
                          </w:txbxContent>
                        </v:textbox>
                      </v:rect>
                      <v:line id="Line 33" o:spid="_x0000_s1026" o:spt="20" style="position:absolute;left:9791;top:4115;flip:x;height:525;width:1;"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29" o:spid="_x0000_s1026" o:spt="1" style="position:absolute;left:5607;top:3469;height:597;width:1983;"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hint="eastAsia" w:eastAsiaTheme="minorEastAsia"/>
                                  <w:szCs w:val="21"/>
                                  <w:lang w:eastAsia="zh-CN"/>
                                </w:rPr>
                              </w:pPr>
                              <w:r>
                                <w:rPr>
                                  <w:rFonts w:hint="eastAsia"/>
                                  <w:szCs w:val="21"/>
                                  <w:lang w:eastAsia="zh-CN"/>
                                </w:rPr>
                                <w:t>潜油泵</w:t>
                              </w:r>
                            </w:p>
                          </w:txbxContent>
                        </v:textbox>
                      </v:rect>
                      <v:rect id="Rectangle 28" o:spid="_x0000_s1026" o:spt="1" style="position:absolute;left:8872;top:3469;height:597;width:1984;"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hint="eastAsia"/>
                                  <w:szCs w:val="21"/>
                                </w:rPr>
                              </w:pPr>
                              <w:r>
                                <w:rPr>
                                  <w:rFonts w:hint="eastAsia"/>
                                  <w:szCs w:val="21"/>
                                </w:rPr>
                                <w:t>管   道</w:t>
                              </w:r>
                            </w:p>
                          </w:txbxContent>
                        </v:textbox>
                      </v:rect>
                      <v:line id="Line 27" o:spid="_x0000_s1026" o:spt="20" style="position:absolute;left:4525;top:3770;height:0;width:1042;"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6" o:spid="_x0000_s1026" o:spt="20" style="position:absolute;left:7620;top:3797;height:0;width:1242;"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9" o:spid="_x0000_s1026" o:spt="1" style="position:absolute;left:8872;top:4789;height:596;width:1984;"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hint="eastAsia"/>
                                  <w:szCs w:val="21"/>
                                </w:rPr>
                              </w:pPr>
                              <w:r>
                                <w:rPr>
                                  <w:rFonts w:hint="eastAsia"/>
                                  <w:szCs w:val="21"/>
                                </w:rPr>
                                <w:t>加油机</w:t>
                              </w:r>
                            </w:p>
                          </w:txbxContent>
                        </v:textbox>
                      </v:rect>
                      <v:rect id="Rectangle 38" o:spid="_x0000_s1026" o:spt="1" style="position:absolute;left:5607;top:4789;height:596;width:1983;"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hint="eastAsia"/>
                                  <w:szCs w:val="21"/>
                                </w:rPr>
                              </w:pPr>
                              <w:r>
                                <w:rPr>
                                  <w:rFonts w:hint="eastAsia"/>
                                  <w:szCs w:val="21"/>
                                </w:rPr>
                                <w:t>加油枪</w:t>
                              </w:r>
                            </w:p>
                          </w:txbxContent>
                        </v:textbox>
                      </v:rect>
                      <v:rect id="Rectangle 32" o:spid="_x0000_s1026" o:spt="1" style="position:absolute;left:2481;top:4257;height:528;width:1984;" fillcolor="#FFFFFF" filled="t" stroked="f" coordsize="21600,21600" o:gfxdata="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usy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rFonts w:hint="eastAsia"/>
                                  <w:szCs w:val="21"/>
                                </w:rPr>
                              </w:pPr>
                              <w:r>
                                <w:rPr>
                                  <w:rFonts w:hint="eastAsia"/>
                                  <w:szCs w:val="21"/>
                                </w:rPr>
                                <w:t xml:space="preserve"> 汽油油气</w:t>
                              </w:r>
                            </w:p>
                            <w:p>
                              <w:pPr>
                                <w:rPr>
                                  <w:szCs w:val="21"/>
                                </w:rPr>
                              </w:pPr>
                            </w:p>
                          </w:txbxContent>
                        </v:textbox>
                      </v:rect>
                      <v:rect id="Rectangle 24" o:spid="_x0000_s1026" o:spt="1" style="position:absolute;left:2241;top:3517;height:596;width:2164;"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hint="eastAsia"/>
                                  <w:szCs w:val="21"/>
                                </w:rPr>
                              </w:pPr>
                              <w:r>
                                <w:rPr>
                                  <w:rFonts w:hint="eastAsia"/>
                                  <w:szCs w:val="21"/>
                                </w:rPr>
                                <w:t>油   罐</w:t>
                              </w:r>
                            </w:p>
                          </w:txbxContent>
                        </v:textbox>
                      </v:rect>
                      <v:rect id="Rectangle 34" o:spid="_x0000_s1026" o:spt="1" style="position:absolute;left:2241;top:4780;height:596;width:2164;"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hint="eastAsia"/>
                                  <w:szCs w:val="21"/>
                                </w:rPr>
                              </w:pPr>
                              <w:r>
                                <w:rPr>
                                  <w:rFonts w:hint="eastAsia"/>
                                  <w:szCs w:val="21"/>
                                </w:rPr>
                                <w:t>受油容器</w:t>
                              </w:r>
                            </w:p>
                          </w:txbxContent>
                        </v:textbox>
                      </v:rect>
                      <v:line id="Line 37" o:spid="_x0000_s1026" o:spt="20" style="position:absolute;left:4511;top:5092;flip:x;height:0;width:901;" filled="f" stroked="t" coordsize="21600,21600" o:gfxdata="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ZYW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6" o:spid="_x0000_s1026" o:spt="20" style="position:absolute;left:7770;top:5106;flip:x;height:0;width:902;"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1" o:spid="_x0000_s1026" o:spt="20" style="position:absolute;left:2746;top:4135;flip:y;height:542;width:1;"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spacing w:beforeLines="50" w:line="480" w:lineRule="auto"/>
              <w:jc w:val="center"/>
              <w:rPr>
                <w:rFonts w:hint="default" w:ascii="Times New Roman" w:hAnsi="Times New Roman" w:eastAsia="宋体" w:cs="Times New Roman"/>
                <w:b/>
                <w:color w:val="auto"/>
                <w:szCs w:val="28"/>
              </w:rPr>
            </w:pPr>
            <w:r>
              <w:rPr>
                <w:rFonts w:hint="default" w:ascii="Times New Roman" w:hAnsi="Times New Roman" w:eastAsia="宋体" w:cs="Times New Roman"/>
                <w:b/>
                <w:color w:val="auto"/>
                <w:szCs w:val="28"/>
              </w:rPr>
              <w:t>图5-</w:t>
            </w:r>
            <w:r>
              <w:rPr>
                <w:rFonts w:hint="default" w:ascii="Times New Roman" w:hAnsi="Times New Roman" w:eastAsia="宋体" w:cs="Times New Roman"/>
                <w:b/>
                <w:color w:val="auto"/>
                <w:szCs w:val="28"/>
                <w:lang w:val="en-US" w:eastAsia="zh-CN"/>
              </w:rPr>
              <w:t>4</w:t>
            </w:r>
            <w:r>
              <w:rPr>
                <w:rFonts w:hint="default" w:ascii="Times New Roman" w:hAnsi="Times New Roman" w:eastAsia="宋体" w:cs="Times New Roman"/>
                <w:b/>
                <w:color w:val="auto"/>
                <w:szCs w:val="28"/>
              </w:rPr>
              <w:t xml:space="preserve">  加油及加油油气回收工艺流程图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2、油气回收装置工艺流程简述</w:t>
            </w: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本项目拟定建立二级油气回收系统对运营期间产生的非甲烷总烃进行回收。</w:t>
            </w: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油气回收工艺流程简述：油气回收工艺包括两个阶段，一阶段油气回收系统是指采用密闭卸车方式将油料从油罐车卸进地下储油罐时，油罐内油气返回到油罐车的气相平衡式油气回收系统。二阶段油气回收系统是真空辅助式油气回收系统。利用真空泵的外力将加油作业过程中逃逸出来的油气回收到储油罐的回收系统。油气回收系统的油气回收率高于90%，回收的油气最终通过油罐车将油气带回油库进行处理，达到油气回收目的。</w:t>
            </w:r>
          </w:p>
          <w:p>
            <w:pPr>
              <w:snapToGrid w:val="0"/>
              <w:ind w:firstLine="48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储油罐内的油气因压力变化通过储油罐呼吸管排放，储油罐呼吸管排放口安装呼吸</w:t>
            </w:r>
          </w:p>
          <w:p>
            <w:pPr>
              <w:snapToGrid w:val="0"/>
              <w:jc w:val="both"/>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bCs/>
                <w:color w:val="auto"/>
                <w:sz w:val="24"/>
                <w:szCs w:val="24"/>
              </w:rPr>
              <w:t>阀，</w:t>
            </w:r>
            <w:r>
              <w:rPr>
                <w:rFonts w:hint="default" w:ascii="Times New Roman" w:hAnsi="Times New Roman" w:eastAsia="宋体" w:cs="Times New Roman"/>
                <w:bCs/>
                <w:color w:val="auto"/>
                <w:sz w:val="24"/>
                <w:szCs w:val="24"/>
                <w:lang w:val="en-US" w:eastAsia="zh-CN"/>
              </w:rPr>
              <w:t>通气管管口</w:t>
            </w:r>
            <w:r>
              <w:rPr>
                <w:rFonts w:hint="default" w:ascii="Times New Roman" w:hAnsi="Times New Roman" w:eastAsia="宋体" w:cs="Times New Roman"/>
                <w:bCs/>
                <w:color w:val="auto"/>
                <w:sz w:val="24"/>
                <w:szCs w:val="24"/>
              </w:rPr>
              <w:t>高度为5m。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9242" w:type="dxa"/>
          </w:tcPr>
          <w:p>
            <w:pPr>
              <w:spacing w:line="440" w:lineRule="atLeas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主要污染工序</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一、施工期</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本项目为</w:t>
            </w:r>
            <w:r>
              <w:rPr>
                <w:rFonts w:hint="default" w:ascii="Times New Roman" w:hAnsi="Times New Roman" w:eastAsia="宋体" w:cs="Times New Roman"/>
                <w:color w:val="auto"/>
                <w:highlight w:val="none"/>
                <w:lang w:eastAsia="zh-CN"/>
              </w:rPr>
              <w:t>新建</w:t>
            </w:r>
            <w:r>
              <w:rPr>
                <w:rFonts w:hint="default" w:ascii="Times New Roman" w:hAnsi="Times New Roman" w:eastAsia="宋体" w:cs="Times New Roman"/>
                <w:color w:val="auto"/>
                <w:highlight w:val="none"/>
              </w:rPr>
              <w:t>项目，施工期间会对环境造成一定影响，主要表现在以下几个方面：</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1、场地平整、各类建材及土石方进出施工现场带来的扬尘影响；</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2、施工作业产生的含泥沙废水以及人员生活污水排放对环境造成的影响；</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3、各类建筑机械噪声对周围声环境造成一定影响；</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4、因土方开挖而造成土方增加和建筑过程中产生的建筑垃圾</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施工人员生活垃圾对环境的影响。</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二、运行期</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1、废水</w:t>
            </w:r>
          </w:p>
          <w:p>
            <w:pPr>
              <w:keepNext w:val="0"/>
              <w:keepLines w:val="0"/>
              <w:suppressLineNumbers w:val="0"/>
              <w:tabs>
                <w:tab w:val="left" w:pos="5760"/>
              </w:tabs>
              <w:spacing w:before="0" w:beforeAutospacing="0" w:after="0" w:afterAutospacing="0" w:line="520" w:lineRule="exact"/>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本项目运行期间产生的废水是生活污水。</w:t>
            </w:r>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生活污水主要是工作人员的生活废水，水中污染物主要是COD和氨氮。</w:t>
            </w:r>
            <w:r>
              <w:rPr>
                <w:rFonts w:hint="default" w:ascii="Times New Roman" w:hAnsi="Times New Roman" w:eastAsia="宋体" w:cs="Times New Roman"/>
                <w:color w:val="auto"/>
                <w:sz w:val="24"/>
                <w:szCs w:val="24"/>
              </w:rPr>
              <w:t>本项目职工生活用水量约为</w:t>
            </w:r>
            <w:r>
              <w:rPr>
                <w:rFonts w:hint="default" w:ascii="Times New Roman" w:hAnsi="Times New Roman" w:eastAsia="宋体" w:cs="Times New Roman"/>
                <w:color w:val="auto"/>
                <w:kern w:val="0"/>
                <w:lang w:eastAsia="zh-CN"/>
              </w:rPr>
              <w:t>0.</w:t>
            </w:r>
            <w:r>
              <w:rPr>
                <w:rFonts w:hint="eastAsia" w:ascii="Times New Roman" w:hAnsi="Times New Roman" w:eastAsia="宋体" w:cs="Times New Roman"/>
                <w:color w:val="auto"/>
                <w:kern w:val="0"/>
                <w:lang w:val="en-US" w:eastAsia="zh-CN"/>
              </w:rPr>
              <w:t>18</w:t>
            </w:r>
            <w:r>
              <w:rPr>
                <w:rFonts w:hint="default" w:ascii="Times New Roman" w:hAnsi="Times New Roman" w:eastAsia="宋体" w:cs="Times New Roman"/>
                <w:color w:val="auto"/>
                <w:kern w:val="0"/>
                <w:lang w:eastAsia="zh-CN"/>
              </w:rPr>
              <w:t>t/d，</w:t>
            </w:r>
            <w:r>
              <w:rPr>
                <w:rFonts w:hint="eastAsia" w:ascii="Times New Roman" w:hAnsi="Times New Roman" w:eastAsia="宋体" w:cs="Times New Roman"/>
                <w:color w:val="auto"/>
                <w:kern w:val="0"/>
                <w:lang w:eastAsia="zh-CN"/>
              </w:rPr>
              <w:t>65.7t/a</w:t>
            </w:r>
            <w:r>
              <w:rPr>
                <w:rFonts w:hint="default" w:ascii="Times New Roman" w:hAnsi="Times New Roman" w:eastAsia="宋体" w:cs="Times New Roman"/>
                <w:color w:val="auto"/>
                <w:sz w:val="24"/>
                <w:szCs w:val="24"/>
              </w:rPr>
              <w:t>，生活污水产生系数为80%，则职工生活污水量为</w:t>
            </w:r>
            <w:r>
              <w:rPr>
                <w:rFonts w:hint="eastAsia" w:ascii="Times New Roman" w:hAnsi="Times New Roman" w:eastAsia="宋体" w:cs="Times New Roman"/>
                <w:bCs/>
                <w:color w:val="auto"/>
                <w:kern w:val="0"/>
                <w:sz w:val="24"/>
                <w:szCs w:val="24"/>
                <w:lang w:eastAsia="zh-CN"/>
              </w:rPr>
              <w:t>0.144</w:t>
            </w:r>
            <w:r>
              <w:rPr>
                <w:rFonts w:hint="default" w:ascii="Times New Roman" w:hAnsi="Times New Roman" w:eastAsia="宋体" w:cs="Times New Roman"/>
                <w:bCs/>
                <w:color w:val="auto"/>
                <w:kern w:val="0"/>
                <w:sz w:val="24"/>
                <w:szCs w:val="24"/>
                <w:lang w:val="en-US" w:eastAsia="zh-CN"/>
              </w:rPr>
              <w:t>t</w:t>
            </w:r>
            <w:r>
              <w:rPr>
                <w:rFonts w:hint="default" w:ascii="Times New Roman" w:hAnsi="Times New Roman" w:eastAsia="宋体" w:cs="Times New Roman"/>
                <w:bCs/>
                <w:color w:val="auto"/>
                <w:kern w:val="0"/>
                <w:sz w:val="24"/>
                <w:szCs w:val="24"/>
              </w:rPr>
              <w:t>/d，</w:t>
            </w:r>
            <w:r>
              <w:rPr>
                <w:rFonts w:hint="eastAsia" w:ascii="Times New Roman" w:hAnsi="Times New Roman" w:eastAsia="宋体" w:cs="Times New Roman"/>
                <w:bCs/>
                <w:color w:val="auto"/>
                <w:kern w:val="0"/>
                <w:sz w:val="24"/>
                <w:szCs w:val="24"/>
                <w:lang w:eastAsia="zh-CN"/>
              </w:rPr>
              <w:t>52.56</w:t>
            </w:r>
            <w:r>
              <w:rPr>
                <w:rFonts w:hint="default" w:ascii="Times New Roman" w:hAnsi="Times New Roman" w:eastAsia="宋体" w:cs="Times New Roman"/>
                <w:bCs/>
                <w:color w:val="auto"/>
                <w:kern w:val="0"/>
                <w:sz w:val="24"/>
                <w:szCs w:val="24"/>
              </w:rPr>
              <w:t>t/a</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r>
              <w:rPr>
                <w:rFonts w:hint="default" w:ascii="Times New Roman" w:hAnsi="Times New Roman" w:eastAsia="宋体" w:cs="Times New Roman"/>
                <w:color w:val="auto"/>
                <w:sz w:val="24"/>
                <w:szCs w:val="24"/>
                <w:highlight w:val="none"/>
              </w:rPr>
              <w:t>。</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2、废气</w:t>
            </w:r>
          </w:p>
          <w:p>
            <w:pPr>
              <w:keepNext w:val="0"/>
              <w:keepLines w:val="0"/>
              <w:suppressLineNumbers w:val="0"/>
              <w:adjustRightInd w:val="0"/>
              <w:spacing w:before="0" w:beforeAutospacing="0" w:after="0" w:afterAutospacing="0"/>
              <w:ind w:left="0" w:right="0"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加油站对大气环境的污染，主要是油罐车卸油、储油罐存储、加油作业等过程造成燃料油以气态形式逸出进入大气环境，油气主要成分为挥发性有机物，从而引起对大气环境的污染。本项目年加汽油量为</w:t>
            </w:r>
            <w:r>
              <w:rPr>
                <w:rFonts w:hint="default" w:ascii="Times New Roman" w:hAnsi="Times New Roman" w:eastAsia="宋体" w:cs="Times New Roman"/>
                <w:color w:val="auto"/>
                <w:sz w:val="24"/>
                <w:szCs w:val="24"/>
                <w:lang w:val="en-US" w:eastAsia="zh-CN"/>
              </w:rPr>
              <w:t>2000</w:t>
            </w:r>
            <w:r>
              <w:rPr>
                <w:rFonts w:hint="default" w:ascii="Times New Roman" w:hAnsi="Times New Roman" w:eastAsia="宋体" w:cs="Times New Roman"/>
                <w:color w:val="auto"/>
                <w:kern w:val="0"/>
              </w:rPr>
              <w:t>t，柴油量为</w:t>
            </w:r>
            <w:r>
              <w:rPr>
                <w:rFonts w:hint="default" w:ascii="Times New Roman" w:hAnsi="Times New Roman" w:eastAsia="宋体" w:cs="Times New Roman"/>
                <w:color w:val="auto"/>
                <w:sz w:val="24"/>
                <w:szCs w:val="24"/>
                <w:lang w:val="en-US" w:eastAsia="zh-CN"/>
              </w:rPr>
              <w:t xml:space="preserve">1000 </w:t>
            </w:r>
            <w:r>
              <w:rPr>
                <w:rFonts w:hint="default" w:ascii="Times New Roman" w:hAnsi="Times New Roman" w:eastAsia="宋体" w:cs="Times New Roman"/>
                <w:color w:val="auto"/>
                <w:kern w:val="0"/>
              </w:rPr>
              <w:t>t，根据《大气挥发性有机源排放清单编制技术指南》（试行）可知，加油站内挥发性气体排放系数为3.243g/kg油品，因此加油站汽油挥发性有机物产生量为</w:t>
            </w:r>
            <w:r>
              <w:rPr>
                <w:rFonts w:hint="default" w:ascii="Times New Roman" w:hAnsi="Times New Roman" w:eastAsia="宋体" w:cs="Times New Roman"/>
                <w:color w:val="auto"/>
                <w:sz w:val="24"/>
                <w:szCs w:val="24"/>
                <w:lang w:val="en-US" w:eastAsia="zh-CN"/>
              </w:rPr>
              <w:t xml:space="preserve">6.486 </w:t>
            </w:r>
            <w:r>
              <w:rPr>
                <w:rFonts w:hint="default" w:ascii="Times New Roman" w:hAnsi="Times New Roman" w:eastAsia="宋体" w:cs="Times New Roman"/>
                <w:color w:val="auto"/>
                <w:kern w:val="0"/>
              </w:rPr>
              <w:t>t/a，柴油挥发性有机物产生量为</w:t>
            </w:r>
            <w:r>
              <w:rPr>
                <w:rFonts w:hint="default" w:ascii="Times New Roman" w:hAnsi="Times New Roman" w:eastAsia="宋体" w:cs="Times New Roman"/>
                <w:color w:val="auto"/>
                <w:sz w:val="24"/>
                <w:szCs w:val="24"/>
                <w:lang w:val="en-US" w:eastAsia="zh-CN"/>
              </w:rPr>
              <w:t>3.243</w:t>
            </w:r>
            <w:r>
              <w:rPr>
                <w:rFonts w:hint="default" w:ascii="Times New Roman" w:hAnsi="Times New Roman" w:eastAsia="宋体" w:cs="Times New Roman"/>
                <w:color w:val="auto"/>
                <w:kern w:val="0"/>
              </w:rPr>
              <w:t>t/a。加油站挥发性有机污染物挥发总量为</w:t>
            </w:r>
            <w:r>
              <w:rPr>
                <w:rFonts w:hint="default" w:ascii="Times New Roman" w:hAnsi="Times New Roman" w:eastAsia="宋体" w:cs="Times New Roman"/>
                <w:color w:val="auto"/>
                <w:sz w:val="24"/>
                <w:szCs w:val="24"/>
                <w:lang w:val="en-US" w:eastAsia="zh-CN"/>
              </w:rPr>
              <w:t xml:space="preserve">9.729 </w:t>
            </w:r>
            <w:r>
              <w:rPr>
                <w:rFonts w:hint="default" w:ascii="Times New Roman" w:hAnsi="Times New Roman" w:eastAsia="宋体" w:cs="Times New Roman"/>
                <w:color w:val="auto"/>
                <w:kern w:val="0"/>
              </w:rPr>
              <w:t>t/a。</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本项目</w:t>
            </w:r>
            <w:r>
              <w:rPr>
                <w:rFonts w:hint="default" w:ascii="Times New Roman" w:hAnsi="Times New Roman" w:eastAsia="宋体" w:cs="Times New Roman"/>
                <w:color w:val="auto"/>
                <w:kern w:val="0"/>
                <w:sz w:val="24"/>
                <w:szCs w:val="24"/>
              </w:rPr>
              <w:t>设有油气回收系统，汽油加油作业及大呼吸产生量为</w:t>
            </w:r>
            <w:r>
              <w:rPr>
                <w:rFonts w:hint="default" w:ascii="Times New Roman" w:hAnsi="Times New Roman" w:eastAsia="宋体" w:cs="Times New Roman"/>
                <w:color w:val="auto"/>
                <w:kern w:val="2"/>
                <w:sz w:val="24"/>
                <w:szCs w:val="24"/>
                <w:lang w:val="en-US" w:eastAsia="zh-CN" w:bidi="ar-SA"/>
              </w:rPr>
              <w:t>6</w:t>
            </w:r>
            <w:r>
              <w:rPr>
                <w:rFonts w:hint="eastAsia" w:ascii="Times New Roman" w:hAnsi="Times New Roman" w:eastAsia="宋体" w:cs="Times New Roman"/>
                <w:color w:val="auto"/>
                <w:kern w:val="2"/>
                <w:sz w:val="24"/>
                <w:szCs w:val="24"/>
                <w:lang w:val="en-US" w:eastAsia="zh-CN" w:bidi="ar-SA"/>
              </w:rPr>
              <w:t>.209</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kern w:val="0"/>
                <w:sz w:val="24"/>
                <w:szCs w:val="24"/>
              </w:rPr>
              <w:t>t/a</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加油作业及大呼吸油气回收系统的回收率可达90%，汽油加油作业及大呼吸排放量为</w:t>
            </w:r>
            <w:r>
              <w:rPr>
                <w:rFonts w:hint="eastAsia" w:ascii="Times New Roman" w:hAnsi="Times New Roman" w:eastAsia="宋体" w:cs="Times New Roman"/>
                <w:color w:val="auto"/>
                <w:kern w:val="2"/>
                <w:sz w:val="24"/>
                <w:szCs w:val="24"/>
                <w:lang w:eastAsia="zh-CN"/>
              </w:rPr>
              <w:t>0.621</w:t>
            </w:r>
            <w:r>
              <w:rPr>
                <w:rFonts w:hint="default" w:ascii="Times New Roman" w:hAnsi="Times New Roman" w:eastAsia="宋体" w:cs="Times New Roman"/>
                <w:color w:val="auto"/>
                <w:kern w:val="0"/>
                <w:sz w:val="24"/>
                <w:szCs w:val="24"/>
              </w:rPr>
              <w:t>t/a</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汽油储罐小呼吸挥发性有机物产生量为</w:t>
            </w:r>
            <w:r>
              <w:rPr>
                <w:rFonts w:hint="eastAsia" w:ascii="Times New Roman" w:hAnsi="Times New Roman" w:eastAsia="宋体" w:cs="Times New Roman"/>
                <w:color w:val="auto"/>
                <w:sz w:val="24"/>
                <w:szCs w:val="24"/>
                <w:lang w:eastAsia="zh-CN"/>
              </w:rPr>
              <w:t>0.277</w:t>
            </w:r>
            <w:r>
              <w:rPr>
                <w:rFonts w:hint="default" w:ascii="Times New Roman" w:hAnsi="Times New Roman" w:eastAsia="宋体" w:cs="Times New Roman"/>
                <w:color w:val="auto"/>
                <w:kern w:val="0"/>
                <w:sz w:val="24"/>
                <w:szCs w:val="24"/>
              </w:rPr>
              <w:t xml:space="preserve"> t/a。据此，本项目排放的汽油挥发性有机物的量为</w:t>
            </w:r>
            <w:r>
              <w:rPr>
                <w:rFonts w:hint="eastAsia" w:ascii="Times New Roman" w:hAnsi="Times New Roman" w:eastAsia="宋体" w:cs="Times New Roman"/>
                <w:color w:val="auto"/>
                <w:kern w:val="0"/>
                <w:sz w:val="24"/>
                <w:szCs w:val="24"/>
                <w:lang w:val="en-US" w:eastAsia="zh-CN"/>
              </w:rPr>
              <w:t>0.898</w:t>
            </w:r>
            <w:r>
              <w:rPr>
                <w:rFonts w:hint="default" w:ascii="Times New Roman" w:hAnsi="Times New Roman" w:eastAsia="宋体" w:cs="Times New Roman"/>
                <w:color w:val="auto"/>
                <w:kern w:val="0"/>
                <w:sz w:val="24"/>
                <w:szCs w:val="24"/>
              </w:rPr>
              <w:t xml:space="preserve"> t/a，柴油挥发性有机物年产生量=柴油油品量×排放系数=</w:t>
            </w:r>
            <w:r>
              <w:rPr>
                <w:rFonts w:hint="default" w:ascii="Times New Roman" w:hAnsi="Times New Roman" w:eastAsia="宋体" w:cs="Times New Roman"/>
                <w:color w:val="auto"/>
                <w:sz w:val="24"/>
                <w:szCs w:val="24"/>
              </w:rPr>
              <w:t>3.243</w:t>
            </w:r>
            <w:r>
              <w:rPr>
                <w:rFonts w:hint="default" w:ascii="Times New Roman" w:hAnsi="Times New Roman" w:eastAsia="宋体" w:cs="Times New Roman"/>
                <w:color w:val="auto"/>
                <w:kern w:val="0"/>
                <w:sz w:val="24"/>
                <w:szCs w:val="24"/>
              </w:rPr>
              <w:t xml:space="preserve"> t/a，则本项目挥发油气总排放量为</w:t>
            </w: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color w:val="auto"/>
                <w:kern w:val="0"/>
                <w:sz w:val="24"/>
                <w:szCs w:val="24"/>
              </w:rPr>
              <w:t>t/a。</w:t>
            </w:r>
          </w:p>
          <w:p>
            <w:pPr>
              <w:pStyle w:val="34"/>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本项目非正常排放按</w:t>
            </w:r>
            <w:r>
              <w:rPr>
                <w:rFonts w:hint="default" w:ascii="Times New Roman" w:hAnsi="Times New Roman" w:eastAsia="宋体" w:cs="Times New Roman"/>
                <w:color w:val="auto"/>
                <w:kern w:val="2"/>
                <w:lang w:val="en-US" w:eastAsia="zh-CN"/>
              </w:rPr>
              <w:t>二</w:t>
            </w:r>
            <w:r>
              <w:rPr>
                <w:rFonts w:hint="default" w:ascii="Times New Roman" w:hAnsi="Times New Roman" w:eastAsia="宋体" w:cs="Times New Roman"/>
                <w:color w:val="auto"/>
                <w:kern w:val="2"/>
              </w:rPr>
              <w:t>级油气回收设施失灵，油气回收效率降低至0%时的挥发性有机污染物排放总量为</w:t>
            </w:r>
            <w:r>
              <w:rPr>
                <w:rFonts w:hint="eastAsia" w:ascii="Times New Roman" w:cs="Times New Roman"/>
                <w:color w:val="auto"/>
                <w:kern w:val="2"/>
                <w:lang w:val="en-US" w:eastAsia="zh-CN"/>
              </w:rPr>
              <w:t>0.709</w:t>
            </w:r>
            <w:r>
              <w:rPr>
                <w:rFonts w:hint="default" w:ascii="Times New Roman" w:hAnsi="Times New Roman" w:eastAsia="宋体" w:cs="Times New Roman"/>
                <w:color w:val="auto"/>
                <w:kern w:val="0"/>
                <w:sz w:val="24"/>
                <w:szCs w:val="24"/>
                <w:lang w:val="en-US" w:eastAsia="zh-CN" w:bidi="ar-SA"/>
              </w:rPr>
              <w:t>kg/h。</w:t>
            </w:r>
          </w:p>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表5-1 非正常排放参数表</w:t>
            </w:r>
          </w:p>
          <w:tbl>
            <w:tblPr>
              <w:tblStyle w:val="28"/>
              <w:tblW w:w="902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04"/>
              <w:gridCol w:w="1504"/>
              <w:gridCol w:w="1504"/>
              <w:gridCol w:w="1505"/>
              <w:gridCol w:w="1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dxa"/>
                  <w:tcBorders>
                    <w:tl2br w:val="nil"/>
                    <w:tr2bl w:val="nil"/>
                  </w:tcBorders>
                  <w:vAlign w:val="center"/>
                </w:tcPr>
                <w:p>
                  <w:pPr>
                    <w:pStyle w:val="34"/>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非正常排放源</w:t>
                  </w:r>
                </w:p>
              </w:tc>
              <w:tc>
                <w:tcPr>
                  <w:tcW w:w="1504"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非正常排放原因</w:t>
                  </w:r>
                </w:p>
              </w:tc>
              <w:tc>
                <w:tcPr>
                  <w:tcW w:w="1504"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w:t>
                  </w:r>
                </w:p>
              </w:tc>
              <w:tc>
                <w:tcPr>
                  <w:tcW w:w="1504"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非正常排放速率/(kg/h）</w:t>
                  </w:r>
                </w:p>
              </w:tc>
              <w:tc>
                <w:tcPr>
                  <w:tcW w:w="1505"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单次持续时间/h</w:t>
                  </w:r>
                </w:p>
              </w:tc>
              <w:tc>
                <w:tcPr>
                  <w:tcW w:w="1505"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年发生频次/次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dxa"/>
                  <w:tcBorders>
                    <w:tl2br w:val="nil"/>
                    <w:tr2bl w:val="nil"/>
                  </w:tcBorders>
                  <w:vAlign w:val="center"/>
                </w:tcPr>
                <w:p>
                  <w:pPr>
                    <w:pStyle w:val="34"/>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加油站</w:t>
                  </w:r>
                </w:p>
              </w:tc>
              <w:tc>
                <w:tcPr>
                  <w:tcW w:w="1504"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kern w:val="2"/>
                      <w:sz w:val="21"/>
                      <w:szCs w:val="21"/>
                    </w:rPr>
                    <w:t>油气回收系统</w:t>
                  </w:r>
                  <w:r>
                    <w:rPr>
                      <w:rFonts w:hint="default" w:ascii="Times New Roman" w:hAnsi="Times New Roman" w:eastAsia="宋体" w:cs="Times New Roman"/>
                      <w:color w:val="auto"/>
                      <w:kern w:val="2"/>
                      <w:sz w:val="21"/>
                      <w:szCs w:val="21"/>
                    </w:rPr>
                    <w:t>发生故障</w:t>
                  </w:r>
                </w:p>
              </w:tc>
              <w:tc>
                <w:tcPr>
                  <w:tcW w:w="1504"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非甲烷总烃</w:t>
                  </w:r>
                </w:p>
              </w:tc>
              <w:tc>
                <w:tcPr>
                  <w:tcW w:w="1504"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0.709</w:t>
                  </w:r>
                </w:p>
              </w:tc>
              <w:tc>
                <w:tcPr>
                  <w:tcW w:w="1505"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c>
                <w:tcPr>
                  <w:tcW w:w="1505" w:type="dxa"/>
                  <w:tcBorders>
                    <w:tl2br w:val="nil"/>
                    <w:tr2bl w:val="nil"/>
                  </w:tcBorders>
                  <w:vAlign w:val="center"/>
                </w:tcPr>
                <w:p>
                  <w:pPr>
                    <w:pStyle w:val="3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r>
          </w:tbl>
          <w:p>
            <w:pPr>
              <w:tabs>
                <w:tab w:val="left" w:pos="5760"/>
              </w:tabs>
              <w:spacing w:line="52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3、噪声</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污染源主要为加油机、吸油泵、油气回收装置产生的噪声及油罐车及其它加油车辆进场时的汽车噪声，加油机、吸油泵正常运行时噪声源强约为60～70dB(A)、油气回收装置正常运转状态下的噪声源强约为60～70dB(A)。一般汽车进出入加油站的车速较低，噪声强度在55～65dB(A)之间。</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4、固体废物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本项目运行期间固体废物有：职工生活垃圾、油罐保养产生的底泥。</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rPr>
              <w:fldChar w:fldCharType="begin"/>
            </w:r>
            <w:r>
              <w:rPr>
                <w:rFonts w:hint="default" w:ascii="Times New Roman" w:hAnsi="Times New Roman" w:eastAsia="宋体" w:cs="Times New Roman"/>
                <w:bCs/>
                <w:color w:val="auto"/>
              </w:rPr>
              <w:instrText xml:space="preserve"> = 1 \* GB3 </w:instrText>
            </w:r>
            <w:r>
              <w:rPr>
                <w:rFonts w:hint="default" w:ascii="Times New Roman" w:hAnsi="Times New Roman" w:eastAsia="宋体" w:cs="Times New Roman"/>
                <w:bCs/>
                <w:color w:val="auto"/>
              </w:rPr>
              <w:fldChar w:fldCharType="separate"/>
            </w:r>
            <w:r>
              <w:rPr>
                <w:rFonts w:hint="default" w:ascii="Times New Roman" w:hAnsi="Times New Roman" w:eastAsia="宋体" w:cs="Times New Roman"/>
                <w:bCs/>
                <w:color w:val="auto"/>
              </w:rPr>
              <w:t>①</w:t>
            </w:r>
            <w:r>
              <w:rPr>
                <w:rFonts w:hint="default" w:ascii="Times New Roman" w:hAnsi="Times New Roman" w:eastAsia="宋体" w:cs="Times New Roman"/>
                <w:bCs/>
                <w:color w:val="auto"/>
              </w:rPr>
              <w:fldChar w:fldCharType="end"/>
            </w:r>
            <w:r>
              <w:rPr>
                <w:rFonts w:hint="default" w:ascii="Times New Roman" w:hAnsi="Times New Roman" w:eastAsia="宋体" w:cs="Times New Roman"/>
                <w:bCs/>
                <w:color w:val="auto"/>
              </w:rPr>
              <w:t>生活垃圾：项目共设工作人员</w:t>
            </w:r>
            <w:r>
              <w:rPr>
                <w:rFonts w:hint="eastAsia" w:ascii="Times New Roman" w:hAnsi="Times New Roman" w:eastAsia="宋体" w:cs="Times New Roman"/>
                <w:bCs/>
                <w:color w:val="auto"/>
                <w:lang w:val="en-US" w:eastAsia="zh-CN"/>
              </w:rPr>
              <w:t>6</w:t>
            </w:r>
            <w:r>
              <w:rPr>
                <w:rFonts w:hint="default" w:ascii="Times New Roman" w:hAnsi="Times New Roman" w:eastAsia="宋体" w:cs="Times New Roman"/>
                <w:bCs/>
                <w:color w:val="auto"/>
                <w:lang w:val="en-US" w:eastAsia="zh-CN"/>
              </w:rPr>
              <w:t>人</w:t>
            </w:r>
            <w:r>
              <w:rPr>
                <w:rFonts w:hint="default" w:ascii="Times New Roman" w:hAnsi="Times New Roman" w:eastAsia="宋体" w:cs="Times New Roman"/>
                <w:bCs/>
                <w:color w:val="auto"/>
              </w:rPr>
              <w:t>，</w:t>
            </w:r>
            <w:r>
              <w:rPr>
                <w:rFonts w:hint="default" w:ascii="Times New Roman" w:hAnsi="Times New Roman" w:eastAsia="宋体" w:cs="Times New Roman"/>
                <w:color w:val="auto"/>
              </w:rPr>
              <w:t>垃圾产生量约</w:t>
            </w:r>
            <w:r>
              <w:rPr>
                <w:rFonts w:hint="eastAsia" w:ascii="Times New Roman" w:hAnsi="Times New Roman" w:eastAsia="宋体" w:cs="Times New Roman"/>
                <w:color w:val="auto"/>
                <w:lang w:val="en-US" w:eastAsia="zh-CN"/>
              </w:rPr>
              <w:t>1.095</w:t>
            </w:r>
            <w:r>
              <w:rPr>
                <w:rFonts w:hint="default" w:ascii="Times New Roman" w:hAnsi="Times New Roman" w:eastAsia="宋体" w:cs="Times New Roman"/>
                <w:color w:val="auto"/>
                <w:lang w:val="en-US" w:eastAsia="zh-CN"/>
              </w:rPr>
              <w:t>t/a</w:t>
            </w:r>
            <w:r>
              <w:rPr>
                <w:rFonts w:hint="default" w:ascii="Times New Roman" w:hAnsi="Times New Roman" w:eastAsia="宋体" w:cs="Times New Roman"/>
                <w:bCs/>
                <w:color w:val="auto"/>
                <w:kern w:val="0"/>
              </w:rPr>
              <w:t>，</w:t>
            </w:r>
            <w:r>
              <w:rPr>
                <w:rFonts w:hint="default" w:ascii="Times New Roman" w:hAnsi="Times New Roman" w:eastAsia="宋体" w:cs="Times New Roman"/>
                <w:color w:val="auto"/>
                <w:kern w:val="0"/>
              </w:rPr>
              <w:t>集中收集后由市政部门统一处理</w:t>
            </w:r>
            <w:r>
              <w:rPr>
                <w:rFonts w:hint="default" w:ascii="Times New Roman" w:hAnsi="Times New Roman" w:eastAsia="宋体" w:cs="Times New Roman"/>
                <w:color w:val="auto"/>
                <w:highlight w:val="none"/>
              </w:rPr>
              <w:t>。</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底泥：储油罐经过长期使用，在罐底积累的底泥需定时清除。根据《国家危险废物名录》，产生的底泥为废矿物油类危险废物，清除后即运往具有危险废物处理资质的公司处理处置，不在项目场区内贮存。底泥的清除、运输和处置均由具备该资质的专业公司完成，频率为5年一次，产生量约为0.25t/5a。</w:t>
            </w:r>
          </w:p>
          <w:p>
            <w:pPr>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zh-CN"/>
              </w:rPr>
              <w:t>表</w:t>
            </w:r>
            <w:r>
              <w:rPr>
                <w:rFonts w:hint="default" w:ascii="Times New Roman" w:hAnsi="Times New Roman" w:eastAsia="宋体" w:cs="Times New Roman"/>
                <w:b/>
                <w:color w:val="auto"/>
                <w:kern w:val="0"/>
                <w:sz w:val="21"/>
                <w:szCs w:val="21"/>
                <w:highlight w:val="none"/>
              </w:rPr>
              <w:t xml:space="preserve">5-2  </w:t>
            </w:r>
            <w:r>
              <w:rPr>
                <w:rFonts w:hint="default" w:ascii="Times New Roman" w:hAnsi="Times New Roman" w:eastAsia="宋体" w:cs="Times New Roman"/>
                <w:b/>
                <w:color w:val="auto"/>
                <w:kern w:val="0"/>
                <w:sz w:val="21"/>
                <w:szCs w:val="21"/>
                <w:highlight w:val="none"/>
                <w:lang w:val="zh-CN"/>
              </w:rPr>
              <w:t>本项目</w:t>
            </w:r>
            <w:r>
              <w:rPr>
                <w:rFonts w:hint="default" w:ascii="Times New Roman" w:hAnsi="Times New Roman" w:eastAsia="宋体" w:cs="Times New Roman"/>
                <w:b/>
                <w:color w:val="auto"/>
                <w:kern w:val="0"/>
                <w:sz w:val="21"/>
                <w:szCs w:val="21"/>
                <w:highlight w:val="none"/>
              </w:rPr>
              <w:t>危险废物汇总表</w:t>
            </w:r>
          </w:p>
          <w:tbl>
            <w:tblPr>
              <w:tblStyle w:val="27"/>
              <w:tblW w:w="88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10"/>
              <w:gridCol w:w="1050"/>
              <w:gridCol w:w="987"/>
              <w:gridCol w:w="996"/>
              <w:gridCol w:w="682"/>
              <w:gridCol w:w="412"/>
              <w:gridCol w:w="584"/>
              <w:gridCol w:w="594"/>
              <w:gridCol w:w="549"/>
              <w:gridCol w:w="625"/>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710"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危险废物名称</w:t>
                  </w:r>
                </w:p>
              </w:tc>
              <w:tc>
                <w:tcPr>
                  <w:tcW w:w="1050"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危险废物类别</w:t>
                  </w:r>
                </w:p>
              </w:tc>
              <w:tc>
                <w:tcPr>
                  <w:tcW w:w="987"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危险废物代码</w:t>
                  </w:r>
                </w:p>
              </w:tc>
              <w:tc>
                <w:tcPr>
                  <w:tcW w:w="996"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产生量</w:t>
                  </w:r>
                </w:p>
              </w:tc>
              <w:tc>
                <w:tcPr>
                  <w:tcW w:w="682"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产生工序及装置</w:t>
                  </w:r>
                </w:p>
              </w:tc>
              <w:tc>
                <w:tcPr>
                  <w:tcW w:w="412"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形态</w:t>
                  </w:r>
                </w:p>
              </w:tc>
              <w:tc>
                <w:tcPr>
                  <w:tcW w:w="584"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主要成分</w:t>
                  </w:r>
                </w:p>
              </w:tc>
              <w:tc>
                <w:tcPr>
                  <w:tcW w:w="594"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有害成分</w:t>
                  </w:r>
                </w:p>
              </w:tc>
              <w:tc>
                <w:tcPr>
                  <w:tcW w:w="549"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产废周期</w:t>
                  </w:r>
                </w:p>
              </w:tc>
              <w:tc>
                <w:tcPr>
                  <w:tcW w:w="625"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w:t>
                  </w:r>
                </w:p>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特性</w:t>
                  </w:r>
                </w:p>
              </w:tc>
              <w:tc>
                <w:tcPr>
                  <w:tcW w:w="1221" w:type="dxa"/>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76"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10"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油泥</w:t>
                  </w:r>
                </w:p>
              </w:tc>
              <w:tc>
                <w:tcPr>
                  <w:tcW w:w="1050"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 废矿物油 与含矿物 油废物</w:t>
                  </w:r>
                </w:p>
              </w:tc>
              <w:tc>
                <w:tcPr>
                  <w:tcW w:w="987"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900-221-08</w:t>
                  </w:r>
                </w:p>
              </w:tc>
              <w:tc>
                <w:tcPr>
                  <w:tcW w:w="996"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0.25t/5a</w:t>
                  </w:r>
                </w:p>
              </w:tc>
              <w:tc>
                <w:tcPr>
                  <w:tcW w:w="682"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储油罐罐底积累的底泥</w:t>
                  </w:r>
                </w:p>
              </w:tc>
              <w:tc>
                <w:tcPr>
                  <w:tcW w:w="412"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油状</w:t>
                  </w:r>
                </w:p>
              </w:tc>
              <w:tc>
                <w:tcPr>
                  <w:tcW w:w="584"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泥土</w:t>
                  </w:r>
                </w:p>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烃类</w:t>
                  </w:r>
                </w:p>
              </w:tc>
              <w:tc>
                <w:tcPr>
                  <w:tcW w:w="594"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C4至C12烃类</w:t>
                  </w:r>
                </w:p>
              </w:tc>
              <w:tc>
                <w:tcPr>
                  <w:tcW w:w="549"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5年一次</w:t>
                  </w:r>
                </w:p>
              </w:tc>
              <w:tc>
                <w:tcPr>
                  <w:tcW w:w="625"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毒性易燃性</w:t>
                  </w:r>
                </w:p>
              </w:tc>
              <w:tc>
                <w:tcPr>
                  <w:tcW w:w="1221" w:type="dxa"/>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由危险废物处置机构或单位进行无害化处理</w:t>
                  </w:r>
                </w:p>
              </w:tc>
            </w:tr>
          </w:tbl>
          <w:p>
            <w:pPr>
              <w:pStyle w:val="34"/>
              <w:rPr>
                <w:rFonts w:hint="default" w:ascii="Times New Roman" w:hAnsi="Times New Roman" w:eastAsia="宋体" w:cs="Times New Roman"/>
                <w:b/>
                <w:color w:val="FF0000"/>
                <w:sz w:val="28"/>
                <w:szCs w:val="28"/>
                <w:highlight w:val="none"/>
              </w:rPr>
            </w:pPr>
          </w:p>
        </w:tc>
      </w:tr>
    </w:tbl>
    <w:p>
      <w:pPr>
        <w:pStyle w:val="3"/>
        <w:spacing w:before="0" w:after="0" w:line="413" w:lineRule="auto"/>
        <w:rPr>
          <w:rFonts w:hint="default" w:ascii="Times New Roman" w:hAnsi="Times New Roman" w:eastAsia="宋体" w:cs="Times New Roman"/>
          <w:color w:val="FF0000"/>
          <w:highlight w:val="none"/>
        </w:rPr>
        <w:sectPr>
          <w:footerReference r:id="rId6" w:type="default"/>
          <w:pgSz w:w="11906" w:h="16838"/>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default" w:ascii="Times New Roman" w:hAnsi="Times New Roman" w:eastAsia="宋体" w:cs="Times New Roman"/>
          <w:b/>
          <w:bCs/>
          <w:color w:val="auto"/>
          <w:kern w:val="0"/>
          <w:sz w:val="21"/>
          <w:szCs w:val="21"/>
          <w:highlight w:val="none"/>
        </w:rPr>
      </w:pPr>
      <w:bookmarkStart w:id="22" w:name="_Hlk1220199"/>
      <w:r>
        <w:rPr>
          <w:rFonts w:hint="default" w:ascii="Times New Roman" w:hAnsi="Times New Roman" w:eastAsia="宋体" w:cs="Times New Roman"/>
          <w:b/>
          <w:bCs/>
          <w:color w:val="auto"/>
          <w:kern w:val="0"/>
          <w:sz w:val="21"/>
          <w:szCs w:val="21"/>
          <w:highlight w:val="none"/>
        </w:rPr>
        <w:t>表5-3  废气污染源源强核算</w:t>
      </w:r>
    </w:p>
    <w:tbl>
      <w:tblPr>
        <w:tblStyle w:val="27"/>
        <w:tblW w:w="142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935"/>
        <w:gridCol w:w="932"/>
        <w:gridCol w:w="933"/>
        <w:gridCol w:w="933"/>
        <w:gridCol w:w="933"/>
        <w:gridCol w:w="1015"/>
        <w:gridCol w:w="964"/>
        <w:gridCol w:w="918"/>
        <w:gridCol w:w="948"/>
        <w:gridCol w:w="933"/>
        <w:gridCol w:w="933"/>
        <w:gridCol w:w="1015"/>
        <w:gridCol w:w="964"/>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3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3" w:name="_Toc1209517"/>
            <w:bookmarkStart w:id="24" w:name="_Toc14020"/>
            <w:bookmarkStart w:id="25" w:name="_Toc10054"/>
            <w:bookmarkStart w:id="26" w:name="_Toc4070"/>
            <w:r>
              <w:rPr>
                <w:rFonts w:hint="default" w:ascii="Times New Roman" w:hAnsi="Times New Roman" w:eastAsia="宋体" w:cs="Times New Roman"/>
                <w:b w:val="0"/>
                <w:color w:val="auto"/>
                <w:kern w:val="0"/>
                <w:sz w:val="21"/>
                <w:szCs w:val="21"/>
                <w:highlight w:val="none"/>
              </w:rPr>
              <w:t>工序/生产线</w:t>
            </w:r>
            <w:bookmarkEnd w:id="23"/>
            <w:bookmarkEnd w:id="24"/>
            <w:bookmarkEnd w:id="25"/>
            <w:bookmarkEnd w:id="26"/>
          </w:p>
        </w:tc>
        <w:tc>
          <w:tcPr>
            <w:tcW w:w="93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7" w:name="_Toc15570"/>
            <w:bookmarkStart w:id="28" w:name="_Toc1209518"/>
            <w:bookmarkStart w:id="29" w:name="_Toc17959"/>
            <w:bookmarkStart w:id="30" w:name="_Toc3827"/>
            <w:r>
              <w:rPr>
                <w:rFonts w:hint="default" w:ascii="Times New Roman" w:hAnsi="Times New Roman" w:eastAsia="宋体" w:cs="Times New Roman"/>
                <w:b w:val="0"/>
                <w:color w:val="auto"/>
                <w:kern w:val="0"/>
                <w:sz w:val="21"/>
                <w:szCs w:val="21"/>
                <w:highlight w:val="none"/>
              </w:rPr>
              <w:t>装置</w:t>
            </w:r>
            <w:bookmarkEnd w:id="27"/>
            <w:bookmarkEnd w:id="28"/>
            <w:bookmarkEnd w:id="29"/>
            <w:bookmarkEnd w:id="30"/>
          </w:p>
        </w:tc>
        <w:tc>
          <w:tcPr>
            <w:tcW w:w="932"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31" w:name="_Toc15259"/>
            <w:bookmarkStart w:id="32" w:name="_Toc14442"/>
            <w:bookmarkStart w:id="33" w:name="_Toc21173"/>
            <w:bookmarkStart w:id="34" w:name="_Toc1209519"/>
            <w:r>
              <w:rPr>
                <w:rFonts w:hint="default" w:ascii="Times New Roman" w:hAnsi="Times New Roman" w:eastAsia="宋体" w:cs="Times New Roman"/>
                <w:b w:val="0"/>
                <w:color w:val="auto"/>
                <w:kern w:val="0"/>
                <w:sz w:val="21"/>
                <w:szCs w:val="21"/>
                <w:highlight w:val="none"/>
              </w:rPr>
              <w:t>污染源</w:t>
            </w:r>
            <w:bookmarkEnd w:id="31"/>
            <w:bookmarkEnd w:id="32"/>
            <w:bookmarkEnd w:id="33"/>
            <w:bookmarkEnd w:id="34"/>
          </w:p>
        </w:tc>
        <w:tc>
          <w:tcPr>
            <w:tcW w:w="933"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35" w:name="_Toc9139"/>
            <w:bookmarkStart w:id="36" w:name="_Toc1209520"/>
            <w:bookmarkStart w:id="37" w:name="_Toc32616"/>
            <w:bookmarkStart w:id="38" w:name="_Toc22336"/>
            <w:r>
              <w:rPr>
                <w:rFonts w:hint="default" w:ascii="Times New Roman" w:hAnsi="Times New Roman" w:eastAsia="宋体" w:cs="Times New Roman"/>
                <w:b w:val="0"/>
                <w:color w:val="auto"/>
                <w:kern w:val="0"/>
                <w:sz w:val="21"/>
                <w:szCs w:val="21"/>
                <w:highlight w:val="none"/>
              </w:rPr>
              <w:t>污染物</w:t>
            </w:r>
            <w:bookmarkEnd w:id="35"/>
            <w:bookmarkEnd w:id="36"/>
            <w:bookmarkEnd w:id="37"/>
            <w:bookmarkEnd w:id="38"/>
          </w:p>
        </w:tc>
        <w:tc>
          <w:tcPr>
            <w:tcW w:w="3845" w:type="dxa"/>
            <w:gridSpan w:val="4"/>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39" w:name="_Toc15309"/>
            <w:bookmarkStart w:id="40" w:name="_Toc14387"/>
            <w:bookmarkStart w:id="41" w:name="_Toc1209521"/>
            <w:bookmarkStart w:id="42" w:name="_Toc6236"/>
            <w:r>
              <w:rPr>
                <w:rFonts w:hint="default" w:ascii="Times New Roman" w:hAnsi="Times New Roman" w:eastAsia="宋体" w:cs="Times New Roman"/>
                <w:b w:val="0"/>
                <w:color w:val="auto"/>
                <w:kern w:val="0"/>
                <w:sz w:val="21"/>
                <w:szCs w:val="21"/>
                <w:highlight w:val="none"/>
              </w:rPr>
              <w:t>污染物产生</w:t>
            </w:r>
            <w:bookmarkEnd w:id="39"/>
            <w:bookmarkEnd w:id="40"/>
            <w:bookmarkEnd w:id="41"/>
            <w:bookmarkEnd w:id="42"/>
          </w:p>
        </w:tc>
        <w:tc>
          <w:tcPr>
            <w:tcW w:w="1866" w:type="dxa"/>
            <w:gridSpan w:val="2"/>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43" w:name="_Toc9508"/>
            <w:bookmarkStart w:id="44" w:name="_Toc1209522"/>
            <w:bookmarkStart w:id="45" w:name="_Toc29480"/>
            <w:bookmarkStart w:id="46" w:name="_Toc3623"/>
            <w:r>
              <w:rPr>
                <w:rFonts w:hint="default" w:ascii="Times New Roman" w:hAnsi="Times New Roman" w:eastAsia="宋体" w:cs="Times New Roman"/>
                <w:b w:val="0"/>
                <w:color w:val="auto"/>
                <w:kern w:val="0"/>
                <w:sz w:val="21"/>
                <w:szCs w:val="21"/>
                <w:highlight w:val="none"/>
              </w:rPr>
              <w:t>治理措施</w:t>
            </w:r>
            <w:bookmarkEnd w:id="43"/>
            <w:bookmarkEnd w:id="44"/>
            <w:bookmarkEnd w:id="45"/>
            <w:bookmarkEnd w:id="46"/>
          </w:p>
        </w:tc>
        <w:tc>
          <w:tcPr>
            <w:tcW w:w="3845" w:type="dxa"/>
            <w:gridSpan w:val="4"/>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47" w:name="_Toc21912"/>
            <w:bookmarkStart w:id="48" w:name="_Toc31868"/>
            <w:bookmarkStart w:id="49" w:name="_Toc20833"/>
            <w:bookmarkStart w:id="50" w:name="_Toc1209523"/>
            <w:r>
              <w:rPr>
                <w:rFonts w:hint="default" w:ascii="Times New Roman" w:hAnsi="Times New Roman" w:eastAsia="宋体" w:cs="Times New Roman"/>
                <w:b w:val="0"/>
                <w:color w:val="auto"/>
                <w:kern w:val="0"/>
                <w:sz w:val="21"/>
                <w:szCs w:val="21"/>
                <w:highlight w:val="none"/>
              </w:rPr>
              <w:t>污染物排放</w:t>
            </w:r>
            <w:bookmarkEnd w:id="47"/>
            <w:bookmarkEnd w:id="48"/>
            <w:bookmarkEnd w:id="49"/>
            <w:bookmarkEnd w:id="50"/>
          </w:p>
        </w:tc>
        <w:tc>
          <w:tcPr>
            <w:tcW w:w="927"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51" w:name="_Toc13145"/>
            <w:bookmarkStart w:id="52" w:name="_Toc1209524"/>
            <w:bookmarkStart w:id="53" w:name="_Toc10887"/>
            <w:bookmarkStart w:id="54" w:name="_Toc31253"/>
            <w:r>
              <w:rPr>
                <w:rFonts w:hint="default" w:ascii="Times New Roman" w:hAnsi="Times New Roman" w:eastAsia="宋体" w:cs="Times New Roman"/>
                <w:b w:val="0"/>
                <w:color w:val="auto"/>
                <w:kern w:val="0"/>
                <w:sz w:val="21"/>
                <w:szCs w:val="21"/>
                <w:highlight w:val="none"/>
              </w:rPr>
              <w:t>排放时间/h</w:t>
            </w:r>
            <w:bookmarkEnd w:id="51"/>
            <w:bookmarkEnd w:id="52"/>
            <w:bookmarkEnd w:id="53"/>
            <w:bookmarkEnd w:id="5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3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2"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3"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55" w:name="_Toc20961"/>
            <w:bookmarkStart w:id="56" w:name="_Toc18500"/>
            <w:bookmarkStart w:id="57" w:name="_Toc1209525"/>
            <w:bookmarkStart w:id="58" w:name="_Toc13769"/>
            <w:r>
              <w:rPr>
                <w:rFonts w:hint="default" w:ascii="Times New Roman" w:hAnsi="Times New Roman" w:eastAsia="宋体" w:cs="Times New Roman"/>
                <w:b w:val="0"/>
                <w:color w:val="auto"/>
                <w:kern w:val="0"/>
                <w:sz w:val="21"/>
                <w:szCs w:val="21"/>
                <w:highlight w:val="none"/>
              </w:rPr>
              <w:t>核算方法</w:t>
            </w:r>
            <w:bookmarkEnd w:id="55"/>
            <w:bookmarkEnd w:id="56"/>
            <w:bookmarkEnd w:id="57"/>
            <w:bookmarkEnd w:id="58"/>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59" w:name="_Toc1209526"/>
            <w:bookmarkStart w:id="60" w:name="_Toc26240"/>
            <w:bookmarkStart w:id="61" w:name="_Toc14814"/>
            <w:bookmarkStart w:id="62" w:name="_Toc32512"/>
            <w:r>
              <w:rPr>
                <w:rFonts w:hint="default" w:ascii="Times New Roman" w:hAnsi="Times New Roman" w:eastAsia="宋体" w:cs="Times New Roman"/>
                <w:b w:val="0"/>
                <w:color w:val="auto"/>
                <w:kern w:val="0"/>
                <w:sz w:val="21"/>
                <w:szCs w:val="21"/>
                <w:highlight w:val="none"/>
              </w:rPr>
              <w:t>废气产生量/(m</w:t>
            </w:r>
            <w:r>
              <w:rPr>
                <w:rFonts w:hint="default" w:ascii="Times New Roman" w:hAnsi="Times New Roman" w:eastAsia="宋体" w:cs="Times New Roman"/>
                <w:b w:val="0"/>
                <w:color w:val="auto"/>
                <w:kern w:val="0"/>
                <w:sz w:val="21"/>
                <w:szCs w:val="21"/>
                <w:highlight w:val="none"/>
                <w:vertAlign w:val="superscript"/>
              </w:rPr>
              <w:t>3</w:t>
            </w:r>
            <w:r>
              <w:rPr>
                <w:rFonts w:hint="default" w:ascii="Times New Roman" w:hAnsi="Times New Roman" w:eastAsia="宋体" w:cs="Times New Roman"/>
                <w:b w:val="0"/>
                <w:color w:val="auto"/>
                <w:kern w:val="0"/>
                <w:sz w:val="21"/>
                <w:szCs w:val="21"/>
                <w:highlight w:val="none"/>
              </w:rPr>
              <w:t>/h)</w:t>
            </w:r>
            <w:bookmarkEnd w:id="59"/>
            <w:bookmarkEnd w:id="60"/>
            <w:bookmarkEnd w:id="61"/>
            <w:bookmarkEnd w:id="62"/>
          </w:p>
        </w:tc>
        <w:tc>
          <w:tcPr>
            <w:tcW w:w="101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63" w:name="_Toc1745"/>
            <w:bookmarkStart w:id="64" w:name="_Toc1209527"/>
            <w:bookmarkStart w:id="65" w:name="_Toc3166"/>
            <w:bookmarkStart w:id="66" w:name="_Toc20570"/>
            <w:r>
              <w:rPr>
                <w:rFonts w:hint="default" w:ascii="Times New Roman" w:hAnsi="Times New Roman" w:eastAsia="宋体" w:cs="Times New Roman"/>
                <w:b w:val="0"/>
                <w:color w:val="auto"/>
                <w:kern w:val="0"/>
                <w:sz w:val="21"/>
                <w:szCs w:val="21"/>
                <w:highlight w:val="none"/>
              </w:rPr>
              <w:t>产生浓度/(mg/m</w:t>
            </w:r>
            <w:r>
              <w:rPr>
                <w:rFonts w:hint="default" w:ascii="Times New Roman" w:hAnsi="Times New Roman" w:eastAsia="宋体" w:cs="Times New Roman"/>
                <w:b w:val="0"/>
                <w:color w:val="auto"/>
                <w:kern w:val="0"/>
                <w:sz w:val="21"/>
                <w:szCs w:val="21"/>
                <w:highlight w:val="none"/>
                <w:vertAlign w:val="superscript"/>
              </w:rPr>
              <w:t>3</w:t>
            </w:r>
            <w:r>
              <w:rPr>
                <w:rFonts w:hint="default" w:ascii="Times New Roman" w:hAnsi="Times New Roman" w:eastAsia="宋体" w:cs="Times New Roman"/>
                <w:b w:val="0"/>
                <w:color w:val="auto"/>
                <w:kern w:val="0"/>
                <w:sz w:val="21"/>
                <w:szCs w:val="21"/>
                <w:highlight w:val="none"/>
              </w:rPr>
              <w:t>)</w:t>
            </w:r>
            <w:bookmarkEnd w:id="63"/>
            <w:bookmarkEnd w:id="64"/>
            <w:bookmarkEnd w:id="65"/>
            <w:bookmarkEnd w:id="66"/>
          </w:p>
        </w:tc>
        <w:tc>
          <w:tcPr>
            <w:tcW w:w="964"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67" w:name="_Toc5631"/>
            <w:bookmarkStart w:id="68" w:name="_Toc2110"/>
            <w:bookmarkStart w:id="69" w:name="_Toc1209528"/>
            <w:bookmarkStart w:id="70" w:name="_Toc6063"/>
            <w:r>
              <w:rPr>
                <w:rFonts w:hint="default" w:ascii="Times New Roman" w:hAnsi="Times New Roman" w:eastAsia="宋体" w:cs="Times New Roman"/>
                <w:b w:val="0"/>
                <w:color w:val="auto"/>
                <w:kern w:val="0"/>
                <w:sz w:val="21"/>
                <w:szCs w:val="21"/>
                <w:highlight w:val="none"/>
              </w:rPr>
              <w:t>产生量/(kg/h)</w:t>
            </w:r>
            <w:bookmarkEnd w:id="67"/>
            <w:bookmarkEnd w:id="68"/>
            <w:bookmarkEnd w:id="69"/>
            <w:bookmarkEnd w:id="70"/>
          </w:p>
        </w:tc>
        <w:tc>
          <w:tcPr>
            <w:tcW w:w="918"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71" w:name="_Toc1209529"/>
            <w:bookmarkStart w:id="72" w:name="_Toc3187"/>
            <w:bookmarkStart w:id="73" w:name="_Toc16033"/>
            <w:bookmarkStart w:id="74" w:name="_Toc13329"/>
            <w:r>
              <w:rPr>
                <w:rFonts w:hint="default" w:ascii="Times New Roman" w:hAnsi="Times New Roman" w:eastAsia="宋体" w:cs="Times New Roman"/>
                <w:b w:val="0"/>
                <w:color w:val="auto"/>
                <w:kern w:val="0"/>
                <w:sz w:val="21"/>
                <w:szCs w:val="21"/>
                <w:highlight w:val="none"/>
              </w:rPr>
              <w:t>工艺</w:t>
            </w:r>
            <w:bookmarkEnd w:id="71"/>
            <w:bookmarkEnd w:id="72"/>
            <w:bookmarkEnd w:id="73"/>
            <w:bookmarkEnd w:id="74"/>
          </w:p>
        </w:tc>
        <w:tc>
          <w:tcPr>
            <w:tcW w:w="948"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75" w:name="_Toc27352"/>
            <w:bookmarkStart w:id="76" w:name="_Toc1569"/>
            <w:bookmarkStart w:id="77" w:name="_Toc23078"/>
            <w:bookmarkStart w:id="78" w:name="_Toc1209530"/>
            <w:r>
              <w:rPr>
                <w:rFonts w:hint="default" w:ascii="Times New Roman" w:hAnsi="Times New Roman" w:eastAsia="宋体" w:cs="Times New Roman"/>
                <w:b w:val="0"/>
                <w:color w:val="auto"/>
                <w:kern w:val="0"/>
                <w:sz w:val="21"/>
                <w:szCs w:val="21"/>
                <w:highlight w:val="none"/>
              </w:rPr>
              <w:t>效率/%</w:t>
            </w:r>
            <w:bookmarkEnd w:id="75"/>
            <w:bookmarkEnd w:id="76"/>
            <w:bookmarkEnd w:id="77"/>
            <w:bookmarkEnd w:id="78"/>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79" w:name="_Toc1209531"/>
            <w:bookmarkStart w:id="80" w:name="_Toc666"/>
            <w:bookmarkStart w:id="81" w:name="_Toc32166"/>
            <w:bookmarkStart w:id="82" w:name="_Toc30102"/>
            <w:r>
              <w:rPr>
                <w:rFonts w:hint="default" w:ascii="Times New Roman" w:hAnsi="Times New Roman" w:eastAsia="宋体" w:cs="Times New Roman"/>
                <w:b w:val="0"/>
                <w:color w:val="auto"/>
                <w:kern w:val="0"/>
                <w:sz w:val="21"/>
                <w:szCs w:val="21"/>
                <w:highlight w:val="none"/>
              </w:rPr>
              <w:t>核算方法</w:t>
            </w:r>
            <w:bookmarkEnd w:id="79"/>
            <w:bookmarkEnd w:id="80"/>
            <w:bookmarkEnd w:id="81"/>
            <w:bookmarkEnd w:id="82"/>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83" w:name="_Toc904"/>
            <w:bookmarkStart w:id="84" w:name="_Toc31222"/>
            <w:bookmarkStart w:id="85" w:name="_Toc31644"/>
            <w:bookmarkStart w:id="86" w:name="_Toc1209532"/>
            <w:r>
              <w:rPr>
                <w:rFonts w:hint="default" w:ascii="Times New Roman" w:hAnsi="Times New Roman" w:eastAsia="宋体" w:cs="Times New Roman"/>
                <w:b w:val="0"/>
                <w:color w:val="auto"/>
                <w:kern w:val="0"/>
                <w:sz w:val="21"/>
                <w:szCs w:val="21"/>
                <w:highlight w:val="none"/>
              </w:rPr>
              <w:t>废气排放量/(m</w:t>
            </w:r>
            <w:r>
              <w:rPr>
                <w:rFonts w:hint="default" w:ascii="Times New Roman" w:hAnsi="Times New Roman" w:eastAsia="宋体" w:cs="Times New Roman"/>
                <w:b w:val="0"/>
                <w:color w:val="auto"/>
                <w:kern w:val="0"/>
                <w:sz w:val="21"/>
                <w:szCs w:val="21"/>
                <w:highlight w:val="none"/>
                <w:vertAlign w:val="superscript"/>
              </w:rPr>
              <w:t>3</w:t>
            </w:r>
            <w:r>
              <w:rPr>
                <w:rFonts w:hint="default" w:ascii="Times New Roman" w:hAnsi="Times New Roman" w:eastAsia="宋体" w:cs="Times New Roman"/>
                <w:b w:val="0"/>
                <w:color w:val="auto"/>
                <w:kern w:val="0"/>
                <w:sz w:val="21"/>
                <w:szCs w:val="21"/>
                <w:highlight w:val="none"/>
              </w:rPr>
              <w:t>/h)</w:t>
            </w:r>
            <w:bookmarkEnd w:id="83"/>
            <w:bookmarkEnd w:id="84"/>
            <w:bookmarkEnd w:id="85"/>
            <w:bookmarkEnd w:id="86"/>
          </w:p>
        </w:tc>
        <w:tc>
          <w:tcPr>
            <w:tcW w:w="101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87" w:name="_Toc31286"/>
            <w:bookmarkStart w:id="88" w:name="_Toc4521"/>
            <w:bookmarkStart w:id="89" w:name="_Toc2893"/>
            <w:bookmarkStart w:id="90" w:name="_Toc1209533"/>
            <w:r>
              <w:rPr>
                <w:rFonts w:hint="default" w:ascii="Times New Roman" w:hAnsi="Times New Roman" w:eastAsia="宋体" w:cs="Times New Roman"/>
                <w:b w:val="0"/>
                <w:color w:val="auto"/>
                <w:kern w:val="0"/>
                <w:sz w:val="21"/>
                <w:szCs w:val="21"/>
                <w:highlight w:val="none"/>
              </w:rPr>
              <w:t>排放浓度/(mg/m</w:t>
            </w:r>
            <w:r>
              <w:rPr>
                <w:rFonts w:hint="default" w:ascii="Times New Roman" w:hAnsi="Times New Roman" w:eastAsia="宋体" w:cs="Times New Roman"/>
                <w:b w:val="0"/>
                <w:color w:val="auto"/>
                <w:kern w:val="0"/>
                <w:sz w:val="21"/>
                <w:szCs w:val="21"/>
                <w:highlight w:val="none"/>
                <w:vertAlign w:val="superscript"/>
              </w:rPr>
              <w:t>3</w:t>
            </w:r>
            <w:r>
              <w:rPr>
                <w:rFonts w:hint="default" w:ascii="Times New Roman" w:hAnsi="Times New Roman" w:eastAsia="宋体" w:cs="Times New Roman"/>
                <w:b w:val="0"/>
                <w:color w:val="auto"/>
                <w:kern w:val="0"/>
                <w:sz w:val="21"/>
                <w:szCs w:val="21"/>
                <w:highlight w:val="none"/>
              </w:rPr>
              <w:t>)</w:t>
            </w:r>
            <w:bookmarkEnd w:id="87"/>
            <w:bookmarkEnd w:id="88"/>
            <w:bookmarkEnd w:id="89"/>
            <w:bookmarkEnd w:id="90"/>
          </w:p>
        </w:tc>
        <w:tc>
          <w:tcPr>
            <w:tcW w:w="964"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91" w:name="_Toc25641"/>
            <w:bookmarkStart w:id="92" w:name="_Toc13998"/>
            <w:bookmarkStart w:id="93" w:name="_Toc21584"/>
            <w:bookmarkStart w:id="94" w:name="_Toc1209534"/>
            <w:r>
              <w:rPr>
                <w:rFonts w:hint="default" w:ascii="Times New Roman" w:hAnsi="Times New Roman" w:eastAsia="宋体" w:cs="Times New Roman"/>
                <w:b w:val="0"/>
                <w:color w:val="auto"/>
                <w:kern w:val="0"/>
                <w:sz w:val="21"/>
                <w:szCs w:val="21"/>
                <w:highlight w:val="none"/>
              </w:rPr>
              <w:t>排放量/(kg/h)</w:t>
            </w:r>
            <w:bookmarkEnd w:id="91"/>
            <w:bookmarkEnd w:id="92"/>
            <w:bookmarkEnd w:id="93"/>
            <w:bookmarkEnd w:id="94"/>
          </w:p>
        </w:tc>
        <w:tc>
          <w:tcPr>
            <w:tcW w:w="927"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95" w:name="_Toc15869"/>
            <w:bookmarkStart w:id="96" w:name="_Toc24661"/>
            <w:bookmarkStart w:id="97" w:name="_Toc21005"/>
            <w:bookmarkStart w:id="98" w:name="_Toc1209550"/>
            <w:r>
              <w:rPr>
                <w:rFonts w:hint="default" w:ascii="Times New Roman" w:hAnsi="Times New Roman" w:eastAsia="宋体" w:cs="Times New Roman"/>
                <w:b w:val="0"/>
                <w:color w:val="auto"/>
                <w:kern w:val="0"/>
                <w:sz w:val="21"/>
                <w:szCs w:val="21"/>
                <w:highlight w:val="none"/>
              </w:rPr>
              <w:t>汽油存储、卸油、加油</w:t>
            </w:r>
            <w:bookmarkEnd w:id="95"/>
            <w:bookmarkEnd w:id="96"/>
            <w:bookmarkEnd w:id="97"/>
            <w:bookmarkEnd w:id="98"/>
          </w:p>
        </w:tc>
        <w:tc>
          <w:tcPr>
            <w:tcW w:w="935" w:type="dxa"/>
            <w:shd w:val="clear" w:color="auto" w:fill="auto"/>
            <w:vAlign w:val="center"/>
          </w:tcPr>
          <w:p>
            <w:pPr>
              <w:spacing w:before="0" w:after="0" w:line="240" w:lineRule="auto"/>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highlight w:val="none"/>
              </w:rPr>
              <w:t>储油罐、油罐车、加油枪</w:t>
            </w:r>
          </w:p>
        </w:tc>
        <w:tc>
          <w:tcPr>
            <w:tcW w:w="932" w:type="dxa"/>
            <w:shd w:val="clear" w:color="auto" w:fill="auto"/>
            <w:vAlign w:val="center"/>
          </w:tcPr>
          <w:p>
            <w:pPr>
              <w:spacing w:before="0" w:after="0" w:line="240" w:lineRule="auto"/>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highlight w:val="none"/>
              </w:rPr>
              <w:t>储油罐、油罐车、加油枪</w:t>
            </w:r>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99" w:name="_Toc13864"/>
            <w:bookmarkStart w:id="100" w:name="_Toc10006"/>
            <w:bookmarkStart w:id="101" w:name="_Toc1209553"/>
            <w:bookmarkStart w:id="102" w:name="_Toc4083"/>
            <w:r>
              <w:rPr>
                <w:rFonts w:hint="default" w:ascii="Times New Roman" w:hAnsi="Times New Roman" w:eastAsia="宋体" w:cs="Times New Roman"/>
                <w:b w:val="0"/>
                <w:color w:val="auto"/>
                <w:kern w:val="0"/>
                <w:sz w:val="21"/>
                <w:szCs w:val="21"/>
                <w:highlight w:val="none"/>
              </w:rPr>
              <w:t>非甲烷总烃</w:t>
            </w:r>
            <w:bookmarkEnd w:id="99"/>
            <w:bookmarkEnd w:id="100"/>
            <w:bookmarkEnd w:id="101"/>
            <w:bookmarkEnd w:id="102"/>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03" w:name="_Toc7768"/>
            <w:bookmarkStart w:id="104" w:name="_Toc5342"/>
            <w:bookmarkStart w:id="105" w:name="_Toc9636"/>
            <w:bookmarkStart w:id="106" w:name="_Toc1209554"/>
            <w:r>
              <w:rPr>
                <w:rFonts w:hint="default" w:ascii="Times New Roman" w:hAnsi="Times New Roman" w:eastAsia="宋体" w:cs="Times New Roman"/>
                <w:b w:val="0"/>
                <w:color w:val="auto"/>
                <w:kern w:val="0"/>
                <w:sz w:val="21"/>
                <w:szCs w:val="21"/>
                <w:highlight w:val="none"/>
              </w:rPr>
              <w:t>系数法</w:t>
            </w:r>
            <w:bookmarkEnd w:id="103"/>
            <w:bookmarkEnd w:id="104"/>
            <w:bookmarkEnd w:id="105"/>
            <w:bookmarkEnd w:id="106"/>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07" w:name="_Toc12005"/>
            <w:bookmarkStart w:id="108" w:name="_Toc1209555"/>
            <w:bookmarkStart w:id="109" w:name="_Toc16198"/>
            <w:bookmarkStart w:id="110" w:name="_Toc7514"/>
            <w:r>
              <w:rPr>
                <w:rFonts w:hint="default" w:ascii="Times New Roman" w:hAnsi="Times New Roman" w:eastAsia="宋体" w:cs="Times New Roman"/>
                <w:b w:val="0"/>
                <w:color w:val="auto"/>
                <w:kern w:val="0"/>
                <w:sz w:val="21"/>
                <w:szCs w:val="21"/>
                <w:highlight w:val="none"/>
              </w:rPr>
              <w:t>/</w:t>
            </w:r>
            <w:bookmarkEnd w:id="107"/>
            <w:bookmarkEnd w:id="108"/>
            <w:bookmarkEnd w:id="109"/>
            <w:bookmarkEnd w:id="110"/>
          </w:p>
        </w:tc>
        <w:tc>
          <w:tcPr>
            <w:tcW w:w="101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11" w:name="_Toc1209556"/>
            <w:bookmarkStart w:id="112" w:name="_Toc19310"/>
            <w:bookmarkStart w:id="113" w:name="_Toc22153"/>
            <w:bookmarkStart w:id="114" w:name="_Toc1520"/>
            <w:r>
              <w:rPr>
                <w:rFonts w:hint="default" w:ascii="Times New Roman" w:hAnsi="Times New Roman" w:eastAsia="宋体" w:cs="Times New Roman"/>
                <w:b w:val="0"/>
                <w:color w:val="auto"/>
                <w:kern w:val="0"/>
                <w:sz w:val="21"/>
                <w:szCs w:val="21"/>
                <w:highlight w:val="none"/>
              </w:rPr>
              <w:t>/</w:t>
            </w:r>
            <w:bookmarkEnd w:id="111"/>
            <w:bookmarkEnd w:id="112"/>
            <w:bookmarkEnd w:id="113"/>
            <w:bookmarkEnd w:id="114"/>
          </w:p>
        </w:tc>
        <w:tc>
          <w:tcPr>
            <w:tcW w:w="964"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lang w:val="en-US" w:eastAsia="zh-CN"/>
              </w:rPr>
            </w:pPr>
            <w:r>
              <w:rPr>
                <w:rFonts w:hint="default" w:ascii="Times New Roman" w:hAnsi="Times New Roman" w:eastAsia="宋体" w:cs="Times New Roman"/>
                <w:b w:val="0"/>
                <w:color w:val="auto"/>
                <w:kern w:val="0"/>
                <w:sz w:val="21"/>
                <w:szCs w:val="21"/>
                <w:highlight w:val="none"/>
                <w:lang w:val="en-US" w:eastAsia="zh-CN"/>
              </w:rPr>
              <w:t>0.</w:t>
            </w:r>
            <w:r>
              <w:rPr>
                <w:rFonts w:hint="eastAsia" w:ascii="Times New Roman" w:hAnsi="Times New Roman" w:eastAsia="宋体" w:cs="Times New Roman"/>
                <w:b w:val="0"/>
                <w:color w:val="auto"/>
                <w:kern w:val="0"/>
                <w:sz w:val="21"/>
                <w:szCs w:val="21"/>
                <w:highlight w:val="none"/>
                <w:lang w:val="en-US" w:eastAsia="zh-CN"/>
              </w:rPr>
              <w:t>740</w:t>
            </w:r>
          </w:p>
        </w:tc>
        <w:tc>
          <w:tcPr>
            <w:tcW w:w="918"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二级油气回收</w:t>
            </w:r>
          </w:p>
        </w:tc>
        <w:tc>
          <w:tcPr>
            <w:tcW w:w="948"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90</w:t>
            </w:r>
          </w:p>
        </w:tc>
        <w:tc>
          <w:tcPr>
            <w:tcW w:w="933"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物料衡算</w:t>
            </w:r>
          </w:p>
        </w:tc>
        <w:tc>
          <w:tcPr>
            <w:tcW w:w="933"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w:t>
            </w:r>
          </w:p>
        </w:tc>
        <w:tc>
          <w:tcPr>
            <w:tcW w:w="1015"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w:t>
            </w:r>
          </w:p>
        </w:tc>
        <w:tc>
          <w:tcPr>
            <w:tcW w:w="964"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lang w:val="en-US" w:eastAsia="zh-CN"/>
              </w:rPr>
            </w:pPr>
            <w:r>
              <w:rPr>
                <w:rFonts w:hint="default" w:ascii="Times New Roman" w:hAnsi="Times New Roman" w:eastAsia="宋体" w:cs="Times New Roman"/>
                <w:b w:val="0"/>
                <w:color w:val="auto"/>
                <w:kern w:val="0"/>
                <w:sz w:val="21"/>
                <w:szCs w:val="21"/>
              </w:rPr>
              <w:t>0.</w:t>
            </w:r>
            <w:r>
              <w:rPr>
                <w:rFonts w:hint="eastAsia" w:ascii="Times New Roman" w:hAnsi="Times New Roman" w:eastAsia="宋体" w:cs="Times New Roman"/>
                <w:b w:val="0"/>
                <w:color w:val="auto"/>
                <w:kern w:val="0"/>
                <w:sz w:val="21"/>
                <w:szCs w:val="21"/>
                <w:lang w:val="en-US" w:eastAsia="zh-CN"/>
              </w:rPr>
              <w:t>103</w:t>
            </w:r>
          </w:p>
        </w:tc>
        <w:tc>
          <w:tcPr>
            <w:tcW w:w="927"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15" w:name="_Toc27147"/>
            <w:bookmarkStart w:id="116" w:name="_Toc27329"/>
            <w:bookmarkStart w:id="117" w:name="_Toc1209564"/>
            <w:bookmarkStart w:id="118" w:name="_Toc1237"/>
            <w:r>
              <w:rPr>
                <w:rFonts w:hint="default" w:ascii="Times New Roman" w:hAnsi="Times New Roman" w:eastAsia="宋体" w:cs="Times New Roman"/>
                <w:b w:val="0"/>
                <w:color w:val="auto"/>
                <w:kern w:val="0"/>
                <w:sz w:val="21"/>
                <w:szCs w:val="21"/>
                <w:highlight w:val="none"/>
              </w:rPr>
              <w:t>柴油存储、卸油、加油</w:t>
            </w:r>
            <w:bookmarkEnd w:id="115"/>
            <w:bookmarkEnd w:id="116"/>
            <w:bookmarkEnd w:id="117"/>
            <w:bookmarkEnd w:id="118"/>
          </w:p>
        </w:tc>
        <w:tc>
          <w:tcPr>
            <w:tcW w:w="93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19" w:name="_Toc17488"/>
            <w:bookmarkStart w:id="120" w:name="_Toc15540"/>
            <w:bookmarkStart w:id="121" w:name="_Toc1209565"/>
            <w:bookmarkStart w:id="122" w:name="_Toc20762"/>
            <w:r>
              <w:rPr>
                <w:rFonts w:hint="default" w:ascii="Times New Roman" w:hAnsi="Times New Roman" w:eastAsia="宋体" w:cs="Times New Roman"/>
                <w:b w:val="0"/>
                <w:color w:val="auto"/>
                <w:kern w:val="0"/>
                <w:sz w:val="21"/>
                <w:szCs w:val="21"/>
                <w:highlight w:val="none"/>
              </w:rPr>
              <w:t>储油罐、油罐车、加油枪</w:t>
            </w:r>
            <w:bookmarkEnd w:id="119"/>
            <w:bookmarkEnd w:id="120"/>
            <w:bookmarkEnd w:id="121"/>
            <w:bookmarkEnd w:id="122"/>
          </w:p>
        </w:tc>
        <w:tc>
          <w:tcPr>
            <w:tcW w:w="932"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23" w:name="_Toc1016"/>
            <w:bookmarkStart w:id="124" w:name="_Toc1209566"/>
            <w:bookmarkStart w:id="125" w:name="_Toc1125"/>
            <w:bookmarkStart w:id="126" w:name="_Toc5730"/>
            <w:r>
              <w:rPr>
                <w:rFonts w:hint="default" w:ascii="Times New Roman" w:hAnsi="Times New Roman" w:eastAsia="宋体" w:cs="Times New Roman"/>
                <w:b w:val="0"/>
                <w:color w:val="auto"/>
                <w:kern w:val="0"/>
                <w:sz w:val="21"/>
                <w:szCs w:val="21"/>
                <w:highlight w:val="none"/>
              </w:rPr>
              <w:t>储油罐、油罐车、加油枪</w:t>
            </w:r>
            <w:bookmarkEnd w:id="123"/>
            <w:bookmarkEnd w:id="124"/>
            <w:bookmarkEnd w:id="125"/>
            <w:bookmarkEnd w:id="126"/>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27" w:name="_Toc1988"/>
            <w:bookmarkStart w:id="128" w:name="_Toc18122"/>
            <w:bookmarkStart w:id="129" w:name="_Toc1209567"/>
            <w:bookmarkStart w:id="130" w:name="_Toc12945"/>
            <w:r>
              <w:rPr>
                <w:rFonts w:hint="default" w:ascii="Times New Roman" w:hAnsi="Times New Roman" w:eastAsia="宋体" w:cs="Times New Roman"/>
                <w:b w:val="0"/>
                <w:color w:val="auto"/>
                <w:kern w:val="0"/>
                <w:sz w:val="21"/>
                <w:szCs w:val="21"/>
                <w:highlight w:val="none"/>
              </w:rPr>
              <w:t>非甲烷总烃</w:t>
            </w:r>
            <w:bookmarkEnd w:id="127"/>
            <w:bookmarkEnd w:id="128"/>
            <w:bookmarkEnd w:id="129"/>
            <w:bookmarkEnd w:id="130"/>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31" w:name="_Toc9820"/>
            <w:bookmarkStart w:id="132" w:name="_Toc13631"/>
            <w:bookmarkStart w:id="133" w:name="_Toc1209568"/>
            <w:bookmarkStart w:id="134" w:name="_Toc9706"/>
            <w:r>
              <w:rPr>
                <w:rFonts w:hint="default" w:ascii="Times New Roman" w:hAnsi="Times New Roman" w:eastAsia="宋体" w:cs="Times New Roman"/>
                <w:b w:val="0"/>
                <w:color w:val="auto"/>
                <w:kern w:val="0"/>
                <w:sz w:val="21"/>
                <w:szCs w:val="21"/>
                <w:highlight w:val="none"/>
              </w:rPr>
              <w:t>系数法</w:t>
            </w:r>
            <w:bookmarkEnd w:id="131"/>
            <w:bookmarkEnd w:id="132"/>
            <w:bookmarkEnd w:id="133"/>
            <w:bookmarkEnd w:id="134"/>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35" w:name="_Toc1209569"/>
            <w:bookmarkStart w:id="136" w:name="_Toc32113"/>
            <w:bookmarkStart w:id="137" w:name="_Toc16057"/>
            <w:bookmarkStart w:id="138" w:name="_Toc3243"/>
            <w:r>
              <w:rPr>
                <w:rFonts w:hint="default" w:ascii="Times New Roman" w:hAnsi="Times New Roman" w:eastAsia="宋体" w:cs="Times New Roman"/>
                <w:b w:val="0"/>
                <w:color w:val="auto"/>
                <w:kern w:val="0"/>
                <w:sz w:val="21"/>
                <w:szCs w:val="21"/>
                <w:highlight w:val="none"/>
              </w:rPr>
              <w:t>/</w:t>
            </w:r>
            <w:bookmarkEnd w:id="135"/>
            <w:bookmarkEnd w:id="136"/>
            <w:bookmarkEnd w:id="137"/>
            <w:bookmarkEnd w:id="138"/>
          </w:p>
        </w:tc>
        <w:tc>
          <w:tcPr>
            <w:tcW w:w="101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39" w:name="_Toc1626"/>
            <w:bookmarkStart w:id="140" w:name="_Toc1209570"/>
            <w:bookmarkStart w:id="141" w:name="_Toc630"/>
            <w:bookmarkStart w:id="142" w:name="_Toc4958"/>
            <w:r>
              <w:rPr>
                <w:rFonts w:hint="default" w:ascii="Times New Roman" w:hAnsi="Times New Roman" w:eastAsia="宋体" w:cs="Times New Roman"/>
                <w:b w:val="0"/>
                <w:color w:val="auto"/>
                <w:kern w:val="0"/>
                <w:sz w:val="21"/>
                <w:szCs w:val="21"/>
                <w:highlight w:val="none"/>
              </w:rPr>
              <w:t>/</w:t>
            </w:r>
            <w:bookmarkEnd w:id="139"/>
            <w:bookmarkEnd w:id="140"/>
            <w:bookmarkEnd w:id="141"/>
            <w:bookmarkEnd w:id="142"/>
          </w:p>
        </w:tc>
        <w:tc>
          <w:tcPr>
            <w:tcW w:w="964"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lang w:val="en-US" w:eastAsia="zh-CN"/>
              </w:rPr>
            </w:pPr>
            <w:r>
              <w:rPr>
                <w:rFonts w:hint="default" w:ascii="Times New Roman" w:hAnsi="Times New Roman" w:eastAsia="宋体" w:cs="Times New Roman"/>
                <w:b w:val="0"/>
                <w:color w:val="auto"/>
                <w:kern w:val="0"/>
                <w:sz w:val="21"/>
                <w:szCs w:val="21"/>
              </w:rPr>
              <w:t>0.</w:t>
            </w:r>
            <w:r>
              <w:rPr>
                <w:rFonts w:hint="default" w:ascii="Times New Roman" w:hAnsi="Times New Roman" w:eastAsia="宋体" w:cs="Times New Roman"/>
                <w:b w:val="0"/>
                <w:color w:val="auto"/>
                <w:kern w:val="0"/>
                <w:sz w:val="21"/>
                <w:szCs w:val="21"/>
                <w:lang w:val="en-US" w:eastAsia="zh-CN"/>
              </w:rPr>
              <w:t>370</w:t>
            </w:r>
          </w:p>
        </w:tc>
        <w:tc>
          <w:tcPr>
            <w:tcW w:w="918"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w:t>
            </w:r>
          </w:p>
        </w:tc>
        <w:tc>
          <w:tcPr>
            <w:tcW w:w="948"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w:t>
            </w:r>
          </w:p>
        </w:tc>
        <w:tc>
          <w:tcPr>
            <w:tcW w:w="933"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系数法</w:t>
            </w:r>
          </w:p>
        </w:tc>
        <w:tc>
          <w:tcPr>
            <w:tcW w:w="933"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w:t>
            </w:r>
          </w:p>
        </w:tc>
        <w:tc>
          <w:tcPr>
            <w:tcW w:w="1015"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w:t>
            </w:r>
          </w:p>
        </w:tc>
        <w:tc>
          <w:tcPr>
            <w:tcW w:w="964" w:type="dxa"/>
            <w:shd w:val="clear" w:color="auto" w:fill="auto"/>
            <w:vAlign w:val="center"/>
          </w:tcPr>
          <w:p>
            <w:pPr>
              <w:pStyle w:val="3"/>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0"/>
                <w:sz w:val="21"/>
                <w:szCs w:val="21"/>
                <w:highlight w:val="none"/>
              </w:rPr>
            </w:pPr>
            <w:r>
              <w:rPr>
                <w:rFonts w:hint="default" w:ascii="Times New Roman" w:hAnsi="Times New Roman" w:eastAsia="宋体" w:cs="Times New Roman"/>
                <w:b w:val="0"/>
                <w:color w:val="auto"/>
                <w:kern w:val="0"/>
                <w:sz w:val="21"/>
                <w:szCs w:val="21"/>
              </w:rPr>
              <w:t>0.</w:t>
            </w:r>
            <w:r>
              <w:rPr>
                <w:rFonts w:hint="default" w:ascii="Times New Roman" w:hAnsi="Times New Roman" w:eastAsia="宋体" w:cs="Times New Roman"/>
                <w:b w:val="0"/>
                <w:color w:val="auto"/>
                <w:kern w:val="0"/>
                <w:sz w:val="21"/>
                <w:szCs w:val="21"/>
                <w:lang w:val="en-US" w:eastAsia="zh-CN"/>
              </w:rPr>
              <w:t>370</w:t>
            </w:r>
          </w:p>
        </w:tc>
        <w:tc>
          <w:tcPr>
            <w:tcW w:w="927"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FF0000"/>
                <w:kern w:val="0"/>
                <w:sz w:val="21"/>
                <w:szCs w:val="21"/>
                <w:highlight w:val="none"/>
              </w:rPr>
            </w:pPr>
          </w:p>
        </w:tc>
      </w:tr>
    </w:tbl>
    <w:p>
      <w:pPr>
        <w:pStyle w:val="34"/>
        <w:rPr>
          <w:rFonts w:hint="default" w:ascii="Times New Roman" w:hAnsi="Times New Roman" w:eastAsia="宋体" w:cs="Times New Roman"/>
          <w:color w:val="FF0000"/>
          <w:highlight w:val="none"/>
        </w:rPr>
      </w:pPr>
    </w:p>
    <w:p>
      <w:pPr>
        <w:pStyle w:val="34"/>
        <w:rPr>
          <w:rFonts w:hint="default" w:ascii="Times New Roman" w:hAnsi="Times New Roman" w:eastAsia="宋体" w:cs="Times New Roman"/>
          <w:color w:val="FF0000"/>
          <w:highlight w:val="none"/>
        </w:rPr>
      </w:pPr>
    </w:p>
    <w:p>
      <w:pPr>
        <w:pStyle w:val="3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表5-4  废水污染源源强核算结果及相关参数一览表</w:t>
      </w:r>
    </w:p>
    <w:tbl>
      <w:tblPr>
        <w:tblStyle w:val="27"/>
        <w:tblW w:w="142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935"/>
        <w:gridCol w:w="932"/>
        <w:gridCol w:w="933"/>
        <w:gridCol w:w="933"/>
        <w:gridCol w:w="933"/>
        <w:gridCol w:w="1015"/>
        <w:gridCol w:w="1147"/>
        <w:gridCol w:w="741"/>
        <w:gridCol w:w="6"/>
        <w:gridCol w:w="936"/>
        <w:gridCol w:w="933"/>
        <w:gridCol w:w="933"/>
        <w:gridCol w:w="1015"/>
        <w:gridCol w:w="1106"/>
        <w:gridCol w:w="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3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43" w:name="_Toc18290"/>
            <w:bookmarkStart w:id="144" w:name="_Toc18631"/>
            <w:bookmarkStart w:id="145" w:name="_Toc19233"/>
            <w:bookmarkStart w:id="146" w:name="_Toc1209578"/>
            <w:r>
              <w:rPr>
                <w:rFonts w:hint="default" w:ascii="Times New Roman" w:hAnsi="Times New Roman" w:eastAsia="宋体" w:cs="Times New Roman"/>
                <w:b w:val="0"/>
                <w:color w:val="auto"/>
                <w:kern w:val="0"/>
                <w:sz w:val="21"/>
                <w:szCs w:val="21"/>
                <w:highlight w:val="none"/>
              </w:rPr>
              <w:t>工序/生产线</w:t>
            </w:r>
            <w:bookmarkEnd w:id="143"/>
            <w:bookmarkEnd w:id="144"/>
            <w:bookmarkEnd w:id="145"/>
            <w:bookmarkEnd w:id="146"/>
          </w:p>
        </w:tc>
        <w:tc>
          <w:tcPr>
            <w:tcW w:w="93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47" w:name="_Toc5733"/>
            <w:bookmarkStart w:id="148" w:name="_Toc1209579"/>
            <w:bookmarkStart w:id="149" w:name="_Toc3797"/>
            <w:bookmarkStart w:id="150" w:name="_Toc3499"/>
            <w:r>
              <w:rPr>
                <w:rFonts w:hint="default" w:ascii="Times New Roman" w:hAnsi="Times New Roman" w:eastAsia="宋体" w:cs="Times New Roman"/>
                <w:b w:val="0"/>
                <w:color w:val="auto"/>
                <w:kern w:val="0"/>
                <w:sz w:val="21"/>
                <w:szCs w:val="21"/>
                <w:highlight w:val="none"/>
              </w:rPr>
              <w:t>装置</w:t>
            </w:r>
            <w:bookmarkEnd w:id="147"/>
            <w:bookmarkEnd w:id="148"/>
            <w:bookmarkEnd w:id="149"/>
            <w:bookmarkEnd w:id="150"/>
          </w:p>
        </w:tc>
        <w:tc>
          <w:tcPr>
            <w:tcW w:w="932"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51" w:name="_Toc10666"/>
            <w:bookmarkStart w:id="152" w:name="_Toc2249"/>
            <w:bookmarkStart w:id="153" w:name="_Toc1209580"/>
            <w:bookmarkStart w:id="154" w:name="_Toc3898"/>
            <w:r>
              <w:rPr>
                <w:rFonts w:hint="default" w:ascii="Times New Roman" w:hAnsi="Times New Roman" w:eastAsia="宋体" w:cs="Times New Roman"/>
                <w:b w:val="0"/>
                <w:color w:val="auto"/>
                <w:kern w:val="0"/>
                <w:sz w:val="21"/>
                <w:szCs w:val="21"/>
                <w:highlight w:val="none"/>
              </w:rPr>
              <w:t>污染源</w:t>
            </w:r>
            <w:bookmarkEnd w:id="151"/>
            <w:bookmarkEnd w:id="152"/>
            <w:bookmarkEnd w:id="153"/>
            <w:bookmarkEnd w:id="154"/>
          </w:p>
        </w:tc>
        <w:tc>
          <w:tcPr>
            <w:tcW w:w="933"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55" w:name="_Toc1209581"/>
            <w:bookmarkStart w:id="156" w:name="_Toc974"/>
            <w:bookmarkStart w:id="157" w:name="_Toc20934"/>
            <w:bookmarkStart w:id="158" w:name="_Toc3471"/>
            <w:r>
              <w:rPr>
                <w:rFonts w:hint="default" w:ascii="Times New Roman" w:hAnsi="Times New Roman" w:eastAsia="宋体" w:cs="Times New Roman"/>
                <w:b w:val="0"/>
                <w:color w:val="auto"/>
                <w:kern w:val="0"/>
                <w:sz w:val="21"/>
                <w:szCs w:val="21"/>
                <w:highlight w:val="none"/>
              </w:rPr>
              <w:t>污染物</w:t>
            </w:r>
            <w:bookmarkEnd w:id="155"/>
            <w:bookmarkEnd w:id="156"/>
            <w:bookmarkEnd w:id="157"/>
            <w:bookmarkEnd w:id="158"/>
          </w:p>
        </w:tc>
        <w:tc>
          <w:tcPr>
            <w:tcW w:w="4028" w:type="dxa"/>
            <w:gridSpan w:val="4"/>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59" w:name="_Toc1209582"/>
            <w:bookmarkStart w:id="160" w:name="_Toc6269"/>
            <w:bookmarkStart w:id="161" w:name="_Toc25180"/>
            <w:bookmarkStart w:id="162" w:name="_Toc12376"/>
            <w:r>
              <w:rPr>
                <w:rFonts w:hint="default" w:ascii="Times New Roman" w:hAnsi="Times New Roman" w:eastAsia="宋体" w:cs="Times New Roman"/>
                <w:b w:val="0"/>
                <w:color w:val="auto"/>
                <w:kern w:val="0"/>
                <w:sz w:val="21"/>
                <w:szCs w:val="21"/>
                <w:highlight w:val="none"/>
              </w:rPr>
              <w:t>污染物产生</w:t>
            </w:r>
            <w:bookmarkEnd w:id="159"/>
            <w:bookmarkEnd w:id="160"/>
            <w:bookmarkEnd w:id="161"/>
            <w:bookmarkEnd w:id="162"/>
          </w:p>
        </w:tc>
        <w:tc>
          <w:tcPr>
            <w:tcW w:w="1683" w:type="dxa"/>
            <w:gridSpan w:val="3"/>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63" w:name="_Toc28258"/>
            <w:bookmarkStart w:id="164" w:name="_Toc1209583"/>
            <w:bookmarkStart w:id="165" w:name="_Toc18458"/>
            <w:bookmarkStart w:id="166" w:name="_Toc5580"/>
            <w:r>
              <w:rPr>
                <w:rFonts w:hint="default" w:ascii="Times New Roman" w:hAnsi="Times New Roman" w:eastAsia="宋体" w:cs="Times New Roman"/>
                <w:b w:val="0"/>
                <w:color w:val="auto"/>
                <w:kern w:val="0"/>
                <w:sz w:val="21"/>
                <w:szCs w:val="21"/>
                <w:highlight w:val="none"/>
              </w:rPr>
              <w:t>治理措施</w:t>
            </w:r>
            <w:bookmarkEnd w:id="163"/>
            <w:bookmarkEnd w:id="164"/>
            <w:bookmarkEnd w:id="165"/>
            <w:bookmarkEnd w:id="166"/>
          </w:p>
        </w:tc>
        <w:tc>
          <w:tcPr>
            <w:tcW w:w="3987" w:type="dxa"/>
            <w:gridSpan w:val="4"/>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67" w:name="_Toc1209584"/>
            <w:bookmarkStart w:id="168" w:name="_Toc19378"/>
            <w:bookmarkStart w:id="169" w:name="_Toc24949"/>
            <w:bookmarkStart w:id="170" w:name="_Toc5217"/>
            <w:r>
              <w:rPr>
                <w:rFonts w:hint="default" w:ascii="Times New Roman" w:hAnsi="Times New Roman" w:eastAsia="宋体" w:cs="Times New Roman"/>
                <w:b w:val="0"/>
                <w:color w:val="auto"/>
                <w:kern w:val="0"/>
                <w:sz w:val="21"/>
                <w:szCs w:val="21"/>
                <w:highlight w:val="none"/>
              </w:rPr>
              <w:t>污染物排放</w:t>
            </w:r>
            <w:bookmarkEnd w:id="167"/>
            <w:bookmarkEnd w:id="168"/>
            <w:bookmarkEnd w:id="169"/>
            <w:bookmarkEnd w:id="170"/>
          </w:p>
        </w:tc>
        <w:tc>
          <w:tcPr>
            <w:tcW w:w="78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71" w:name="_Toc1209585"/>
            <w:bookmarkStart w:id="172" w:name="_Toc16237"/>
            <w:bookmarkStart w:id="173" w:name="_Toc675"/>
            <w:bookmarkStart w:id="174" w:name="_Toc2369"/>
            <w:r>
              <w:rPr>
                <w:rFonts w:hint="default" w:ascii="Times New Roman" w:hAnsi="Times New Roman" w:eastAsia="宋体" w:cs="Times New Roman"/>
                <w:b w:val="0"/>
                <w:color w:val="auto"/>
                <w:kern w:val="0"/>
                <w:sz w:val="21"/>
                <w:szCs w:val="21"/>
                <w:highlight w:val="none"/>
              </w:rPr>
              <w:t>排放时间/h</w:t>
            </w:r>
            <w:bookmarkEnd w:id="171"/>
            <w:bookmarkEnd w:id="172"/>
            <w:bookmarkEnd w:id="173"/>
            <w:bookmarkEnd w:id="17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3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2"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3"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75" w:name="_Toc1209586"/>
            <w:bookmarkStart w:id="176" w:name="_Toc12529"/>
            <w:bookmarkStart w:id="177" w:name="_Toc2917"/>
            <w:bookmarkStart w:id="178" w:name="_Toc7118"/>
            <w:r>
              <w:rPr>
                <w:rFonts w:hint="default" w:ascii="Times New Roman" w:hAnsi="Times New Roman" w:eastAsia="宋体" w:cs="Times New Roman"/>
                <w:b w:val="0"/>
                <w:color w:val="auto"/>
                <w:kern w:val="0"/>
                <w:sz w:val="21"/>
                <w:szCs w:val="21"/>
                <w:highlight w:val="none"/>
              </w:rPr>
              <w:t>核算方法</w:t>
            </w:r>
            <w:bookmarkEnd w:id="175"/>
            <w:bookmarkEnd w:id="176"/>
            <w:bookmarkEnd w:id="177"/>
            <w:bookmarkEnd w:id="178"/>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79" w:name="_Toc11416"/>
            <w:bookmarkStart w:id="180" w:name="_Toc32426"/>
            <w:bookmarkStart w:id="181" w:name="_Toc4976"/>
            <w:bookmarkStart w:id="182" w:name="_Toc1209587"/>
            <w:r>
              <w:rPr>
                <w:rFonts w:hint="default" w:ascii="Times New Roman" w:hAnsi="Times New Roman" w:eastAsia="宋体" w:cs="Times New Roman"/>
                <w:b w:val="0"/>
                <w:color w:val="auto"/>
                <w:kern w:val="0"/>
                <w:sz w:val="21"/>
                <w:szCs w:val="21"/>
                <w:highlight w:val="none"/>
              </w:rPr>
              <w:t>废水产生量/(m</w:t>
            </w:r>
            <w:r>
              <w:rPr>
                <w:rFonts w:hint="default" w:ascii="Times New Roman" w:hAnsi="Times New Roman" w:eastAsia="宋体" w:cs="Times New Roman"/>
                <w:b w:val="0"/>
                <w:color w:val="auto"/>
                <w:kern w:val="0"/>
                <w:sz w:val="21"/>
                <w:szCs w:val="21"/>
                <w:highlight w:val="none"/>
                <w:vertAlign w:val="superscript"/>
              </w:rPr>
              <w:t>3</w:t>
            </w:r>
            <w:r>
              <w:rPr>
                <w:rFonts w:hint="default" w:ascii="Times New Roman" w:hAnsi="Times New Roman" w:eastAsia="宋体" w:cs="Times New Roman"/>
                <w:b w:val="0"/>
                <w:color w:val="auto"/>
                <w:kern w:val="0"/>
                <w:sz w:val="21"/>
                <w:szCs w:val="21"/>
                <w:highlight w:val="none"/>
              </w:rPr>
              <w:t>/h)</w:t>
            </w:r>
            <w:bookmarkEnd w:id="179"/>
            <w:bookmarkEnd w:id="180"/>
            <w:bookmarkEnd w:id="181"/>
            <w:bookmarkEnd w:id="182"/>
          </w:p>
        </w:tc>
        <w:tc>
          <w:tcPr>
            <w:tcW w:w="101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83" w:name="_Toc12720"/>
            <w:bookmarkStart w:id="184" w:name="_Toc1209588"/>
            <w:bookmarkStart w:id="185" w:name="_Toc21287"/>
            <w:bookmarkStart w:id="186" w:name="_Toc31854"/>
            <w:r>
              <w:rPr>
                <w:rFonts w:hint="default" w:ascii="Times New Roman" w:hAnsi="Times New Roman" w:eastAsia="宋体" w:cs="Times New Roman"/>
                <w:b w:val="0"/>
                <w:color w:val="auto"/>
                <w:kern w:val="0"/>
                <w:sz w:val="21"/>
                <w:szCs w:val="21"/>
                <w:highlight w:val="none"/>
              </w:rPr>
              <w:t>产生浓度/(mg/L)</w:t>
            </w:r>
            <w:bookmarkEnd w:id="183"/>
            <w:bookmarkEnd w:id="184"/>
            <w:bookmarkEnd w:id="185"/>
            <w:bookmarkEnd w:id="186"/>
          </w:p>
        </w:tc>
        <w:tc>
          <w:tcPr>
            <w:tcW w:w="1147"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87" w:name="_Toc1209589"/>
            <w:bookmarkStart w:id="188" w:name="_Toc31088"/>
            <w:bookmarkStart w:id="189" w:name="_Toc2481"/>
            <w:bookmarkStart w:id="190" w:name="_Toc15306"/>
            <w:r>
              <w:rPr>
                <w:rFonts w:hint="default" w:ascii="Times New Roman" w:hAnsi="Times New Roman" w:eastAsia="宋体" w:cs="Times New Roman"/>
                <w:b w:val="0"/>
                <w:color w:val="auto"/>
                <w:kern w:val="0"/>
                <w:sz w:val="21"/>
                <w:szCs w:val="21"/>
                <w:highlight w:val="none"/>
              </w:rPr>
              <w:t>产生量/(kg/h)</w:t>
            </w:r>
            <w:bookmarkEnd w:id="187"/>
            <w:bookmarkEnd w:id="188"/>
            <w:bookmarkEnd w:id="189"/>
            <w:bookmarkEnd w:id="190"/>
          </w:p>
        </w:tc>
        <w:tc>
          <w:tcPr>
            <w:tcW w:w="741"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91" w:name="_Toc7557"/>
            <w:bookmarkStart w:id="192" w:name="_Toc4263"/>
            <w:bookmarkStart w:id="193" w:name="_Toc1209590"/>
            <w:bookmarkStart w:id="194" w:name="_Toc20351"/>
            <w:r>
              <w:rPr>
                <w:rFonts w:hint="default" w:ascii="Times New Roman" w:hAnsi="Times New Roman" w:eastAsia="宋体" w:cs="Times New Roman"/>
                <w:b w:val="0"/>
                <w:color w:val="auto"/>
                <w:kern w:val="0"/>
                <w:sz w:val="21"/>
                <w:szCs w:val="21"/>
                <w:highlight w:val="none"/>
              </w:rPr>
              <w:t>工艺</w:t>
            </w:r>
            <w:bookmarkEnd w:id="191"/>
            <w:bookmarkEnd w:id="192"/>
            <w:bookmarkEnd w:id="193"/>
            <w:bookmarkEnd w:id="194"/>
          </w:p>
        </w:tc>
        <w:tc>
          <w:tcPr>
            <w:tcW w:w="942" w:type="dxa"/>
            <w:gridSpan w:val="2"/>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95" w:name="_Toc1209591"/>
            <w:bookmarkStart w:id="196" w:name="_Toc22903"/>
            <w:bookmarkStart w:id="197" w:name="_Toc25200"/>
            <w:bookmarkStart w:id="198" w:name="_Toc18179"/>
            <w:r>
              <w:rPr>
                <w:rFonts w:hint="default" w:ascii="Times New Roman" w:hAnsi="Times New Roman" w:eastAsia="宋体" w:cs="Times New Roman"/>
                <w:b w:val="0"/>
                <w:color w:val="auto"/>
                <w:kern w:val="0"/>
                <w:sz w:val="21"/>
                <w:szCs w:val="21"/>
                <w:highlight w:val="none"/>
              </w:rPr>
              <w:t>效率/%</w:t>
            </w:r>
            <w:bookmarkEnd w:id="195"/>
            <w:bookmarkEnd w:id="196"/>
            <w:bookmarkEnd w:id="197"/>
            <w:bookmarkEnd w:id="198"/>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199" w:name="_Toc8298"/>
            <w:bookmarkStart w:id="200" w:name="_Toc13844"/>
            <w:bookmarkStart w:id="201" w:name="_Toc1209592"/>
            <w:bookmarkStart w:id="202" w:name="_Toc7815"/>
            <w:r>
              <w:rPr>
                <w:rFonts w:hint="default" w:ascii="Times New Roman" w:hAnsi="Times New Roman" w:eastAsia="宋体" w:cs="Times New Roman"/>
                <w:b w:val="0"/>
                <w:color w:val="auto"/>
                <w:kern w:val="0"/>
                <w:sz w:val="21"/>
                <w:szCs w:val="21"/>
                <w:highlight w:val="none"/>
              </w:rPr>
              <w:t>核算方法</w:t>
            </w:r>
            <w:bookmarkEnd w:id="199"/>
            <w:bookmarkEnd w:id="200"/>
            <w:bookmarkEnd w:id="201"/>
            <w:bookmarkEnd w:id="202"/>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03" w:name="_Toc1813"/>
            <w:bookmarkStart w:id="204" w:name="_Toc7982"/>
            <w:bookmarkStart w:id="205" w:name="_Toc1209593"/>
            <w:bookmarkStart w:id="206" w:name="_Toc24568"/>
            <w:r>
              <w:rPr>
                <w:rFonts w:hint="default" w:ascii="Times New Roman" w:hAnsi="Times New Roman" w:eastAsia="宋体" w:cs="Times New Roman"/>
                <w:b w:val="0"/>
                <w:color w:val="auto"/>
                <w:kern w:val="0"/>
                <w:sz w:val="21"/>
                <w:szCs w:val="21"/>
                <w:highlight w:val="none"/>
              </w:rPr>
              <w:t>废水排放量/(m</w:t>
            </w:r>
            <w:r>
              <w:rPr>
                <w:rFonts w:hint="default" w:ascii="Times New Roman" w:hAnsi="Times New Roman" w:eastAsia="宋体" w:cs="Times New Roman"/>
                <w:b w:val="0"/>
                <w:color w:val="auto"/>
                <w:kern w:val="0"/>
                <w:sz w:val="21"/>
                <w:szCs w:val="21"/>
                <w:highlight w:val="none"/>
                <w:vertAlign w:val="superscript"/>
              </w:rPr>
              <w:t>3</w:t>
            </w:r>
            <w:r>
              <w:rPr>
                <w:rFonts w:hint="default" w:ascii="Times New Roman" w:hAnsi="Times New Roman" w:eastAsia="宋体" w:cs="Times New Roman"/>
                <w:b w:val="0"/>
                <w:color w:val="auto"/>
                <w:kern w:val="0"/>
                <w:sz w:val="21"/>
                <w:szCs w:val="21"/>
                <w:highlight w:val="none"/>
              </w:rPr>
              <w:t>/h)</w:t>
            </w:r>
            <w:bookmarkEnd w:id="203"/>
            <w:bookmarkEnd w:id="204"/>
            <w:bookmarkEnd w:id="205"/>
            <w:bookmarkEnd w:id="206"/>
          </w:p>
        </w:tc>
        <w:tc>
          <w:tcPr>
            <w:tcW w:w="1015"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07" w:name="_Toc21811"/>
            <w:bookmarkStart w:id="208" w:name="_Toc16573"/>
            <w:bookmarkStart w:id="209" w:name="_Toc32479"/>
            <w:bookmarkStart w:id="210" w:name="_Toc1209594"/>
            <w:r>
              <w:rPr>
                <w:rFonts w:hint="default" w:ascii="Times New Roman" w:hAnsi="Times New Roman" w:eastAsia="宋体" w:cs="Times New Roman"/>
                <w:b w:val="0"/>
                <w:color w:val="auto"/>
                <w:kern w:val="0"/>
                <w:sz w:val="21"/>
                <w:szCs w:val="21"/>
                <w:highlight w:val="none"/>
              </w:rPr>
              <w:t>排放浓度/(mg/L)</w:t>
            </w:r>
            <w:bookmarkEnd w:id="207"/>
            <w:bookmarkEnd w:id="208"/>
            <w:bookmarkEnd w:id="209"/>
            <w:bookmarkEnd w:id="210"/>
          </w:p>
        </w:tc>
        <w:tc>
          <w:tcPr>
            <w:tcW w:w="1106"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11" w:name="_Toc21564"/>
            <w:bookmarkStart w:id="212" w:name="_Toc14609"/>
            <w:bookmarkStart w:id="213" w:name="_Toc1209595"/>
            <w:bookmarkStart w:id="214" w:name="_Toc27306"/>
            <w:r>
              <w:rPr>
                <w:rFonts w:hint="default" w:ascii="Times New Roman" w:hAnsi="Times New Roman" w:eastAsia="宋体" w:cs="Times New Roman"/>
                <w:b w:val="0"/>
                <w:color w:val="auto"/>
                <w:kern w:val="0"/>
                <w:sz w:val="21"/>
                <w:szCs w:val="21"/>
                <w:highlight w:val="none"/>
              </w:rPr>
              <w:t>排放量/(kg/h)</w:t>
            </w:r>
            <w:bookmarkEnd w:id="211"/>
            <w:bookmarkEnd w:id="212"/>
            <w:bookmarkEnd w:id="213"/>
            <w:bookmarkEnd w:id="214"/>
          </w:p>
        </w:tc>
        <w:tc>
          <w:tcPr>
            <w:tcW w:w="78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15" w:name="_Toc17399"/>
            <w:bookmarkStart w:id="216" w:name="_Toc1209596"/>
            <w:bookmarkStart w:id="217" w:name="_Toc18562"/>
            <w:bookmarkStart w:id="218" w:name="_Toc21665"/>
            <w:r>
              <w:rPr>
                <w:rFonts w:hint="default" w:ascii="Times New Roman" w:hAnsi="Times New Roman" w:eastAsia="宋体" w:cs="Times New Roman"/>
                <w:b w:val="0"/>
                <w:color w:val="auto"/>
                <w:kern w:val="0"/>
                <w:sz w:val="21"/>
                <w:szCs w:val="21"/>
                <w:highlight w:val="none"/>
              </w:rPr>
              <w:t>员工生活</w:t>
            </w:r>
            <w:bookmarkEnd w:id="215"/>
            <w:bookmarkEnd w:id="216"/>
            <w:bookmarkEnd w:id="217"/>
            <w:bookmarkEnd w:id="218"/>
          </w:p>
        </w:tc>
        <w:tc>
          <w:tcPr>
            <w:tcW w:w="93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19" w:name="_Toc17872"/>
            <w:bookmarkStart w:id="220" w:name="_Toc23621"/>
            <w:bookmarkStart w:id="221" w:name="_Toc1209597"/>
            <w:bookmarkStart w:id="222" w:name="_Toc19938"/>
            <w:r>
              <w:rPr>
                <w:rFonts w:hint="default" w:ascii="Times New Roman" w:hAnsi="Times New Roman" w:eastAsia="宋体" w:cs="Times New Roman"/>
                <w:b w:val="0"/>
                <w:color w:val="auto"/>
                <w:kern w:val="0"/>
                <w:sz w:val="21"/>
                <w:szCs w:val="21"/>
                <w:highlight w:val="none"/>
              </w:rPr>
              <w:t>员工</w:t>
            </w:r>
            <w:bookmarkEnd w:id="219"/>
            <w:bookmarkEnd w:id="220"/>
            <w:bookmarkEnd w:id="221"/>
            <w:bookmarkEnd w:id="222"/>
          </w:p>
        </w:tc>
        <w:tc>
          <w:tcPr>
            <w:tcW w:w="932"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23" w:name="_Toc23038"/>
            <w:bookmarkStart w:id="224" w:name="_Toc19546"/>
            <w:bookmarkStart w:id="225" w:name="_Toc30730"/>
            <w:bookmarkStart w:id="226" w:name="_Toc1209598"/>
            <w:r>
              <w:rPr>
                <w:rFonts w:hint="default" w:ascii="Times New Roman" w:hAnsi="Times New Roman" w:eastAsia="宋体" w:cs="Times New Roman"/>
                <w:b w:val="0"/>
                <w:color w:val="auto"/>
                <w:kern w:val="0"/>
                <w:sz w:val="21"/>
                <w:szCs w:val="21"/>
                <w:highlight w:val="none"/>
              </w:rPr>
              <w:t>生活污水</w:t>
            </w:r>
            <w:bookmarkEnd w:id="223"/>
            <w:bookmarkEnd w:id="224"/>
            <w:bookmarkEnd w:id="225"/>
            <w:bookmarkEnd w:id="226"/>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27" w:name="_Toc22651"/>
            <w:bookmarkStart w:id="228" w:name="_Toc1948"/>
            <w:bookmarkStart w:id="229" w:name="_Toc1209599"/>
            <w:bookmarkStart w:id="230" w:name="_Toc13456"/>
            <w:r>
              <w:rPr>
                <w:rFonts w:hint="default" w:ascii="Times New Roman" w:hAnsi="Times New Roman" w:eastAsia="宋体" w:cs="Times New Roman"/>
                <w:b w:val="0"/>
                <w:color w:val="auto"/>
                <w:kern w:val="0"/>
                <w:sz w:val="21"/>
                <w:szCs w:val="21"/>
                <w:highlight w:val="none"/>
              </w:rPr>
              <w:t>COD</w:t>
            </w:r>
            <w:bookmarkEnd w:id="227"/>
            <w:bookmarkEnd w:id="228"/>
            <w:bookmarkEnd w:id="229"/>
            <w:bookmarkEnd w:id="230"/>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31" w:name="_Toc25313"/>
            <w:bookmarkStart w:id="232" w:name="_Toc1209600"/>
            <w:bookmarkStart w:id="233" w:name="_Toc5443"/>
            <w:bookmarkStart w:id="234" w:name="_Toc15731"/>
            <w:r>
              <w:rPr>
                <w:rFonts w:hint="default" w:ascii="Times New Roman" w:hAnsi="Times New Roman" w:eastAsia="宋体" w:cs="Times New Roman"/>
                <w:b w:val="0"/>
                <w:color w:val="auto"/>
                <w:kern w:val="0"/>
                <w:sz w:val="21"/>
                <w:szCs w:val="21"/>
                <w:highlight w:val="none"/>
              </w:rPr>
              <w:t>系数法</w:t>
            </w:r>
            <w:bookmarkEnd w:id="231"/>
            <w:bookmarkEnd w:id="232"/>
            <w:bookmarkEnd w:id="233"/>
            <w:bookmarkEnd w:id="234"/>
          </w:p>
        </w:tc>
        <w:tc>
          <w:tcPr>
            <w:tcW w:w="933" w:type="dxa"/>
            <w:vMerge w:val="restart"/>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lang w:val="en-US" w:eastAsia="zh-CN"/>
              </w:rPr>
            </w:pPr>
            <w:bookmarkStart w:id="235" w:name="_Toc1725"/>
            <w:r>
              <w:rPr>
                <w:rFonts w:hint="default" w:ascii="Times New Roman" w:hAnsi="Times New Roman" w:eastAsia="宋体" w:cs="Times New Roman"/>
                <w:b w:val="0"/>
                <w:color w:val="auto"/>
                <w:kern w:val="0"/>
                <w:sz w:val="21"/>
                <w:szCs w:val="21"/>
              </w:rPr>
              <w:t>0.0</w:t>
            </w:r>
            <w:bookmarkEnd w:id="235"/>
            <w:r>
              <w:rPr>
                <w:rFonts w:hint="default" w:ascii="Times New Roman" w:hAnsi="Times New Roman" w:eastAsia="宋体" w:cs="Times New Roman"/>
                <w:b w:val="0"/>
                <w:color w:val="auto"/>
                <w:kern w:val="0"/>
                <w:sz w:val="21"/>
                <w:szCs w:val="21"/>
                <w:lang w:val="en-US" w:eastAsia="zh-CN"/>
              </w:rPr>
              <w:t>0</w:t>
            </w:r>
            <w:r>
              <w:rPr>
                <w:rFonts w:hint="eastAsia" w:ascii="Times New Roman" w:hAnsi="Times New Roman" w:eastAsia="宋体" w:cs="Times New Roman"/>
                <w:b w:val="0"/>
                <w:color w:val="auto"/>
                <w:kern w:val="0"/>
                <w:sz w:val="21"/>
                <w:szCs w:val="21"/>
                <w:lang w:val="en-US" w:eastAsia="zh-CN"/>
              </w:rPr>
              <w:t>6</w:t>
            </w:r>
          </w:p>
        </w:tc>
        <w:tc>
          <w:tcPr>
            <w:tcW w:w="1015"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bookmarkStart w:id="236" w:name="_Toc24869"/>
            <w:r>
              <w:rPr>
                <w:rFonts w:hint="default" w:ascii="Times New Roman" w:hAnsi="Times New Roman" w:eastAsia="宋体" w:cs="Times New Roman"/>
                <w:b w:val="0"/>
                <w:color w:val="auto"/>
                <w:kern w:val="0"/>
                <w:sz w:val="21"/>
                <w:szCs w:val="21"/>
              </w:rPr>
              <w:t>300</w:t>
            </w:r>
            <w:bookmarkEnd w:id="236"/>
          </w:p>
        </w:tc>
        <w:tc>
          <w:tcPr>
            <w:tcW w:w="1147"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lang w:val="en-US" w:eastAsia="zh-CN"/>
              </w:rPr>
            </w:pPr>
            <w:bookmarkStart w:id="237" w:name="_Toc2826"/>
            <w:r>
              <w:rPr>
                <w:rFonts w:hint="eastAsia" w:ascii="Times New Roman" w:hAnsi="Times New Roman" w:eastAsia="宋体" w:cs="Times New Roman"/>
                <w:b w:val="0"/>
                <w:color w:val="auto"/>
                <w:kern w:val="0"/>
                <w:sz w:val="21"/>
                <w:szCs w:val="21"/>
                <w:lang w:val="en-US" w:eastAsia="zh-CN"/>
              </w:rPr>
              <w:t>1.8</w:t>
            </w:r>
            <w:r>
              <w:rPr>
                <w:rFonts w:hint="default" w:ascii="Times New Roman" w:hAnsi="Times New Roman" w:eastAsia="宋体" w:cs="Times New Roman"/>
                <w:b w:val="0"/>
                <w:color w:val="auto"/>
                <w:kern w:val="0"/>
                <w:sz w:val="21"/>
                <w:szCs w:val="21"/>
              </w:rPr>
              <w:t>×10</w:t>
            </w:r>
            <w:r>
              <w:rPr>
                <w:rFonts w:hint="default" w:ascii="Times New Roman" w:hAnsi="Times New Roman" w:eastAsia="宋体" w:cs="Times New Roman"/>
                <w:b w:val="0"/>
                <w:color w:val="auto"/>
                <w:kern w:val="0"/>
                <w:sz w:val="21"/>
                <w:szCs w:val="21"/>
                <w:vertAlign w:val="superscript"/>
              </w:rPr>
              <w:t>-</w:t>
            </w:r>
            <w:bookmarkEnd w:id="237"/>
            <w:r>
              <w:rPr>
                <w:rFonts w:hint="default" w:ascii="Times New Roman" w:hAnsi="Times New Roman" w:eastAsia="宋体" w:cs="Times New Roman"/>
                <w:b w:val="0"/>
                <w:color w:val="auto"/>
                <w:kern w:val="0"/>
                <w:sz w:val="21"/>
                <w:szCs w:val="21"/>
                <w:vertAlign w:val="superscript"/>
                <w:lang w:val="en-US" w:eastAsia="zh-CN"/>
              </w:rPr>
              <w:t>6</w:t>
            </w:r>
          </w:p>
        </w:tc>
        <w:tc>
          <w:tcPr>
            <w:tcW w:w="747" w:type="dxa"/>
            <w:gridSpan w:val="2"/>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bookmarkStart w:id="238" w:name="_Toc3635"/>
            <w:r>
              <w:rPr>
                <w:rFonts w:hint="default" w:ascii="Times New Roman" w:hAnsi="Times New Roman" w:eastAsia="宋体" w:cs="Times New Roman"/>
                <w:b w:val="0"/>
                <w:color w:val="auto"/>
                <w:kern w:val="0"/>
                <w:sz w:val="21"/>
                <w:szCs w:val="21"/>
              </w:rPr>
              <w:t>/</w:t>
            </w:r>
            <w:bookmarkEnd w:id="238"/>
          </w:p>
        </w:tc>
        <w:tc>
          <w:tcPr>
            <w:tcW w:w="936"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bookmarkStart w:id="239" w:name="_Toc15773"/>
            <w:r>
              <w:rPr>
                <w:rFonts w:hint="default" w:ascii="Times New Roman" w:hAnsi="Times New Roman" w:eastAsia="宋体" w:cs="Times New Roman"/>
                <w:b w:val="0"/>
                <w:color w:val="auto"/>
                <w:kern w:val="0"/>
                <w:sz w:val="21"/>
                <w:szCs w:val="21"/>
              </w:rPr>
              <w:t>/</w:t>
            </w:r>
            <w:bookmarkEnd w:id="239"/>
          </w:p>
        </w:tc>
        <w:tc>
          <w:tcPr>
            <w:tcW w:w="933"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lang w:val="en-US" w:eastAsia="zh-CN"/>
              </w:rPr>
            </w:pPr>
            <w:bookmarkStart w:id="240" w:name="_Toc4696"/>
            <w:r>
              <w:rPr>
                <w:rFonts w:hint="default" w:ascii="Times New Roman" w:hAnsi="Times New Roman" w:eastAsia="宋体" w:cs="Times New Roman"/>
                <w:b w:val="0"/>
                <w:color w:val="auto"/>
                <w:kern w:val="0"/>
                <w:sz w:val="21"/>
                <w:szCs w:val="21"/>
                <w:lang w:val="en-US" w:eastAsia="zh-CN"/>
              </w:rPr>
              <w:t>系数法</w:t>
            </w:r>
            <w:bookmarkEnd w:id="240"/>
          </w:p>
        </w:tc>
        <w:tc>
          <w:tcPr>
            <w:tcW w:w="933" w:type="dxa"/>
            <w:vMerge w:val="restart"/>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lang w:val="en-US" w:eastAsia="zh-CN"/>
              </w:rPr>
            </w:pPr>
            <w:r>
              <w:rPr>
                <w:rFonts w:hint="default" w:ascii="Times New Roman" w:hAnsi="Times New Roman" w:eastAsia="宋体" w:cs="Times New Roman"/>
                <w:b w:val="0"/>
                <w:color w:val="auto"/>
                <w:kern w:val="0"/>
                <w:sz w:val="21"/>
                <w:szCs w:val="21"/>
              </w:rPr>
              <w:t>0.0</w:t>
            </w:r>
            <w:r>
              <w:rPr>
                <w:rFonts w:hint="default" w:ascii="Times New Roman" w:hAnsi="Times New Roman" w:eastAsia="宋体" w:cs="Times New Roman"/>
                <w:b w:val="0"/>
                <w:color w:val="auto"/>
                <w:kern w:val="0"/>
                <w:sz w:val="21"/>
                <w:szCs w:val="21"/>
                <w:lang w:val="en-US" w:eastAsia="zh-CN"/>
              </w:rPr>
              <w:t>0</w:t>
            </w:r>
            <w:r>
              <w:rPr>
                <w:rFonts w:hint="eastAsia" w:ascii="Times New Roman" w:hAnsi="Times New Roman" w:eastAsia="宋体" w:cs="Times New Roman"/>
                <w:b w:val="0"/>
                <w:color w:val="auto"/>
                <w:kern w:val="0"/>
                <w:sz w:val="21"/>
                <w:szCs w:val="21"/>
                <w:lang w:val="en-US" w:eastAsia="zh-CN"/>
              </w:rPr>
              <w:t>6</w:t>
            </w:r>
          </w:p>
        </w:tc>
        <w:tc>
          <w:tcPr>
            <w:tcW w:w="1015"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green"/>
              </w:rPr>
            </w:pPr>
            <w:r>
              <w:rPr>
                <w:rFonts w:hint="default" w:ascii="Times New Roman" w:hAnsi="Times New Roman" w:eastAsia="宋体" w:cs="Times New Roman"/>
                <w:b w:val="0"/>
                <w:color w:val="auto"/>
                <w:kern w:val="0"/>
                <w:sz w:val="21"/>
                <w:szCs w:val="21"/>
              </w:rPr>
              <w:t>300</w:t>
            </w:r>
          </w:p>
        </w:tc>
        <w:tc>
          <w:tcPr>
            <w:tcW w:w="1106"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green"/>
              </w:rPr>
            </w:pPr>
            <w:r>
              <w:rPr>
                <w:rFonts w:hint="eastAsia" w:ascii="Times New Roman" w:hAnsi="Times New Roman" w:eastAsia="宋体" w:cs="Times New Roman"/>
                <w:b w:val="0"/>
                <w:color w:val="auto"/>
                <w:kern w:val="0"/>
                <w:sz w:val="21"/>
                <w:szCs w:val="21"/>
                <w:lang w:val="en-US" w:eastAsia="zh-CN"/>
              </w:rPr>
              <w:t>1.8</w:t>
            </w:r>
            <w:r>
              <w:rPr>
                <w:rFonts w:hint="default" w:ascii="Times New Roman" w:hAnsi="Times New Roman" w:eastAsia="宋体" w:cs="Times New Roman"/>
                <w:b w:val="0"/>
                <w:color w:val="auto"/>
                <w:kern w:val="0"/>
                <w:sz w:val="21"/>
                <w:szCs w:val="21"/>
              </w:rPr>
              <w:t>×10</w:t>
            </w:r>
            <w:r>
              <w:rPr>
                <w:rFonts w:hint="default" w:ascii="Times New Roman" w:hAnsi="Times New Roman" w:eastAsia="宋体" w:cs="Times New Roman"/>
                <w:b w:val="0"/>
                <w:color w:val="auto"/>
                <w:kern w:val="0"/>
                <w:sz w:val="21"/>
                <w:szCs w:val="21"/>
                <w:vertAlign w:val="superscript"/>
              </w:rPr>
              <w:t>-</w:t>
            </w:r>
            <w:r>
              <w:rPr>
                <w:rFonts w:hint="default" w:ascii="Times New Roman" w:hAnsi="Times New Roman" w:eastAsia="宋体" w:cs="Times New Roman"/>
                <w:b w:val="0"/>
                <w:color w:val="auto"/>
                <w:kern w:val="0"/>
                <w:sz w:val="21"/>
                <w:szCs w:val="21"/>
                <w:vertAlign w:val="superscript"/>
                <w:lang w:val="en-US" w:eastAsia="zh-CN"/>
              </w:rPr>
              <w:t>6</w:t>
            </w:r>
          </w:p>
        </w:tc>
        <w:tc>
          <w:tcPr>
            <w:tcW w:w="78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41" w:name="_Toc1209610"/>
            <w:bookmarkStart w:id="242" w:name="_Toc17431"/>
            <w:bookmarkStart w:id="243" w:name="_Toc18363"/>
            <w:bookmarkStart w:id="244" w:name="_Toc23309"/>
            <w:r>
              <w:rPr>
                <w:rFonts w:hint="default" w:ascii="Times New Roman" w:hAnsi="Times New Roman" w:eastAsia="宋体" w:cs="Times New Roman"/>
                <w:b w:val="0"/>
                <w:color w:val="auto"/>
                <w:kern w:val="0"/>
                <w:sz w:val="21"/>
                <w:szCs w:val="21"/>
                <w:highlight w:val="none"/>
              </w:rPr>
              <w:t>8760</w:t>
            </w:r>
            <w:bookmarkEnd w:id="241"/>
            <w:bookmarkEnd w:id="242"/>
            <w:bookmarkEnd w:id="243"/>
            <w:bookmarkEnd w:id="24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2"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45" w:name="_Toc14760"/>
            <w:bookmarkStart w:id="246" w:name="_Toc31244"/>
            <w:bookmarkStart w:id="247" w:name="_Toc3871"/>
            <w:bookmarkStart w:id="248" w:name="_Toc1209611"/>
            <w:r>
              <w:rPr>
                <w:rFonts w:hint="default" w:ascii="Times New Roman" w:hAnsi="Times New Roman" w:eastAsia="宋体" w:cs="Times New Roman"/>
                <w:b w:val="0"/>
                <w:color w:val="auto"/>
                <w:kern w:val="0"/>
                <w:sz w:val="21"/>
                <w:szCs w:val="21"/>
                <w:highlight w:val="none"/>
              </w:rPr>
              <w:t>氨氮</w:t>
            </w:r>
            <w:bookmarkEnd w:id="245"/>
            <w:bookmarkEnd w:id="246"/>
            <w:bookmarkEnd w:id="247"/>
            <w:bookmarkEnd w:id="248"/>
          </w:p>
        </w:tc>
        <w:tc>
          <w:tcPr>
            <w:tcW w:w="933" w:type="dxa"/>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49" w:name="_Toc26382"/>
            <w:bookmarkStart w:id="250" w:name="_Toc24735"/>
            <w:bookmarkStart w:id="251" w:name="_Toc1209612"/>
            <w:bookmarkStart w:id="252" w:name="_Toc14259"/>
            <w:r>
              <w:rPr>
                <w:rFonts w:hint="default" w:ascii="Times New Roman" w:hAnsi="Times New Roman" w:eastAsia="宋体" w:cs="Times New Roman"/>
                <w:b w:val="0"/>
                <w:color w:val="auto"/>
                <w:kern w:val="0"/>
                <w:sz w:val="21"/>
                <w:szCs w:val="21"/>
                <w:highlight w:val="none"/>
              </w:rPr>
              <w:t>系数法</w:t>
            </w:r>
            <w:bookmarkEnd w:id="249"/>
            <w:bookmarkEnd w:id="250"/>
            <w:bookmarkEnd w:id="251"/>
            <w:bookmarkEnd w:id="252"/>
          </w:p>
        </w:tc>
        <w:tc>
          <w:tcPr>
            <w:tcW w:w="933" w:type="dxa"/>
            <w:vMerge w:val="continue"/>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p>
        </w:tc>
        <w:tc>
          <w:tcPr>
            <w:tcW w:w="1015"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bookmarkStart w:id="253" w:name="_Toc21568"/>
            <w:r>
              <w:rPr>
                <w:rFonts w:hint="default" w:ascii="Times New Roman" w:hAnsi="Times New Roman" w:eastAsia="宋体" w:cs="Times New Roman"/>
                <w:b w:val="0"/>
                <w:color w:val="auto"/>
                <w:kern w:val="0"/>
                <w:sz w:val="21"/>
                <w:szCs w:val="21"/>
              </w:rPr>
              <w:t>30</w:t>
            </w:r>
            <w:bookmarkEnd w:id="253"/>
          </w:p>
        </w:tc>
        <w:tc>
          <w:tcPr>
            <w:tcW w:w="1147"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lang w:val="en-US" w:eastAsia="zh-CN"/>
              </w:rPr>
            </w:pPr>
            <w:bookmarkStart w:id="254" w:name="_Toc31068"/>
            <w:r>
              <w:rPr>
                <w:rFonts w:hint="eastAsia" w:ascii="Times New Roman" w:hAnsi="Times New Roman" w:eastAsia="宋体" w:cs="Times New Roman"/>
                <w:b w:val="0"/>
                <w:color w:val="auto"/>
                <w:kern w:val="0"/>
                <w:sz w:val="21"/>
                <w:szCs w:val="21"/>
                <w:lang w:val="en-US" w:eastAsia="zh-CN"/>
              </w:rPr>
              <w:t>1.8</w:t>
            </w:r>
            <w:r>
              <w:rPr>
                <w:rFonts w:hint="default" w:ascii="Times New Roman" w:hAnsi="Times New Roman" w:eastAsia="宋体" w:cs="Times New Roman"/>
                <w:b w:val="0"/>
                <w:color w:val="auto"/>
                <w:kern w:val="0"/>
                <w:sz w:val="21"/>
                <w:szCs w:val="21"/>
              </w:rPr>
              <w:t>×10</w:t>
            </w:r>
            <w:r>
              <w:rPr>
                <w:rFonts w:hint="default" w:ascii="Times New Roman" w:hAnsi="Times New Roman" w:eastAsia="宋体" w:cs="Times New Roman"/>
                <w:b w:val="0"/>
                <w:color w:val="auto"/>
                <w:kern w:val="0"/>
                <w:sz w:val="21"/>
                <w:szCs w:val="21"/>
                <w:vertAlign w:val="superscript"/>
              </w:rPr>
              <w:t>-</w:t>
            </w:r>
            <w:bookmarkEnd w:id="254"/>
            <w:r>
              <w:rPr>
                <w:rFonts w:hint="default" w:ascii="Times New Roman" w:hAnsi="Times New Roman" w:eastAsia="宋体" w:cs="Times New Roman"/>
                <w:b w:val="0"/>
                <w:color w:val="auto"/>
                <w:kern w:val="0"/>
                <w:sz w:val="21"/>
                <w:szCs w:val="21"/>
                <w:vertAlign w:val="superscript"/>
                <w:lang w:val="en-US" w:eastAsia="zh-CN"/>
              </w:rPr>
              <w:t>7</w:t>
            </w:r>
          </w:p>
        </w:tc>
        <w:tc>
          <w:tcPr>
            <w:tcW w:w="747" w:type="dxa"/>
            <w:gridSpan w:val="2"/>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bookmarkStart w:id="255" w:name="_Toc8417"/>
            <w:r>
              <w:rPr>
                <w:rFonts w:hint="default" w:ascii="Times New Roman" w:hAnsi="Times New Roman" w:eastAsia="宋体" w:cs="Times New Roman"/>
                <w:b w:val="0"/>
                <w:color w:val="auto"/>
                <w:kern w:val="0"/>
                <w:sz w:val="21"/>
                <w:szCs w:val="21"/>
              </w:rPr>
              <w:t>/</w:t>
            </w:r>
            <w:bookmarkEnd w:id="255"/>
          </w:p>
        </w:tc>
        <w:tc>
          <w:tcPr>
            <w:tcW w:w="936"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none"/>
              </w:rPr>
            </w:pPr>
            <w:bookmarkStart w:id="256" w:name="_Toc3832"/>
            <w:r>
              <w:rPr>
                <w:rFonts w:hint="default" w:ascii="Times New Roman" w:hAnsi="Times New Roman" w:eastAsia="宋体" w:cs="Times New Roman"/>
                <w:b w:val="0"/>
                <w:color w:val="auto"/>
                <w:kern w:val="0"/>
                <w:sz w:val="21"/>
                <w:szCs w:val="21"/>
              </w:rPr>
              <w:t>/</w:t>
            </w:r>
            <w:bookmarkEnd w:id="256"/>
          </w:p>
        </w:tc>
        <w:tc>
          <w:tcPr>
            <w:tcW w:w="933"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lang w:val="en-US" w:eastAsia="zh-CN"/>
              </w:rPr>
            </w:pPr>
            <w:bookmarkStart w:id="257" w:name="_Toc23342"/>
            <w:r>
              <w:rPr>
                <w:rFonts w:hint="default" w:ascii="Times New Roman" w:hAnsi="Times New Roman" w:eastAsia="宋体" w:cs="Times New Roman"/>
                <w:b w:val="0"/>
                <w:color w:val="auto"/>
                <w:kern w:val="0"/>
                <w:sz w:val="21"/>
                <w:szCs w:val="21"/>
                <w:lang w:val="en-US" w:eastAsia="zh-CN"/>
              </w:rPr>
              <w:t>系数法</w:t>
            </w:r>
            <w:bookmarkEnd w:id="257"/>
          </w:p>
        </w:tc>
        <w:tc>
          <w:tcPr>
            <w:tcW w:w="933" w:type="dxa"/>
            <w:vMerge w:val="continue"/>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lang w:val="en-US" w:eastAsia="zh-CN"/>
              </w:rPr>
            </w:pPr>
          </w:p>
        </w:tc>
        <w:tc>
          <w:tcPr>
            <w:tcW w:w="1015"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green"/>
              </w:rPr>
            </w:pPr>
            <w:r>
              <w:rPr>
                <w:rFonts w:hint="default" w:ascii="Times New Roman" w:hAnsi="Times New Roman" w:eastAsia="宋体" w:cs="Times New Roman"/>
                <w:b w:val="0"/>
                <w:color w:val="auto"/>
                <w:kern w:val="0"/>
                <w:sz w:val="21"/>
                <w:szCs w:val="21"/>
              </w:rPr>
              <w:t>30</w:t>
            </w:r>
          </w:p>
        </w:tc>
        <w:tc>
          <w:tcPr>
            <w:tcW w:w="1106" w:type="dxa"/>
            <w:shd w:val="clear" w:color="auto" w:fill="auto"/>
            <w:vAlign w:val="center"/>
          </w:tcPr>
          <w:p>
            <w:pPr>
              <w:pStyle w:val="3"/>
              <w:suppressLineNumbers w:val="0"/>
              <w:spacing w:before="0" w:beforeAutospacing="0" w:after="0" w:afterAutospacing="0" w:line="240" w:lineRule="auto"/>
              <w:ind w:left="0" w:leftChars="0" w:right="0" w:rightChars="0"/>
              <w:jc w:val="center"/>
              <w:outlineLvl w:val="1"/>
              <w:rPr>
                <w:rFonts w:hint="default" w:ascii="Times New Roman" w:hAnsi="Times New Roman" w:eastAsia="宋体" w:cs="Times New Roman"/>
                <w:b w:val="0"/>
                <w:color w:val="auto"/>
                <w:kern w:val="0"/>
                <w:sz w:val="21"/>
                <w:szCs w:val="21"/>
                <w:highlight w:val="green"/>
              </w:rPr>
            </w:pPr>
            <w:r>
              <w:rPr>
                <w:rFonts w:hint="eastAsia" w:ascii="Times New Roman" w:hAnsi="Times New Roman" w:eastAsia="宋体" w:cs="Times New Roman"/>
                <w:b w:val="0"/>
                <w:color w:val="auto"/>
                <w:kern w:val="0"/>
                <w:sz w:val="21"/>
                <w:szCs w:val="21"/>
                <w:lang w:val="en-US" w:eastAsia="zh-CN"/>
              </w:rPr>
              <w:t>1.8</w:t>
            </w:r>
            <w:r>
              <w:rPr>
                <w:rFonts w:hint="default" w:ascii="Times New Roman" w:hAnsi="Times New Roman" w:eastAsia="宋体" w:cs="Times New Roman"/>
                <w:b w:val="0"/>
                <w:color w:val="auto"/>
                <w:kern w:val="0"/>
                <w:sz w:val="21"/>
                <w:szCs w:val="21"/>
              </w:rPr>
              <w:t>×10</w:t>
            </w:r>
            <w:r>
              <w:rPr>
                <w:rFonts w:hint="default" w:ascii="Times New Roman" w:hAnsi="Times New Roman" w:eastAsia="宋体" w:cs="Times New Roman"/>
                <w:b w:val="0"/>
                <w:color w:val="auto"/>
                <w:kern w:val="0"/>
                <w:sz w:val="21"/>
                <w:szCs w:val="21"/>
                <w:vertAlign w:val="superscript"/>
              </w:rPr>
              <w:t>-</w:t>
            </w:r>
            <w:r>
              <w:rPr>
                <w:rFonts w:hint="default" w:ascii="Times New Roman" w:hAnsi="Times New Roman" w:eastAsia="宋体" w:cs="Times New Roman"/>
                <w:b w:val="0"/>
                <w:color w:val="auto"/>
                <w:kern w:val="0"/>
                <w:sz w:val="21"/>
                <w:szCs w:val="21"/>
                <w:vertAlign w:val="superscript"/>
                <w:lang w:val="en-US" w:eastAsia="zh-CN"/>
              </w:rPr>
              <w:t>7</w:t>
            </w:r>
          </w:p>
        </w:tc>
        <w:tc>
          <w:tcPr>
            <w:tcW w:w="785" w:type="dxa"/>
            <w:vMerge w:val="continue"/>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p>
        </w:tc>
      </w:tr>
    </w:tbl>
    <w:p>
      <w:pPr>
        <w:pStyle w:val="34"/>
        <w:rPr>
          <w:rFonts w:hint="default" w:ascii="Times New Roman" w:hAnsi="Times New Roman" w:eastAsia="宋体" w:cs="Times New Roman"/>
          <w:color w:val="FF0000"/>
          <w:highlight w:val="none"/>
        </w:rPr>
      </w:pPr>
    </w:p>
    <w:p>
      <w:pPr>
        <w:pStyle w:val="34"/>
        <w:rPr>
          <w:rFonts w:hint="default" w:ascii="Times New Roman" w:hAnsi="Times New Roman" w:eastAsia="宋体" w:cs="Times New Roman"/>
          <w:color w:val="FF0000"/>
          <w:highlight w:val="none"/>
        </w:rPr>
      </w:pPr>
    </w:p>
    <w:p>
      <w:pPr>
        <w:pStyle w:val="34"/>
        <w:jc w:val="center"/>
        <w:rPr>
          <w:rFonts w:hint="default" w:ascii="Times New Roman" w:hAnsi="Times New Roman" w:eastAsia="宋体" w:cs="Times New Roman"/>
          <w:b/>
          <w:bCs/>
          <w:color w:val="FF0000"/>
          <w:highlight w:val="none"/>
        </w:rPr>
      </w:pPr>
    </w:p>
    <w:p>
      <w:pPr>
        <w:pStyle w:val="34"/>
        <w:jc w:val="center"/>
        <w:rPr>
          <w:rFonts w:hint="default" w:ascii="Times New Roman" w:hAnsi="Times New Roman" w:eastAsia="宋体" w:cs="Times New Roman"/>
          <w:b/>
          <w:bCs/>
          <w:color w:val="FF0000"/>
          <w:highlight w:val="none"/>
        </w:rPr>
      </w:pPr>
    </w:p>
    <w:p>
      <w:pPr>
        <w:pStyle w:val="3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表5-5  噪声污染源源强核算结果及相关参数一览表</w:t>
      </w:r>
    </w:p>
    <w:tbl>
      <w:tblPr>
        <w:tblStyle w:val="27"/>
        <w:tblW w:w="142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294"/>
        <w:gridCol w:w="1297"/>
        <w:gridCol w:w="1319"/>
        <w:gridCol w:w="1297"/>
        <w:gridCol w:w="1297"/>
        <w:gridCol w:w="1297"/>
        <w:gridCol w:w="1297"/>
        <w:gridCol w:w="1274"/>
        <w:gridCol w:w="1277"/>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5"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58" w:name="_Toc10803"/>
            <w:bookmarkStart w:id="259" w:name="_Toc30724"/>
            <w:bookmarkStart w:id="260" w:name="_Toc24930"/>
            <w:bookmarkStart w:id="261" w:name="_Toc1209620"/>
            <w:r>
              <w:rPr>
                <w:rFonts w:hint="default" w:ascii="Times New Roman" w:hAnsi="Times New Roman" w:eastAsia="宋体" w:cs="Times New Roman"/>
                <w:b w:val="0"/>
                <w:color w:val="auto"/>
                <w:kern w:val="0"/>
                <w:sz w:val="21"/>
                <w:szCs w:val="21"/>
                <w:highlight w:val="none"/>
              </w:rPr>
              <w:t>工序/生产线</w:t>
            </w:r>
            <w:bookmarkEnd w:id="258"/>
            <w:bookmarkEnd w:id="259"/>
            <w:bookmarkEnd w:id="260"/>
            <w:bookmarkEnd w:id="261"/>
          </w:p>
        </w:tc>
        <w:tc>
          <w:tcPr>
            <w:tcW w:w="1294"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62" w:name="_Toc18343"/>
            <w:bookmarkStart w:id="263" w:name="_Toc31658"/>
            <w:bookmarkStart w:id="264" w:name="_Toc31076"/>
            <w:bookmarkStart w:id="265" w:name="_Toc1209621"/>
            <w:r>
              <w:rPr>
                <w:rFonts w:hint="default" w:ascii="Times New Roman" w:hAnsi="Times New Roman" w:eastAsia="宋体" w:cs="Times New Roman"/>
                <w:b w:val="0"/>
                <w:color w:val="auto"/>
                <w:kern w:val="0"/>
                <w:sz w:val="21"/>
                <w:szCs w:val="21"/>
                <w:highlight w:val="none"/>
              </w:rPr>
              <w:t>装置</w:t>
            </w:r>
            <w:bookmarkEnd w:id="262"/>
            <w:bookmarkEnd w:id="263"/>
            <w:bookmarkEnd w:id="264"/>
            <w:bookmarkEnd w:id="265"/>
          </w:p>
        </w:tc>
        <w:tc>
          <w:tcPr>
            <w:tcW w:w="1297"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66" w:name="_Toc1148"/>
            <w:bookmarkStart w:id="267" w:name="_Toc1209622"/>
            <w:bookmarkStart w:id="268" w:name="_Toc1915"/>
            <w:bookmarkStart w:id="269" w:name="_Toc1831"/>
            <w:r>
              <w:rPr>
                <w:rFonts w:hint="default" w:ascii="Times New Roman" w:hAnsi="Times New Roman" w:eastAsia="宋体" w:cs="Times New Roman"/>
                <w:b w:val="0"/>
                <w:color w:val="auto"/>
                <w:kern w:val="0"/>
                <w:sz w:val="21"/>
                <w:szCs w:val="21"/>
                <w:highlight w:val="none"/>
              </w:rPr>
              <w:t>噪声源</w:t>
            </w:r>
            <w:bookmarkEnd w:id="266"/>
            <w:bookmarkEnd w:id="267"/>
            <w:bookmarkEnd w:id="268"/>
            <w:bookmarkEnd w:id="269"/>
          </w:p>
        </w:tc>
        <w:tc>
          <w:tcPr>
            <w:tcW w:w="1319" w:type="dxa"/>
            <w:vMerge w:val="restart"/>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声源类型（频发、偶发等）</w:t>
            </w:r>
          </w:p>
        </w:tc>
        <w:tc>
          <w:tcPr>
            <w:tcW w:w="2594" w:type="dxa"/>
            <w:gridSpan w:val="2"/>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噪声源强</w:t>
            </w:r>
          </w:p>
        </w:tc>
        <w:tc>
          <w:tcPr>
            <w:tcW w:w="2594" w:type="dxa"/>
            <w:gridSpan w:val="2"/>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降噪措施</w:t>
            </w:r>
          </w:p>
        </w:tc>
        <w:tc>
          <w:tcPr>
            <w:tcW w:w="2551" w:type="dxa"/>
            <w:gridSpan w:val="2"/>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噪声排放值</w:t>
            </w:r>
          </w:p>
        </w:tc>
        <w:tc>
          <w:tcPr>
            <w:tcW w:w="1274" w:type="dxa"/>
            <w:vMerge w:val="restart"/>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5"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294"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297"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319"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核算方法</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噪声值dB(A)</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降噪效果</w:t>
            </w:r>
          </w:p>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核算方法</w:t>
            </w:r>
          </w:p>
        </w:tc>
        <w:tc>
          <w:tcPr>
            <w:tcW w:w="127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噪声值</w:t>
            </w:r>
          </w:p>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c>
          <w:tcPr>
            <w:tcW w:w="1274"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加油</w:t>
            </w:r>
          </w:p>
        </w:tc>
        <w:tc>
          <w:tcPr>
            <w:tcW w:w="129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加油机、吸油泵</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加油机</w:t>
            </w:r>
          </w:p>
        </w:tc>
        <w:tc>
          <w:tcPr>
            <w:tcW w:w="131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频发</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60~70</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低噪设备</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1277" w:type="dxa"/>
            <w:vMerge w:val="restart"/>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小于50</w:t>
            </w: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油气回收</w:t>
            </w:r>
          </w:p>
        </w:tc>
        <w:tc>
          <w:tcPr>
            <w:tcW w:w="129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油气回收装置</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油气回收装置</w:t>
            </w:r>
          </w:p>
        </w:tc>
        <w:tc>
          <w:tcPr>
            <w:tcW w:w="131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频发</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60~70</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低噪设备</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1277"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汽车进出场</w:t>
            </w:r>
          </w:p>
        </w:tc>
        <w:tc>
          <w:tcPr>
            <w:tcW w:w="129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w:t>
            </w:r>
          </w:p>
        </w:tc>
        <w:tc>
          <w:tcPr>
            <w:tcW w:w="131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频发</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55~65</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限速、降噪、禁鸣</w:t>
            </w:r>
          </w:p>
        </w:tc>
        <w:tc>
          <w:tcPr>
            <w:tcW w:w="1297"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1277"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274"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8760</w:t>
            </w:r>
          </w:p>
        </w:tc>
      </w:tr>
    </w:tbl>
    <w:p>
      <w:pPr>
        <w:pStyle w:val="34"/>
        <w:rPr>
          <w:rFonts w:hint="default" w:ascii="Times New Roman" w:hAnsi="Times New Roman" w:eastAsia="宋体" w:cs="Times New Roman"/>
          <w:color w:val="FF0000"/>
          <w:sz w:val="21"/>
          <w:szCs w:val="21"/>
          <w:highlight w:val="none"/>
        </w:rPr>
      </w:pPr>
    </w:p>
    <w:p>
      <w:pPr>
        <w:pStyle w:val="34"/>
        <w:rPr>
          <w:rFonts w:hint="default" w:ascii="Times New Roman" w:hAnsi="Times New Roman" w:eastAsia="宋体" w:cs="Times New Roman"/>
          <w:color w:val="FF0000"/>
          <w:sz w:val="21"/>
          <w:szCs w:val="21"/>
          <w:highlight w:val="none"/>
        </w:rPr>
      </w:pPr>
    </w:p>
    <w:p>
      <w:pPr>
        <w:pStyle w:val="3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表5-6  固体废物污染源源强核算结果及相关参数一览表</w:t>
      </w:r>
    </w:p>
    <w:tbl>
      <w:tblPr>
        <w:tblStyle w:val="27"/>
        <w:tblW w:w="142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579"/>
        <w:gridCol w:w="1580"/>
        <w:gridCol w:w="1580"/>
        <w:gridCol w:w="1580"/>
        <w:gridCol w:w="1580"/>
        <w:gridCol w:w="1580"/>
        <w:gridCol w:w="1580"/>
        <w:gridCol w:w="1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9"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70" w:name="_Toc12206"/>
            <w:bookmarkStart w:id="271" w:name="_Toc11017"/>
            <w:bookmarkStart w:id="272" w:name="_Toc1209623"/>
            <w:bookmarkStart w:id="273" w:name="_Toc25602"/>
            <w:r>
              <w:rPr>
                <w:rFonts w:hint="default" w:ascii="Times New Roman" w:hAnsi="Times New Roman" w:eastAsia="宋体" w:cs="Times New Roman"/>
                <w:b w:val="0"/>
                <w:color w:val="auto"/>
                <w:kern w:val="0"/>
                <w:sz w:val="21"/>
                <w:szCs w:val="21"/>
                <w:highlight w:val="none"/>
              </w:rPr>
              <w:t>工序/生产线</w:t>
            </w:r>
            <w:bookmarkEnd w:id="270"/>
            <w:bookmarkEnd w:id="271"/>
            <w:bookmarkEnd w:id="272"/>
            <w:bookmarkEnd w:id="273"/>
          </w:p>
        </w:tc>
        <w:tc>
          <w:tcPr>
            <w:tcW w:w="1579" w:type="dxa"/>
            <w:vMerge w:val="restart"/>
            <w:shd w:val="clear" w:color="auto" w:fill="auto"/>
            <w:vAlign w:val="center"/>
          </w:tcPr>
          <w:p>
            <w:pPr>
              <w:pStyle w:val="3"/>
              <w:spacing w:before="0" w:after="0" w:line="240" w:lineRule="auto"/>
              <w:jc w:val="center"/>
              <w:rPr>
                <w:rFonts w:hint="default" w:ascii="Times New Roman" w:hAnsi="Times New Roman" w:eastAsia="宋体" w:cs="Times New Roman"/>
                <w:b w:val="0"/>
                <w:color w:val="auto"/>
                <w:kern w:val="0"/>
                <w:sz w:val="21"/>
                <w:szCs w:val="21"/>
                <w:highlight w:val="none"/>
              </w:rPr>
            </w:pPr>
            <w:bookmarkStart w:id="274" w:name="_Toc1209624"/>
            <w:bookmarkStart w:id="275" w:name="_Toc25683"/>
            <w:bookmarkStart w:id="276" w:name="_Toc4748"/>
            <w:bookmarkStart w:id="277" w:name="_Toc23637"/>
            <w:r>
              <w:rPr>
                <w:rFonts w:hint="default" w:ascii="Times New Roman" w:hAnsi="Times New Roman" w:eastAsia="宋体" w:cs="Times New Roman"/>
                <w:b w:val="0"/>
                <w:color w:val="auto"/>
                <w:kern w:val="0"/>
                <w:sz w:val="21"/>
                <w:szCs w:val="21"/>
                <w:highlight w:val="none"/>
              </w:rPr>
              <w:t>装置</w:t>
            </w:r>
            <w:bookmarkEnd w:id="274"/>
            <w:bookmarkEnd w:id="275"/>
            <w:bookmarkEnd w:id="276"/>
            <w:bookmarkEnd w:id="277"/>
          </w:p>
        </w:tc>
        <w:tc>
          <w:tcPr>
            <w:tcW w:w="1580" w:type="dxa"/>
            <w:vMerge w:val="restart"/>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固体废物名称</w:t>
            </w:r>
          </w:p>
        </w:tc>
        <w:tc>
          <w:tcPr>
            <w:tcW w:w="1580" w:type="dxa"/>
            <w:vMerge w:val="restart"/>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固废属性</w:t>
            </w:r>
          </w:p>
        </w:tc>
        <w:tc>
          <w:tcPr>
            <w:tcW w:w="3160" w:type="dxa"/>
            <w:gridSpan w:val="2"/>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产生情况</w:t>
            </w:r>
          </w:p>
        </w:tc>
        <w:tc>
          <w:tcPr>
            <w:tcW w:w="3160" w:type="dxa"/>
            <w:gridSpan w:val="2"/>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处置措施</w:t>
            </w:r>
          </w:p>
        </w:tc>
        <w:tc>
          <w:tcPr>
            <w:tcW w:w="1580" w:type="dxa"/>
            <w:vMerge w:val="restart"/>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9"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579"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580"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580"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核算方法</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处置量</w:t>
            </w:r>
          </w:p>
        </w:tc>
        <w:tc>
          <w:tcPr>
            <w:tcW w:w="1580" w:type="dxa"/>
            <w:vMerge w:val="continue"/>
            <w:shd w:val="clear" w:color="auto" w:fill="auto"/>
            <w:vAlign w:val="center"/>
          </w:tcPr>
          <w:p>
            <w:pPr>
              <w:pStyle w:val="34"/>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员工生活</w:t>
            </w:r>
          </w:p>
        </w:tc>
        <w:tc>
          <w:tcPr>
            <w:tcW w:w="157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员工</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系数法</w:t>
            </w:r>
          </w:p>
        </w:tc>
        <w:tc>
          <w:tcPr>
            <w:tcW w:w="1580" w:type="dxa"/>
            <w:shd w:val="clear" w:color="auto" w:fill="auto"/>
            <w:vAlign w:val="center"/>
          </w:tcPr>
          <w:p>
            <w:pPr>
              <w:pStyle w:val="3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cs="Times New Roman"/>
                <w:color w:val="auto"/>
                <w:kern w:val="2"/>
                <w:sz w:val="21"/>
                <w:szCs w:val="21"/>
                <w:lang w:val="en-US" w:eastAsia="zh-CN"/>
              </w:rPr>
              <w:t>1.095</w:t>
            </w:r>
            <w:r>
              <w:rPr>
                <w:rFonts w:hint="default" w:ascii="Times New Roman" w:hAnsi="Times New Roman" w:eastAsia="宋体" w:cs="Times New Roman"/>
                <w:color w:val="auto"/>
                <w:kern w:val="2"/>
                <w:sz w:val="21"/>
                <w:szCs w:val="21"/>
                <w:lang w:val="en-US" w:eastAsia="zh-CN"/>
              </w:rPr>
              <w:t xml:space="preserve"> t/a</w:t>
            </w:r>
          </w:p>
        </w:tc>
        <w:tc>
          <w:tcPr>
            <w:tcW w:w="1580" w:type="dxa"/>
            <w:shd w:val="clear" w:color="auto" w:fill="auto"/>
            <w:vAlign w:val="center"/>
          </w:tcPr>
          <w:p>
            <w:pPr>
              <w:pStyle w:val="3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rPr>
              <w:t>市政部门统一处理</w:t>
            </w:r>
          </w:p>
        </w:tc>
        <w:tc>
          <w:tcPr>
            <w:tcW w:w="1580" w:type="dxa"/>
            <w:shd w:val="clear" w:color="auto" w:fill="auto"/>
            <w:vAlign w:val="center"/>
          </w:tcPr>
          <w:p>
            <w:pPr>
              <w:pStyle w:val="3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cs="Times New Roman"/>
                <w:color w:val="auto"/>
                <w:kern w:val="2"/>
                <w:sz w:val="21"/>
                <w:szCs w:val="21"/>
                <w:lang w:val="en-US" w:eastAsia="zh-CN"/>
              </w:rPr>
              <w:t>1.095</w:t>
            </w:r>
            <w:r>
              <w:rPr>
                <w:rFonts w:hint="default" w:ascii="Times New Roman" w:hAnsi="Times New Roman" w:eastAsia="宋体" w:cs="Times New Roman"/>
                <w:color w:val="auto"/>
                <w:kern w:val="2"/>
                <w:sz w:val="21"/>
                <w:szCs w:val="21"/>
                <w:lang w:val="en-US" w:eastAsia="zh-CN"/>
              </w:rPr>
              <w:t xml:space="preserve"> t/a</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市政部门统一处理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油品贮存</w:t>
            </w:r>
          </w:p>
        </w:tc>
        <w:tc>
          <w:tcPr>
            <w:tcW w:w="1579"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油罐</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底泥</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580"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类比法</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0.25t/5a</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0.25t/5a</w:t>
            </w:r>
          </w:p>
        </w:tc>
        <w:tc>
          <w:tcPr>
            <w:tcW w:w="1580" w:type="dxa"/>
            <w:shd w:val="clear" w:color="auto" w:fill="auto"/>
            <w:vAlign w:val="center"/>
          </w:tcPr>
          <w:p>
            <w:pPr>
              <w:pStyle w:val="3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r>
      <w:bookmarkEnd w:id="22"/>
    </w:tbl>
    <w:p>
      <w:pPr>
        <w:pStyle w:val="3"/>
        <w:spacing w:before="0" w:after="0" w:line="413" w:lineRule="auto"/>
        <w:rPr>
          <w:rFonts w:hint="default" w:ascii="Times New Roman" w:hAnsi="Times New Roman" w:eastAsia="宋体" w:cs="Times New Roman"/>
          <w:color w:val="auto"/>
          <w:highlight w:val="none"/>
        </w:rPr>
        <w:sectPr>
          <w:pgSz w:w="16838" w:h="11906" w:orient="landscape"/>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3"/>
        <w:spacing w:before="0" w:after="0" w:line="413" w:lineRule="auto"/>
        <w:rPr>
          <w:rFonts w:hint="default" w:ascii="Times New Roman" w:hAnsi="Times New Roman" w:eastAsia="宋体" w:cs="Times New Roman"/>
          <w:color w:val="auto"/>
          <w:highlight w:val="none"/>
        </w:rPr>
      </w:pPr>
      <w:bookmarkStart w:id="278" w:name="_Toc12812"/>
      <w:r>
        <w:rPr>
          <w:rFonts w:hint="default" w:ascii="Times New Roman" w:hAnsi="Times New Roman" w:eastAsia="宋体" w:cs="Times New Roman"/>
          <w:color w:val="auto"/>
          <w:highlight w:val="none"/>
        </w:rPr>
        <w:t>六、项目主</w:t>
      </w:r>
      <w:bookmarkStart w:id="279" w:name="_Toc251921958"/>
      <w:r>
        <w:rPr>
          <w:rFonts w:hint="default" w:ascii="Times New Roman" w:hAnsi="Times New Roman" w:eastAsia="宋体" w:cs="Times New Roman"/>
          <w:color w:val="auto"/>
          <w:highlight w:val="none"/>
        </w:rPr>
        <w:t>要污染物产生及预计排放情况</w:t>
      </w:r>
      <w:bookmarkEnd w:id="278"/>
    </w:p>
    <w:bookmarkEnd w:id="279"/>
    <w:tbl>
      <w:tblPr>
        <w:tblStyle w:val="27"/>
        <w:tblW w:w="91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261"/>
        <w:gridCol w:w="1788"/>
        <w:gridCol w:w="2418"/>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5" w:hRule="atLeast"/>
        </w:trPr>
        <w:tc>
          <w:tcPr>
            <w:tcW w:w="946" w:type="dxa"/>
            <w:tcBorders>
              <w:tl2br w:val="single" w:color="auto" w:sz="4" w:space="0"/>
            </w:tcBorders>
            <w:vAlign w:val="center"/>
          </w:tcPr>
          <w:p>
            <w:pPr>
              <w:snapToGrid w:val="0"/>
              <w:spacing w:line="240" w:lineRule="auto"/>
              <w:ind w:left="-6" w:right="-107"/>
              <w:rPr>
                <w:rFonts w:hint="default" w:ascii="Times New Roman" w:hAnsi="Times New Roman" w:eastAsia="宋体" w:cs="Times New Roman"/>
                <w:bCs/>
                <w:color w:val="auto"/>
                <w:highlight w:val="none"/>
              </w:rPr>
            </w:pPr>
            <w:bookmarkStart w:id="280" w:name="_Hlk1220436"/>
            <w:r>
              <w:rPr>
                <w:rFonts w:hint="default" w:ascii="Times New Roman" w:hAnsi="Times New Roman" w:eastAsia="宋体" w:cs="Times New Roman"/>
                <w:bCs/>
                <w:color w:val="auto"/>
                <w:highlight w:val="none"/>
              </w:rPr>
              <w:t xml:space="preserve">  内容</w:t>
            </w:r>
          </w:p>
          <w:p>
            <w:pPr>
              <w:pStyle w:val="16"/>
              <w:snapToGrid w:val="0"/>
              <w:spacing w:line="240" w:lineRule="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类型</w:t>
            </w:r>
          </w:p>
        </w:tc>
        <w:tc>
          <w:tcPr>
            <w:tcW w:w="1261"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排放项目</w:t>
            </w:r>
          </w:p>
        </w:tc>
        <w:tc>
          <w:tcPr>
            <w:tcW w:w="1788"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污染物名称</w:t>
            </w:r>
          </w:p>
        </w:tc>
        <w:tc>
          <w:tcPr>
            <w:tcW w:w="2418"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处理前产生浓度</w:t>
            </w:r>
          </w:p>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及产生量</w:t>
            </w:r>
          </w:p>
        </w:tc>
        <w:tc>
          <w:tcPr>
            <w:tcW w:w="2731"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处理后排放浓度</w:t>
            </w:r>
          </w:p>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46"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废气</w:t>
            </w:r>
          </w:p>
        </w:tc>
        <w:tc>
          <w:tcPr>
            <w:tcW w:w="1261" w:type="dxa"/>
            <w:tcBorders>
              <w:top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卸油、加油、油气处置</w:t>
            </w:r>
          </w:p>
        </w:tc>
        <w:tc>
          <w:tcPr>
            <w:tcW w:w="1788" w:type="dxa"/>
            <w:tcBorders>
              <w:top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非甲烷总烃</w:t>
            </w:r>
          </w:p>
        </w:tc>
        <w:tc>
          <w:tcPr>
            <w:tcW w:w="2418" w:type="dxa"/>
            <w:tcBorders>
              <w:top w:val="single" w:color="auto" w:sz="2"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 xml:space="preserve">9.729 </w:t>
            </w:r>
            <w:r>
              <w:rPr>
                <w:rFonts w:hint="default" w:ascii="Times New Roman" w:hAnsi="Times New Roman" w:eastAsia="宋体" w:cs="Times New Roman"/>
                <w:color w:val="auto"/>
                <w:kern w:val="0"/>
                <w:sz w:val="24"/>
                <w:szCs w:val="24"/>
              </w:rPr>
              <w:t>t/a</w:t>
            </w:r>
          </w:p>
        </w:tc>
        <w:tc>
          <w:tcPr>
            <w:tcW w:w="2731" w:type="dxa"/>
            <w:tcBorders>
              <w:top w:val="single" w:color="auto" w:sz="2"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color w:val="auto"/>
                <w:kern w:val="0"/>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946"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废水</w:t>
            </w:r>
          </w:p>
        </w:tc>
        <w:tc>
          <w:tcPr>
            <w:tcW w:w="1261" w:type="dxa"/>
            <w:tcBorders>
              <w:top w:val="single" w:color="auto" w:sz="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工作人员生活污水</w:t>
            </w:r>
            <w:r>
              <w:rPr>
                <w:rFonts w:hint="eastAsia" w:ascii="Times New Roman" w:hAnsi="Times New Roman" w:eastAsia="宋体" w:cs="Times New Roman"/>
                <w:color w:val="auto"/>
                <w:sz w:val="24"/>
                <w:szCs w:val="24"/>
                <w:lang w:val="en-US" w:eastAsia="zh-CN"/>
              </w:rPr>
              <w:t>52.56</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tc>
        <w:tc>
          <w:tcPr>
            <w:tcW w:w="1788" w:type="dxa"/>
            <w:tcBorders>
              <w:top w:val="single" w:color="auto" w:sz="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2418" w:type="dxa"/>
            <w:tcBorders>
              <w:top w:val="single" w:color="auto" w:sz="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300mg/L，0.0</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t/a</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30mg/L，0.00</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t/a</w:t>
            </w:r>
          </w:p>
        </w:tc>
        <w:tc>
          <w:tcPr>
            <w:tcW w:w="2731" w:type="dxa"/>
            <w:tcBorders>
              <w:top w:val="single" w:color="auto" w:sz="2" w:space="0"/>
            </w:tcBorders>
            <w:vAlign w:val="center"/>
          </w:tcPr>
          <w:p>
            <w:pPr>
              <w:spacing w:line="240" w:lineRule="auto"/>
              <w:jc w:val="center"/>
              <w:rPr>
                <w:rFonts w:hint="default" w:ascii="Times New Roman" w:hAnsi="Times New Roman" w:eastAsia="宋体" w:cs="Times New Roman"/>
                <w:color w:val="auto"/>
                <w:spacing w:val="-14"/>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946" w:type="dxa"/>
            <w:vMerge w:val="restart"/>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固体</w:t>
            </w:r>
          </w:p>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废物</w:t>
            </w:r>
          </w:p>
        </w:tc>
        <w:tc>
          <w:tcPr>
            <w:tcW w:w="1261" w:type="dxa"/>
            <w:tcBorders>
              <w:top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工作人员</w:t>
            </w:r>
          </w:p>
        </w:tc>
        <w:tc>
          <w:tcPr>
            <w:tcW w:w="1788" w:type="dxa"/>
            <w:tcBorders>
              <w:top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w:t>
            </w:r>
          </w:p>
        </w:tc>
        <w:tc>
          <w:tcPr>
            <w:tcW w:w="2418" w:type="dxa"/>
            <w:tcBorders>
              <w:top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lang w:val="en-US" w:eastAsia="zh-CN"/>
              </w:rPr>
              <w:t>1.095</w:t>
            </w:r>
            <w:r>
              <w:rPr>
                <w:rFonts w:hint="default" w:ascii="Times New Roman" w:hAnsi="Times New Roman" w:eastAsia="宋体" w:cs="Times New Roman"/>
                <w:color w:val="auto"/>
                <w:lang w:val="en-US" w:eastAsia="zh-CN"/>
              </w:rPr>
              <w:t xml:space="preserve"> t/a</w:t>
            </w:r>
          </w:p>
        </w:tc>
        <w:tc>
          <w:tcPr>
            <w:tcW w:w="2731" w:type="dxa"/>
            <w:tcBorders>
              <w:top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集中收集后由市政部门统一处理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946" w:type="dxa"/>
            <w:vMerge w:val="continue"/>
            <w:vAlign w:val="center"/>
          </w:tcPr>
          <w:p>
            <w:pPr>
              <w:spacing w:line="240" w:lineRule="auto"/>
              <w:jc w:val="center"/>
              <w:rPr>
                <w:rFonts w:hint="default" w:ascii="Times New Roman" w:hAnsi="Times New Roman" w:eastAsia="宋体" w:cs="Times New Roman"/>
                <w:bCs/>
                <w:color w:val="auto"/>
                <w:highlight w:val="none"/>
              </w:rPr>
            </w:pPr>
          </w:p>
        </w:tc>
        <w:tc>
          <w:tcPr>
            <w:tcW w:w="1261" w:type="dxa"/>
            <w:vAlign w:val="center"/>
          </w:tcPr>
          <w:p>
            <w:pPr>
              <w:spacing w:line="240" w:lineRule="auto"/>
              <w:ind w:firstLine="14" w:firstLineChars="6"/>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油罐</w:t>
            </w:r>
          </w:p>
        </w:tc>
        <w:tc>
          <w:tcPr>
            <w:tcW w:w="1788" w:type="dxa"/>
            <w:tcBorders>
              <w:bottom w:val="single" w:color="auto" w:sz="2"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废油泥</w:t>
            </w:r>
          </w:p>
        </w:tc>
        <w:tc>
          <w:tcPr>
            <w:tcW w:w="2418" w:type="dxa"/>
            <w:tcBorders>
              <w:bottom w:val="single" w:color="auto" w:sz="2" w:space="0"/>
            </w:tcBorders>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0.25t/5a</w:t>
            </w:r>
          </w:p>
        </w:tc>
        <w:tc>
          <w:tcPr>
            <w:tcW w:w="2731" w:type="dxa"/>
            <w:tcBorders>
              <w:bottom w:val="single" w:color="auto" w:sz="2" w:space="0"/>
            </w:tcBorders>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按照危险废物的规定委托有资质的单位进行无害化处置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946" w:type="dxa"/>
            <w:vAlign w:val="center"/>
          </w:tcPr>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w:t>
            </w:r>
          </w:p>
          <w:p>
            <w:pPr>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声</w:t>
            </w:r>
          </w:p>
        </w:tc>
        <w:tc>
          <w:tcPr>
            <w:tcW w:w="8198" w:type="dxa"/>
            <w:gridSpan w:val="4"/>
            <w:vAlign w:val="center"/>
          </w:tcPr>
          <w:p>
            <w:pPr>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加油机、吸油泵：60～70分贝</w:t>
            </w:r>
          </w:p>
          <w:p>
            <w:pPr>
              <w:pStyle w:val="34"/>
              <w:spacing w:line="360" w:lineRule="auto"/>
              <w:ind w:firstLine="2400" w:firstLineChars="10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油气回收装置</w:t>
            </w:r>
            <w:r>
              <w:rPr>
                <w:rFonts w:hint="default" w:ascii="Times New Roman" w:hAnsi="Times New Roman" w:eastAsia="宋体" w:cs="Times New Roman"/>
                <w:bCs/>
                <w:color w:val="auto"/>
                <w:highlight w:val="none"/>
              </w:rPr>
              <w:t>：60～70分贝</w:t>
            </w:r>
          </w:p>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出入车辆噪声55～65分贝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4" w:hRule="atLeast"/>
        </w:trPr>
        <w:tc>
          <w:tcPr>
            <w:tcW w:w="9144" w:type="dxa"/>
            <w:gridSpan w:val="5"/>
          </w:tcPr>
          <w:p>
            <w:pP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主要生态影响</w:t>
            </w:r>
          </w:p>
          <w:p>
            <w:pPr>
              <w:pStyle w:val="48"/>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项目建成后，</w:t>
            </w:r>
            <w:r>
              <w:rPr>
                <w:rFonts w:hint="default" w:ascii="Times New Roman" w:hAnsi="Times New Roman" w:eastAsia="宋体" w:cs="Times New Roman"/>
                <w:color w:val="auto"/>
                <w:kern w:val="2"/>
                <w:highlight w:val="none"/>
              </w:rPr>
              <w:t>充分利用站区周围空地进行绿化，增加绿化面积，合理选择树种、花卉等品种，乔灌结合，选用常绿品种，起到美化、净化作用，降低厂区对周围环境的影响，对生态环境的改善有一定的意义。</w:t>
            </w:r>
          </w:p>
        </w:tc>
      </w:tr>
      <w:bookmarkEnd w:id="280"/>
    </w:tbl>
    <w:p>
      <w:pPr>
        <w:pStyle w:val="3"/>
        <w:spacing w:before="0" w:after="0" w:line="413" w:lineRule="auto"/>
        <w:rPr>
          <w:rFonts w:hint="default" w:ascii="Times New Roman" w:hAnsi="Times New Roman" w:eastAsia="宋体" w:cs="Times New Roman"/>
          <w:color w:val="FF0000"/>
          <w:highlight w:val="none"/>
        </w:rPr>
        <w:sectPr>
          <w:pgSz w:w="11906" w:h="16838"/>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bookmarkStart w:id="281" w:name="_Toc8934"/>
    </w:p>
    <w:p>
      <w:pPr>
        <w:pStyle w:val="3"/>
        <w:spacing w:before="0" w:after="0" w:line="413"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七、环境影</w:t>
      </w:r>
      <w:bookmarkStart w:id="282" w:name="_Toc251921959"/>
      <w:r>
        <w:rPr>
          <w:rFonts w:hint="default" w:ascii="Times New Roman" w:hAnsi="Times New Roman" w:eastAsia="宋体" w:cs="Times New Roman"/>
          <w:color w:val="auto"/>
          <w:highlight w:val="none"/>
        </w:rPr>
        <w:t>响分析和污染防治措施</w:t>
      </w:r>
      <w:bookmarkEnd w:id="281"/>
    </w:p>
    <w:tbl>
      <w:tblPr>
        <w:tblStyle w:val="27"/>
        <w:tblW w:w="9242"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24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9242" w:type="dxa"/>
          </w:tcPr>
          <w:p>
            <w:pPr>
              <w:spacing w:line="440" w:lineRule="atLeas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一、</w:t>
            </w:r>
            <w:bookmarkEnd w:id="282"/>
            <w:r>
              <w:rPr>
                <w:rFonts w:hint="default" w:ascii="Times New Roman" w:hAnsi="Times New Roman" w:eastAsia="宋体" w:cs="Times New Roman"/>
                <w:b/>
                <w:color w:val="auto"/>
                <w:highlight w:val="none"/>
              </w:rPr>
              <w:t>施工期污染防治措施和环境影响分析</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项目施工期间会给周围环境造成一定影响。因此，应加强施工期的污染防治措施，将污染物对环境及周围环境敏感目标的影响降低到最小程度。施工期污染以施工废水、施工大气、施工噪声和施工固体废物为主。</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1、施工期废水防治措施</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工程施工期间，施工单位应严格执行《建设工程施工场地文明施工及环境管理暂行规定》，对地面污水的排放进行组织设计，严禁乱</w:t>
            </w:r>
            <w:r>
              <w:rPr>
                <w:rFonts w:hint="default" w:ascii="Times New Roman" w:hAnsi="Times New Roman" w:eastAsia="宋体" w:cs="Times New Roman"/>
                <w:color w:val="auto"/>
                <w:kern w:val="2"/>
                <w:sz w:val="24"/>
                <w:szCs w:val="24"/>
                <w:lang w:val="en-US" w:eastAsia="zh-CN" w:bidi="ar-SA"/>
              </w:rPr>
              <w:t>排和污染道路、环境等，严禁将施工污水散排。施工过程中产生的施工废水应进行收集、沉淀处理后用于场内洒水压尘。</w:t>
            </w: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bCs/>
                <w:color w:val="auto"/>
                <w:sz w:val="24"/>
                <w:szCs w:val="24"/>
                <w:highlight w:val="none"/>
              </w:rPr>
              <w:t>在认真落实上述措施的基础上，施工废水对施工现场周围的环境影响</w:t>
            </w:r>
            <w:r>
              <w:rPr>
                <w:rFonts w:hint="default" w:ascii="Times New Roman" w:hAnsi="Times New Roman" w:eastAsia="宋体" w:cs="Times New Roman"/>
                <w:bCs/>
                <w:color w:val="auto"/>
                <w:highlight w:val="none"/>
              </w:rPr>
              <w:t>较小，伴随施工期的结束也将结束。</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2、施工期大气污染防治措施</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为使施工过程中产生的粉尘和废气对周围环境空气的影响降低到最小程度，建议采取以下防护措施：</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在施工作业现场设置围挡。容易产生粉尘的施工过程应洒水作业，使作业面保持一定的湿度；对施工场地内松散、干涸的表土也应经常洒水防止粉尘、扬尘；回填土方时，在表层土质干燥时应适当洒水，防止粉尘飞扬；</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②加强回填土方堆放场的管理，要制定土方表面压实、定期喷水、覆盖等措施；不需要的泥土，建筑材料弃渣应及时运走，不宜长时间堆积；</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③应使用预拌混凝土。运输车辆装载不宜过满，保证运输过程中不散落；并规划好运输车辆的运行路线与时间，尽量避免在繁华区、交通集中区和居民区等敏感区行驶；</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④运输车辆加蓬盖，且出装、卸场地前应先冲洗干净，减少车轮、底盘等携带泥土散落路面；</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⑤对运输过程中散落在路面上的泥土要及时清扫，以减少运行过程中的扬尘；</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⑥施工过程中，应严禁将废弃的建筑材料作为燃料燃烧；</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⑦施工结束时，应及时对施工占用场地恢复地面道路及植被。</w:t>
            </w:r>
          </w:p>
          <w:p>
            <w:pPr>
              <w:pStyle w:val="6"/>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kern w:val="2"/>
                <w:sz w:val="24"/>
                <w:szCs w:val="24"/>
                <w:highlight w:val="none"/>
                <w:lang w:val="en-US" w:eastAsia="zh-CN" w:bidi="ar-SA"/>
              </w:rPr>
              <w:fldChar w:fldCharType="begin"/>
            </w:r>
            <w:r>
              <w:rPr>
                <w:rFonts w:hint="default" w:ascii="Times New Roman" w:hAnsi="Times New Roman" w:eastAsia="宋体" w:cs="Times New Roman"/>
                <w:bCs/>
                <w:color w:val="auto"/>
                <w:kern w:val="2"/>
                <w:sz w:val="24"/>
                <w:szCs w:val="24"/>
                <w:highlight w:val="none"/>
                <w:lang w:val="en-US" w:eastAsia="zh-CN" w:bidi="ar-SA"/>
              </w:rPr>
              <w:instrText xml:space="preserve"> = 8 \* GB3 \* MERGEFORMAT </w:instrText>
            </w:r>
            <w:r>
              <w:rPr>
                <w:rFonts w:hint="default" w:ascii="Times New Roman" w:hAnsi="Times New Roman" w:eastAsia="宋体" w:cs="Times New Roman"/>
                <w:bCs/>
                <w:color w:val="auto"/>
                <w:kern w:val="2"/>
                <w:sz w:val="24"/>
                <w:szCs w:val="24"/>
                <w:highlight w:val="none"/>
                <w:lang w:val="en-US" w:eastAsia="zh-CN" w:bidi="ar-SA"/>
              </w:rPr>
              <w:fldChar w:fldCharType="separate"/>
            </w:r>
            <w:r>
              <w:rPr>
                <w:rFonts w:hint="default" w:ascii="Times New Roman" w:hAnsi="Times New Roman" w:eastAsia="宋体" w:cs="Times New Roman"/>
                <w:bCs/>
                <w:color w:val="auto"/>
                <w:kern w:val="2"/>
                <w:sz w:val="24"/>
                <w:szCs w:val="24"/>
                <w:highlight w:val="none"/>
                <w:lang w:val="en-US" w:eastAsia="zh-CN" w:bidi="ar-SA"/>
              </w:rPr>
              <w:t>⑧</w:t>
            </w:r>
            <w:r>
              <w:rPr>
                <w:rFonts w:hint="default" w:ascii="Times New Roman" w:hAnsi="Times New Roman" w:eastAsia="宋体" w:cs="Times New Roman"/>
                <w:bCs/>
                <w:color w:val="auto"/>
                <w:kern w:val="2"/>
                <w:sz w:val="24"/>
                <w:szCs w:val="24"/>
                <w:highlight w:val="none"/>
                <w:lang w:val="en-US" w:eastAsia="zh-CN" w:bidi="ar-SA"/>
              </w:rPr>
              <w:fldChar w:fldCharType="end"/>
            </w:r>
            <w:r>
              <w:rPr>
                <w:rFonts w:hint="default" w:ascii="Times New Roman" w:hAnsi="Times New Roman" w:eastAsia="宋体" w:cs="Times New Roman"/>
                <w:bCs/>
                <w:color w:val="auto"/>
                <w:kern w:val="2"/>
                <w:sz w:val="24"/>
                <w:szCs w:val="24"/>
                <w:highlight w:val="none"/>
                <w:lang w:val="en-US" w:eastAsia="zh-CN" w:bidi="ar-SA"/>
              </w:rPr>
              <w:t>施工过程中的挥发油气产生量小，施工期短暂，随着施工期结束而结束，对环境影响不大。</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经上述治理后，施工期颗粒物排放浓度满足《大气污染物综合排放标准》（GB16297-1996）表2中颗粒物无组织排放监控浓度限值要求，对周围环境空气及敏感点的影响较小。</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3、施工期噪声防治措施</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施工噪声的防治主要是通过合理安排施工时间、距离防护、使用低噪声机械设备等措施来实施的。</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（1）合理安排施工时间，可避免施工噪声扰民。</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选用低噪声机械、设备是从声源上对噪声进行控制，淘汰高噪声施工机械，推广使用低噪声的施工机械，产生噪声的施工设备加强维护和维修工作，对控制施工噪声的影响很有效，如液压机械较燃油机械平稳，噪声低10dB（A）以上。夜间22时至次日6时禁止施工。</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经上述治理后，施工期产生的噪声满足《建筑施工场界环境噪声排放标准》（GB12523-2011）中要求。</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4、施工期固体废物防治措施</w:t>
            </w:r>
          </w:p>
          <w:p>
            <w:pPr>
              <w:spacing w:line="440" w:lineRule="atLeast"/>
              <w:ind w:firstLine="538"/>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为减轻施工人员生活垃圾、建筑垃圾对环境的影响，建议采取如下措施：</w:t>
            </w:r>
          </w:p>
          <w:p>
            <w:pPr>
              <w:spacing w:line="360" w:lineRule="auto"/>
              <w:ind w:firstLine="538"/>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（1）施工人员生活垃圾收集后，送至生活垃圾指定地点，由环卫部门统一收集处理。</w:t>
            </w:r>
          </w:p>
          <w:p>
            <w:pPr>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（2）施工单位必须向有关的部门提出申请，按规定办理好弃渣土排放的手续，获得批准后方可在指定的受纳地点弃土。</w:t>
            </w:r>
          </w:p>
          <w:p>
            <w:pPr>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经上述治理后，施工期产生的固体废物对周围环境的影响较小。</w:t>
            </w:r>
          </w:p>
          <w:p>
            <w:pPr>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小结：</w:t>
            </w:r>
          </w:p>
          <w:p>
            <w:pPr>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在施工期间只要做到文明安全施工，划定施工区，合理安排施工进度，严格执行《建设工程施工场地文明施工及环境管理暂行规定》；合理安排高噪声设备远离敏感目标作业；施工现场采取有效的防尘、抑尘措施，减轻粉尘影响；按规定做好弃渣土、建筑垃圾及生活垃圾的排放，建设期污染物对环境的影响较小，施工期间带来的各项环境影响也将伴随着施工期的结束而消失，本项目施工过程对环境造成的影响较轻微。</w:t>
            </w:r>
          </w:p>
          <w:p>
            <w:pPr>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二、运营期污染防治措施和环境影响分析</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1、运营期大气污染防治措施和影响分析</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本项目主要大气污染物是油罐大小呼吸及加油机作业等排放的非甲烷总烃。</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根据《加油站大气污染物排放标准》（GB20952-2007），为了减少加油站非甲烷总烃对周围环境的影响，加油站需配置油气回收系统及油气处理装置，对卸油油气、加油过程、油气排放过程采取控制措施：</w:t>
            </w:r>
          </w:p>
          <w:p>
            <w:pPr>
              <w:spacing w:line="440" w:lineRule="atLeast"/>
              <w:ind w:firstLine="48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卸油油气排放控制：</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①采用浸没式卸油方式，卸油管出油口距离罐底高度小于200mm；</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②设置卸油油气回收口，增加卸油油气回收接口安装DN100mm截流阀、密封式快速接头、球阀和帽盖；</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③连接软管采用DN100mm密封式快接接头与卸油车连接，卸油后连接软管不能残留残油；</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④连接排气管的地下管线坡向油罐，坡度不小于1%，管线直径不小于DN50mm。</w:t>
            </w:r>
          </w:p>
          <w:p>
            <w:pPr>
              <w:spacing w:line="440" w:lineRule="atLeast"/>
              <w:ind w:firstLine="48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储油油气排放控制：</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①所有影响油气密闭性的部件，包括油气管线、所连接的法兰、阀门、快速接头以及其他相关部件都应保证小于750pa时不漏气。</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②埋地油罐采用具有渗漏监测功能的电子式液位计进行汽油密闭测量；</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③进气管坡向油气回收泵，坡度不小于1%；</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④采用符合相关规定的溢流控制措施。</w:t>
            </w:r>
          </w:p>
          <w:p>
            <w:pPr>
              <w:spacing w:line="440" w:lineRule="atLeast"/>
              <w:ind w:firstLine="48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加油油气排放控制：</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①加油产生的油气应采用真空辅助方式密闭收集；</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②油气回收管线坡向油罐，坡度不小于1%，二次油气回收回收管坡向汽油罐，坡度不小于1%；</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③在油气管线覆土、地面硬化施工之前，应向管线内注入10L汽油监测液阻；</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④加油软管配备拉断截止阀，加油时防止溢油或滴油；</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⑤油罐的呼吸管排放口安装压力/真空阀（呼吸阀），压力真空阀排放口距地平面的高度为5m；</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⑥严格按规程操作和管理油气回收设施，定期检查，维护并记录备查；</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⑦当汽车油箱油面达到自动停止加油高度时，不应再向油箱内加油。</w:t>
            </w:r>
          </w:p>
          <w:p>
            <w:pPr>
              <w:spacing w:line="440" w:lineRule="atLeas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（3）油气回收系统可行性分析</w:t>
            </w:r>
          </w:p>
          <w:p>
            <w:pPr>
              <w:keepNext/>
              <w:keepLines/>
              <w:spacing w:line="440" w:lineRule="atLeast"/>
              <w:ind w:firstLine="480" w:firstLineChars="200"/>
              <w:outlineLvl w:val="1"/>
              <w:rPr>
                <w:rFonts w:hint="default" w:ascii="Times New Roman" w:hAnsi="Times New Roman" w:eastAsia="宋体" w:cs="Times New Roman"/>
                <w:color w:val="auto"/>
                <w:highlight w:val="none"/>
              </w:rPr>
            </w:pPr>
            <w:bookmarkStart w:id="283" w:name="_Toc1209627"/>
            <w:bookmarkStart w:id="284" w:name="_Toc12344"/>
            <w:r>
              <w:rPr>
                <w:rFonts w:hint="default" w:ascii="Times New Roman" w:hAnsi="Times New Roman" w:eastAsia="宋体" w:cs="Times New Roman"/>
                <w:bCs/>
                <w:color w:val="auto"/>
                <w:highlight w:val="none"/>
              </w:rPr>
              <w:t>本项目建立油气回收系统装置</w:t>
            </w:r>
            <w:r>
              <w:rPr>
                <w:rFonts w:hint="default" w:ascii="Times New Roman" w:hAnsi="Times New Roman" w:eastAsia="宋体" w:cs="Times New Roman"/>
                <w:color w:val="auto"/>
                <w:highlight w:val="none"/>
              </w:rPr>
              <w:t>，回收率可达90%。项目</w:t>
            </w:r>
            <w:r>
              <w:rPr>
                <w:rFonts w:hint="default" w:ascii="Times New Roman" w:hAnsi="Times New Roman" w:eastAsia="宋体" w:cs="Times New Roman"/>
                <w:bCs/>
                <w:color w:val="auto"/>
                <w:highlight w:val="none"/>
              </w:rPr>
              <w:t>安装油气排放处理装置，该装置是对油罐小呼吸排放油气的收集、处理。油气经处理后通过5m高排气筒排放。</w:t>
            </w:r>
            <w:r>
              <w:rPr>
                <w:rFonts w:hint="default" w:ascii="Times New Roman" w:hAnsi="Times New Roman" w:eastAsia="宋体" w:cs="Times New Roman"/>
                <w:color w:val="auto"/>
                <w:highlight w:val="none"/>
              </w:rPr>
              <w:t>排入大气的</w:t>
            </w:r>
            <w:r>
              <w:rPr>
                <w:rFonts w:hint="default" w:ascii="Times New Roman" w:hAnsi="Times New Roman" w:eastAsia="宋体" w:cs="Times New Roman"/>
                <w:bCs/>
                <w:color w:val="auto"/>
                <w:highlight w:val="none"/>
              </w:rPr>
              <w:t>非甲烷总烃</w:t>
            </w:r>
            <w:r>
              <w:rPr>
                <w:rFonts w:hint="default" w:ascii="Times New Roman" w:hAnsi="Times New Roman" w:eastAsia="宋体" w:cs="Times New Roman"/>
                <w:color w:val="auto"/>
                <w:highlight w:val="none"/>
              </w:rPr>
              <w:t>合计为</w:t>
            </w: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bCs/>
                <w:color w:val="auto"/>
                <w:highlight w:val="none"/>
              </w:rPr>
              <w:t>t/</w:t>
            </w:r>
            <w:r>
              <w:rPr>
                <w:rFonts w:hint="default" w:ascii="Times New Roman" w:hAnsi="Times New Roman" w:eastAsia="宋体" w:cs="Times New Roman"/>
                <w:color w:val="auto"/>
                <w:highlight w:val="none"/>
              </w:rPr>
              <w:t>a。</w:t>
            </w:r>
            <w:bookmarkEnd w:id="283"/>
            <w:bookmarkEnd w:id="284"/>
          </w:p>
          <w:p>
            <w:pPr>
              <w:spacing w:line="44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（4）非甲烷总烃废气的影响分析</w:t>
            </w:r>
          </w:p>
          <w:p>
            <w:pPr>
              <w:spacing w:line="360" w:lineRule="auto"/>
              <w:ind w:firstLine="480" w:firstLineChars="200"/>
              <w:rPr>
                <w:rFonts w:hint="default" w:ascii="Times New Roman" w:hAnsi="Times New Roman" w:eastAsia="宋体" w:cs="Times New Roman"/>
                <w:color w:val="FF0000"/>
                <w:highlight w:val="none"/>
              </w:rPr>
            </w:pPr>
            <w:r>
              <w:rPr>
                <w:rFonts w:hint="default" w:ascii="Times New Roman" w:hAnsi="Times New Roman" w:eastAsia="宋体" w:cs="Times New Roman"/>
                <w:color w:val="auto"/>
                <w:highlight w:val="none"/>
              </w:rPr>
              <w:t>本项目的非甲烷总烃的排放属于无组织排放，不涉及有组织废气排放，因此只进行非甲烷总烃废气的无组织排放分析。本项目非甲烷总烃排放量为</w:t>
            </w: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color w:val="auto"/>
                <w:highlight w:val="none"/>
              </w:rPr>
              <w:t>t/a，应用AERSCREEN估算模型进行预测，厂界外最</w:t>
            </w:r>
            <w:r>
              <w:rPr>
                <w:rFonts w:hint="default" w:ascii="Times New Roman" w:hAnsi="Times New Roman" w:eastAsia="宋体" w:cs="Times New Roman"/>
                <w:color w:val="auto"/>
                <w:sz w:val="24"/>
                <w:szCs w:val="24"/>
                <w:highlight w:val="none"/>
              </w:rPr>
              <w:t>大浓度为</w:t>
            </w:r>
            <w:r>
              <w:rPr>
                <w:rFonts w:hint="default" w:ascii="Times New Roman" w:hAnsi="Times New Roman" w:eastAsia="宋体" w:cs="Times New Roman"/>
                <w:color w:val="auto"/>
                <w:sz w:val="24"/>
                <w:szCs w:val="24"/>
                <w:highlight w:val="none"/>
                <w:lang w:val="en-US" w:eastAsia="zh-CN"/>
              </w:rPr>
              <w:t>0.18422</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sz w:val="24"/>
                <w:szCs w:val="24"/>
                <w:highlight w:val="none"/>
              </w:rPr>
              <w:t>，加油站站界浓度能满足《大气污染物综合排放标准》（GB16297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1996）表2中的非甲烷总烃的无组织排放周界外浓度最高点4.0mg/m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Cs w:val="24"/>
              </w:rPr>
              <w:t>无组织非甲烷总烃厂房外监控点处1h平均浓度值和厂房外监控点处任意一次浓度值同时满足《挥发性有机物无组织排放控制标准》（GB37822-2019)表A.1厂区内VOC</w:t>
            </w:r>
            <w:r>
              <w:rPr>
                <w:rFonts w:hint="default" w:ascii="Times New Roman" w:hAnsi="Times New Roman" w:eastAsia="宋体" w:cs="Times New Roman"/>
                <w:color w:val="auto"/>
                <w:szCs w:val="24"/>
                <w:vertAlign w:val="subscript"/>
              </w:rPr>
              <w:t>S</w:t>
            </w:r>
            <w:r>
              <w:rPr>
                <w:rFonts w:hint="default" w:ascii="Times New Roman" w:hAnsi="Times New Roman" w:eastAsia="宋体" w:cs="Times New Roman"/>
                <w:color w:val="auto"/>
                <w:szCs w:val="24"/>
              </w:rPr>
              <w:t>无组织排放限值要求</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 w:val="24"/>
                <w:szCs w:val="24"/>
                <w:highlight w:val="none"/>
              </w:rPr>
              <w:t>对周围环境影响较小</w:t>
            </w:r>
            <w:r>
              <w:rPr>
                <w:rFonts w:hint="default" w:ascii="Times New Roman" w:hAnsi="Times New Roman" w:eastAsia="宋体" w:cs="Times New Roman"/>
                <w:color w:val="auto"/>
                <w:highlight w:val="none"/>
              </w:rPr>
              <w:t>。</w:t>
            </w:r>
          </w:p>
          <w:p>
            <w:pPr>
              <w:pStyle w:val="38"/>
              <w:widowControl/>
              <w:spacing w:line="520" w:lineRule="exact"/>
              <w:jc w:val="left"/>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AERSCREEN预测结果</w:t>
            </w:r>
          </w:p>
          <w:p>
            <w:pPr>
              <w:spacing w:line="480" w:lineRule="exact"/>
              <w:ind w:firstLine="422" w:firstLineChars="176"/>
              <w:jc w:val="left"/>
              <w:rPr>
                <w:rFonts w:hint="default" w:ascii="Times New Roman" w:hAnsi="Times New Roman" w:eastAsia="宋体" w:cs="Times New Roman"/>
                <w:bCs/>
                <w:color w:val="auto"/>
                <w:kern w:val="0"/>
                <w:highlight w:val="none"/>
              </w:rPr>
            </w:pPr>
            <w:r>
              <w:rPr>
                <w:rFonts w:hint="default" w:ascii="Times New Roman" w:hAnsi="Times New Roman" w:eastAsia="宋体" w:cs="Times New Roman"/>
                <w:bCs/>
                <w:color w:val="auto"/>
                <w:kern w:val="0"/>
                <w:highlight w:val="none"/>
              </w:rPr>
              <w:t>（一）大气环境影响评价工作等级的确定</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的非甲烷总烃的排放属于无组织排放，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(1)P</w:t>
            </w:r>
            <w:r>
              <w:rPr>
                <w:rFonts w:hint="default" w:ascii="Times New Roman" w:hAnsi="Times New Roman" w:eastAsia="宋体" w:cs="Times New Roman"/>
                <w:color w:val="auto"/>
                <w:kern w:val="0"/>
                <w:highlight w:val="none"/>
                <w:vertAlign w:val="subscript"/>
              </w:rPr>
              <w:t>max</w:t>
            </w:r>
            <w:r>
              <w:rPr>
                <w:rFonts w:hint="default" w:ascii="Times New Roman" w:hAnsi="Times New Roman" w:eastAsia="宋体" w:cs="Times New Roman"/>
                <w:color w:val="auto"/>
                <w:kern w:val="0"/>
                <w:highlight w:val="none"/>
              </w:rPr>
              <w:t>及D</w:t>
            </w:r>
            <w:r>
              <w:rPr>
                <w:rFonts w:hint="default" w:ascii="Times New Roman" w:hAnsi="Times New Roman" w:eastAsia="宋体" w:cs="Times New Roman"/>
                <w:color w:val="auto"/>
                <w:kern w:val="0"/>
                <w:highlight w:val="none"/>
                <w:vertAlign w:val="subscript"/>
              </w:rPr>
              <w:t>10%</w:t>
            </w:r>
            <w:r>
              <w:rPr>
                <w:rFonts w:hint="default" w:ascii="Times New Roman" w:hAnsi="Times New Roman" w:eastAsia="宋体" w:cs="Times New Roman"/>
                <w:color w:val="auto"/>
                <w:kern w:val="0"/>
                <w:highlight w:val="none"/>
              </w:rPr>
              <w:t>的确定</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依据《环境影响评价技术导则 大气环境》(HJ2.2-2018)中最大地面浓度占标率P</w:t>
            </w:r>
            <w:r>
              <w:rPr>
                <w:rFonts w:hint="default" w:ascii="Times New Roman" w:hAnsi="Times New Roman" w:eastAsia="宋体" w:cs="Times New Roman"/>
                <w:i/>
                <w:color w:val="auto"/>
                <w:kern w:val="0"/>
                <w:highlight w:val="none"/>
              </w:rPr>
              <w:t>i</w:t>
            </w:r>
            <w:r>
              <w:rPr>
                <w:rFonts w:hint="default" w:ascii="Times New Roman" w:hAnsi="Times New Roman" w:eastAsia="宋体" w:cs="Times New Roman"/>
                <w:color w:val="auto"/>
                <w:kern w:val="0"/>
                <w:highlight w:val="none"/>
              </w:rPr>
              <w:t>定义如下：</w:t>
            </w:r>
          </w:p>
          <w:p>
            <w:pPr>
              <w:spacing w:line="276" w:lineRule="auto"/>
              <w:ind w:firstLine="422" w:firstLineChars="176"/>
              <w:jc w:val="center"/>
              <w:rPr>
                <w:rFonts w:hint="default" w:ascii="Times New Roman" w:hAnsi="Times New Roman" w:eastAsia="宋体" w:cs="Times New Roman"/>
                <w:color w:val="auto"/>
                <w:kern w:val="0"/>
                <w:highlight w:val="none"/>
              </w:rPr>
            </w:pPr>
            <m:oMathPara>
              <m:oMath>
                <m:sSub>
                  <m:sSubPr>
                    <m:ctrlPr>
                      <w:rPr>
                        <w:rFonts w:hint="default" w:ascii="Cambria Math" w:hAnsi="Cambria Math" w:eastAsia="宋体" w:cs="Times New Roman"/>
                        <w:color w:val="auto"/>
                        <w:highlight w:val="none"/>
                      </w:rPr>
                    </m:ctrlPr>
                  </m:sSubPr>
                  <m:e>
                    <m:r>
                      <w:rPr>
                        <w:rFonts w:hint="default" w:ascii="Cambria Math" w:hAnsi="Cambria Math" w:eastAsia="宋体" w:cs="Times New Roman"/>
                        <w:color w:val="auto"/>
                        <w:highlight w:val="none"/>
                      </w:rPr>
                      <m:t>P</m:t>
                    </m:r>
                    <m:ctrlPr>
                      <w:rPr>
                        <w:rFonts w:hint="default" w:ascii="Cambria Math" w:hAnsi="Cambria Math" w:eastAsia="宋体" w:cs="Times New Roman"/>
                        <w:color w:val="auto"/>
                        <w:highlight w:val="none"/>
                      </w:rPr>
                    </m:ctrlPr>
                  </m:e>
                  <m:sub>
                    <m:r>
                      <w:rPr>
                        <w:rFonts w:hint="default" w:ascii="Cambria Math" w:hAnsi="Cambria Math" w:eastAsia="宋体" w:cs="Times New Roman"/>
                        <w:color w:val="auto"/>
                        <w:highlight w:val="none"/>
                      </w:rPr>
                      <m:t>i</m:t>
                    </m:r>
                    <m:ctrlPr>
                      <w:rPr>
                        <w:rFonts w:hint="default" w:ascii="Cambria Math" w:hAnsi="Cambria Math" w:eastAsia="宋体" w:cs="Times New Roman"/>
                        <w:color w:val="auto"/>
                        <w:highlight w:val="none"/>
                      </w:rPr>
                    </m:ctrlPr>
                  </m:sub>
                </m:sSub>
                <m:r>
                  <m:rPr>
                    <m:sty m:val="p"/>
                  </m:rPr>
                  <w:rPr>
                    <w:rFonts w:hint="default" w:ascii="Cambria Math" w:hAnsi="Cambria Math" w:eastAsia="宋体" w:cs="Times New Roman"/>
                    <w:color w:val="auto"/>
                    <w:highlight w:val="none"/>
                  </w:rPr>
                  <m:t>=</m:t>
                </m:r>
                <m:f>
                  <m:fPr>
                    <m:ctrlPr>
                      <w:rPr>
                        <w:rFonts w:hint="default" w:ascii="Cambria Math" w:hAnsi="Cambria Math" w:eastAsia="宋体" w:cs="Times New Roman"/>
                        <w:color w:val="auto"/>
                        <w:highlight w:val="none"/>
                      </w:rPr>
                    </m:ctrlPr>
                  </m:fPr>
                  <m:num>
                    <m:sSub>
                      <m:sSubPr>
                        <m:ctrlPr>
                          <w:rPr>
                            <w:rFonts w:hint="default" w:ascii="Cambria Math" w:hAnsi="Cambria Math" w:eastAsia="宋体" w:cs="Times New Roman"/>
                            <w:i/>
                            <w:color w:val="auto"/>
                            <w:highlight w:val="none"/>
                          </w:rPr>
                        </m:ctrlPr>
                      </m:sSubPr>
                      <m:e>
                        <m:r>
                          <w:rPr>
                            <w:rFonts w:hint="default" w:ascii="Cambria Math" w:hAnsi="Cambria Math" w:eastAsia="宋体" w:cs="Times New Roman"/>
                            <w:color w:val="auto"/>
                            <w:highlight w:val="none"/>
                          </w:rPr>
                          <m:t>C</m:t>
                        </m:r>
                        <m:ctrlPr>
                          <w:rPr>
                            <w:rFonts w:hint="default" w:ascii="Cambria Math" w:hAnsi="Cambria Math" w:eastAsia="宋体" w:cs="Times New Roman"/>
                            <w:i/>
                            <w:color w:val="auto"/>
                            <w:highlight w:val="none"/>
                          </w:rPr>
                        </m:ctrlPr>
                      </m:e>
                      <m:sub>
                        <m:r>
                          <w:rPr>
                            <w:rFonts w:hint="default" w:ascii="Cambria Math" w:hAnsi="Cambria Math" w:eastAsia="宋体" w:cs="Times New Roman"/>
                            <w:color w:val="auto"/>
                            <w:highlight w:val="none"/>
                          </w:rPr>
                          <m:t>i</m:t>
                        </m:r>
                        <m:ctrlPr>
                          <w:rPr>
                            <w:rFonts w:hint="default" w:ascii="Cambria Math" w:hAnsi="Cambria Math" w:eastAsia="宋体" w:cs="Times New Roman"/>
                            <w:i/>
                            <w:color w:val="auto"/>
                            <w:highlight w:val="none"/>
                          </w:rPr>
                        </m:ctrlPr>
                      </m:sub>
                    </m:sSub>
                    <m:ctrlPr>
                      <w:rPr>
                        <w:rFonts w:hint="default" w:ascii="Cambria Math" w:hAnsi="Cambria Math" w:eastAsia="宋体" w:cs="Times New Roman"/>
                        <w:color w:val="auto"/>
                        <w:highlight w:val="none"/>
                      </w:rPr>
                    </m:ctrlPr>
                  </m:num>
                  <m:den>
                    <m:sSub>
                      <m:sSubPr>
                        <m:ctrlPr>
                          <w:rPr>
                            <w:rFonts w:hint="default" w:ascii="Cambria Math" w:hAnsi="Cambria Math" w:eastAsia="宋体" w:cs="Times New Roman"/>
                            <w:i/>
                            <w:color w:val="auto"/>
                            <w:highlight w:val="none"/>
                          </w:rPr>
                        </m:ctrlPr>
                      </m:sSubPr>
                      <m:e>
                        <m:r>
                          <w:rPr>
                            <w:rFonts w:hint="default" w:ascii="Cambria Math" w:hAnsi="Cambria Math" w:eastAsia="宋体" w:cs="Times New Roman"/>
                            <w:color w:val="auto"/>
                            <w:highlight w:val="none"/>
                          </w:rPr>
                          <m:t>C</m:t>
                        </m:r>
                        <m:ctrlPr>
                          <w:rPr>
                            <w:rFonts w:hint="default" w:ascii="Cambria Math" w:hAnsi="Cambria Math" w:eastAsia="宋体" w:cs="Times New Roman"/>
                            <w:i/>
                            <w:color w:val="auto"/>
                            <w:highlight w:val="none"/>
                          </w:rPr>
                        </m:ctrlPr>
                      </m:e>
                      <m:sub>
                        <m:r>
                          <w:rPr>
                            <w:rFonts w:hint="default" w:ascii="Cambria Math" w:hAnsi="Cambria Math" w:eastAsia="宋体" w:cs="Times New Roman"/>
                            <w:color w:val="auto"/>
                            <w:highlight w:val="none"/>
                          </w:rPr>
                          <m:t>0i</m:t>
                        </m:r>
                        <m:ctrlPr>
                          <w:rPr>
                            <w:rFonts w:hint="default" w:ascii="Cambria Math" w:hAnsi="Cambria Math" w:eastAsia="宋体" w:cs="Times New Roman"/>
                            <w:i/>
                            <w:color w:val="auto"/>
                            <w:highlight w:val="none"/>
                          </w:rPr>
                        </m:ctrlPr>
                      </m:sub>
                    </m:sSub>
                    <m:ctrlPr>
                      <w:rPr>
                        <w:rFonts w:hint="default" w:ascii="Cambria Math" w:hAnsi="Cambria Math" w:eastAsia="宋体" w:cs="Times New Roman"/>
                        <w:color w:val="auto"/>
                        <w:highlight w:val="none"/>
                      </w:rPr>
                    </m:ctrlPr>
                  </m:den>
                </m:f>
                <m:r>
                  <w:rPr>
                    <w:rFonts w:hint="default" w:ascii="Cambria Math" w:hAnsi="Cambria Math" w:eastAsia="宋体" w:cs="Times New Roman"/>
                    <w:color w:val="auto"/>
                    <w:highlight w:val="none"/>
                  </w:rPr>
                  <m:t>×100%</m:t>
                </m:r>
              </m:oMath>
            </m:oMathPara>
          </w:p>
          <w:p>
            <w:pPr>
              <w:spacing w:line="480" w:lineRule="exact"/>
              <w:ind w:firstLine="422" w:firstLineChars="176"/>
              <w:jc w:val="left"/>
              <w:rPr>
                <w:rFonts w:hint="default" w:ascii="Times New Roman" w:hAnsi="Times New Roman" w:eastAsia="宋体" w:cs="Times New Roman"/>
                <w:color w:val="auto"/>
                <w:kern w:val="0"/>
                <w:highlight w:val="none"/>
              </w:rPr>
            </w:pPr>
            <m:oMath>
              <m:sSub>
                <m:sSubPr>
                  <m:ctrlPr>
                    <w:rPr>
                      <w:rFonts w:hint="default" w:ascii="Cambria Math" w:hAnsi="Cambria Math" w:eastAsia="宋体" w:cs="Times New Roman"/>
                      <w:color w:val="auto"/>
                      <w:highlight w:val="none"/>
                    </w:rPr>
                  </m:ctrlPr>
                </m:sSubPr>
                <m:e>
                  <m:r>
                    <w:rPr>
                      <w:rFonts w:hint="default" w:ascii="Cambria Math" w:hAnsi="Cambria Math" w:eastAsia="宋体" w:cs="Times New Roman"/>
                      <w:color w:val="auto"/>
                      <w:highlight w:val="none"/>
                    </w:rPr>
                    <m:t>P</m:t>
                  </m:r>
                  <m:ctrlPr>
                    <w:rPr>
                      <w:rFonts w:hint="default" w:ascii="Cambria Math" w:hAnsi="Cambria Math" w:eastAsia="宋体" w:cs="Times New Roman"/>
                      <w:color w:val="auto"/>
                      <w:highlight w:val="none"/>
                    </w:rPr>
                  </m:ctrlPr>
                </m:e>
                <m:sub>
                  <m:r>
                    <w:rPr>
                      <w:rFonts w:hint="default" w:ascii="Cambria Math" w:hAnsi="Cambria Math" w:eastAsia="宋体" w:cs="Times New Roman"/>
                      <w:color w:val="auto"/>
                      <w:highlight w:val="none"/>
                    </w:rPr>
                    <m:t>i</m:t>
                  </m:r>
                  <m:ctrlPr>
                    <w:rPr>
                      <w:rFonts w:hint="default" w:ascii="Cambria Math" w:hAnsi="Cambria Math" w:eastAsia="宋体" w:cs="Times New Roman"/>
                      <w:color w:val="auto"/>
                      <w:highlight w:val="none"/>
                    </w:rPr>
                  </m:ctrlPr>
                </m:sub>
              </m:sSub>
            </m:oMath>
            <w:r>
              <w:rPr>
                <w:rFonts w:hint="default" w:ascii="Times New Roman" w:hAnsi="Times New Roman" w:eastAsia="宋体" w:cs="Times New Roman"/>
                <w:color w:val="auto"/>
                <w:kern w:val="0"/>
                <w:highlight w:val="none"/>
              </w:rPr>
              <w:t xml:space="preserve"> ——第i个污染物的最大地面空气质量浓度 占标率，%；</w:t>
            </w:r>
          </w:p>
          <w:p>
            <w:pPr>
              <w:spacing w:line="480" w:lineRule="exact"/>
              <w:ind w:firstLine="422" w:firstLineChars="176"/>
              <w:jc w:val="left"/>
              <w:rPr>
                <w:rFonts w:hint="default" w:ascii="Times New Roman" w:hAnsi="Times New Roman" w:eastAsia="宋体" w:cs="Times New Roman"/>
                <w:color w:val="auto"/>
                <w:kern w:val="0"/>
                <w:highlight w:val="none"/>
              </w:rPr>
            </w:pPr>
            <m:oMath>
              <m:sSub>
                <m:sSubPr>
                  <m:ctrlPr>
                    <w:rPr>
                      <w:rFonts w:hint="default" w:ascii="Cambria Math" w:hAnsi="Cambria Math" w:eastAsia="宋体" w:cs="Times New Roman"/>
                      <w:i/>
                      <w:color w:val="auto"/>
                      <w:highlight w:val="none"/>
                    </w:rPr>
                  </m:ctrlPr>
                </m:sSubPr>
                <m:e>
                  <m:r>
                    <w:rPr>
                      <w:rFonts w:hint="default" w:ascii="Cambria Math" w:hAnsi="Cambria Math" w:eastAsia="宋体" w:cs="Times New Roman"/>
                      <w:color w:val="auto"/>
                      <w:highlight w:val="none"/>
                    </w:rPr>
                    <m:t>C</m:t>
                  </m:r>
                  <m:ctrlPr>
                    <w:rPr>
                      <w:rFonts w:hint="default" w:ascii="Cambria Math" w:hAnsi="Cambria Math" w:eastAsia="宋体" w:cs="Times New Roman"/>
                      <w:i/>
                      <w:color w:val="auto"/>
                      <w:highlight w:val="none"/>
                    </w:rPr>
                  </m:ctrlPr>
                </m:e>
                <m:sub>
                  <m:r>
                    <w:rPr>
                      <w:rFonts w:hint="default" w:ascii="Cambria Math" w:hAnsi="Cambria Math" w:eastAsia="宋体" w:cs="Times New Roman"/>
                      <w:color w:val="auto"/>
                      <w:highlight w:val="none"/>
                    </w:rPr>
                    <m:t>i</m:t>
                  </m:r>
                  <m:ctrlPr>
                    <w:rPr>
                      <w:rFonts w:hint="default" w:ascii="Cambria Math" w:hAnsi="Cambria Math" w:eastAsia="宋体" w:cs="Times New Roman"/>
                      <w:i/>
                      <w:color w:val="auto"/>
                      <w:highlight w:val="none"/>
                    </w:rPr>
                  </m:ctrlPr>
                </m:sub>
              </m:sSub>
            </m:oMath>
            <w:r>
              <w:rPr>
                <w:rFonts w:hint="default" w:ascii="Times New Roman" w:hAnsi="Times New Roman" w:eastAsia="宋体" w:cs="Times New Roman"/>
                <w:color w:val="auto"/>
                <w:kern w:val="0"/>
                <w:highlight w:val="none"/>
              </w:rPr>
              <w:t>——采用估算模型计算出的第i个污染物的最大1h地面空气质量浓度，μg/m</w:t>
            </w:r>
            <w:r>
              <w:rPr>
                <w:rFonts w:hint="default" w:ascii="Times New Roman" w:hAnsi="Times New Roman" w:eastAsia="宋体" w:cs="Times New Roman"/>
                <w:color w:val="auto"/>
                <w:kern w:val="0"/>
                <w:highlight w:val="none"/>
                <w:vertAlign w:val="superscript"/>
              </w:rPr>
              <w:t>3</w:t>
            </w:r>
            <w:r>
              <w:rPr>
                <w:rFonts w:hint="default" w:ascii="Times New Roman" w:hAnsi="Times New Roman" w:eastAsia="宋体" w:cs="Times New Roman"/>
                <w:color w:val="auto"/>
                <w:kern w:val="0"/>
                <w:highlight w:val="none"/>
              </w:rPr>
              <w:t>；</w:t>
            </w:r>
          </w:p>
          <w:p>
            <w:pPr>
              <w:spacing w:line="480" w:lineRule="exact"/>
              <w:ind w:firstLine="422" w:firstLineChars="176"/>
              <w:jc w:val="left"/>
              <w:rPr>
                <w:rFonts w:hint="default" w:ascii="Times New Roman" w:hAnsi="Times New Roman" w:eastAsia="宋体" w:cs="Times New Roman"/>
                <w:color w:val="auto"/>
                <w:kern w:val="0"/>
                <w:highlight w:val="none"/>
              </w:rPr>
            </w:pPr>
            <m:oMath>
              <m:sSub>
                <m:sSubPr>
                  <m:ctrlPr>
                    <w:rPr>
                      <w:rFonts w:hint="default" w:ascii="Cambria Math" w:hAnsi="Cambria Math" w:eastAsia="宋体" w:cs="Times New Roman"/>
                      <w:i/>
                      <w:color w:val="auto"/>
                      <w:highlight w:val="none"/>
                    </w:rPr>
                  </m:ctrlPr>
                </m:sSubPr>
                <m:e>
                  <m:r>
                    <w:rPr>
                      <w:rFonts w:hint="default" w:ascii="Cambria Math" w:hAnsi="Cambria Math" w:eastAsia="宋体" w:cs="Times New Roman"/>
                      <w:color w:val="auto"/>
                      <w:highlight w:val="none"/>
                    </w:rPr>
                    <m:t>C</m:t>
                  </m:r>
                  <m:ctrlPr>
                    <w:rPr>
                      <w:rFonts w:hint="default" w:ascii="Cambria Math" w:hAnsi="Cambria Math" w:eastAsia="宋体" w:cs="Times New Roman"/>
                      <w:i/>
                      <w:color w:val="auto"/>
                      <w:highlight w:val="none"/>
                    </w:rPr>
                  </m:ctrlPr>
                </m:e>
                <m:sub>
                  <m:r>
                    <w:rPr>
                      <w:rFonts w:hint="default" w:ascii="Cambria Math" w:hAnsi="Cambria Math" w:eastAsia="宋体" w:cs="Times New Roman"/>
                      <w:color w:val="auto"/>
                      <w:highlight w:val="none"/>
                    </w:rPr>
                    <m:t>0i</m:t>
                  </m:r>
                  <m:ctrlPr>
                    <w:rPr>
                      <w:rFonts w:hint="default" w:ascii="Cambria Math" w:hAnsi="Cambria Math" w:eastAsia="宋体" w:cs="Times New Roman"/>
                      <w:i/>
                      <w:color w:val="auto"/>
                      <w:highlight w:val="none"/>
                    </w:rPr>
                  </m:ctrlPr>
                </m:sub>
              </m:sSub>
            </m:oMath>
            <w:r>
              <w:rPr>
                <w:rFonts w:hint="default" w:ascii="Times New Roman" w:hAnsi="Times New Roman" w:eastAsia="宋体" w:cs="Times New Roman"/>
                <w:color w:val="auto"/>
                <w:kern w:val="0"/>
                <w:highlight w:val="none"/>
              </w:rPr>
              <w:t>——第i个污染物的环境空气质量浓度标准，μg/m</w:t>
            </w:r>
            <w:r>
              <w:rPr>
                <w:rFonts w:hint="default" w:ascii="Times New Roman" w:hAnsi="Times New Roman" w:eastAsia="宋体" w:cs="Times New Roman"/>
                <w:color w:val="auto"/>
                <w:kern w:val="0"/>
                <w:highlight w:val="none"/>
                <w:vertAlign w:val="superscript"/>
              </w:rPr>
              <w:t>3</w:t>
            </w:r>
            <w:r>
              <w:rPr>
                <w:rFonts w:hint="default" w:ascii="Times New Roman" w:hAnsi="Times New Roman" w:eastAsia="宋体" w:cs="Times New Roman"/>
                <w:color w:val="auto"/>
                <w:kern w:val="0"/>
                <w:highlight w:val="none"/>
              </w:rPr>
              <w:t>。</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(2)评价等级判别表</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评价等级按下表的分级判据进行划分</w:t>
            </w:r>
          </w:p>
          <w:p>
            <w:pPr>
              <w:spacing w:line="480" w:lineRule="exact"/>
              <w:ind w:firstLine="371" w:firstLineChars="176"/>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表7-1  评价等级判别表</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3"/>
              <w:gridCol w:w="4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评价工作等级</w:t>
                  </w:r>
                </w:p>
              </w:tc>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一级评价</w:t>
                  </w:r>
                </w:p>
              </w:tc>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二级评价</w:t>
                  </w:r>
                </w:p>
              </w:tc>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三级评价</w:t>
                  </w:r>
                </w:p>
              </w:tc>
              <w:tc>
                <w:tcPr>
                  <w:tcW w:w="4513"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Pmax&lt;1%</w:t>
                  </w:r>
                </w:p>
              </w:tc>
            </w:tr>
          </w:tbl>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(3)污染物评价标准</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污染物评价标准和来源见下表。</w:t>
            </w:r>
          </w:p>
          <w:p>
            <w:pPr>
              <w:spacing w:line="240" w:lineRule="auto"/>
              <w:ind w:firstLine="371" w:firstLineChars="176"/>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表7-2  污染物评价标准</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235"/>
              <w:gridCol w:w="1220"/>
              <w:gridCol w:w="1476"/>
              <w:gridCol w:w="3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污染物名称</w:t>
                  </w:r>
                </w:p>
              </w:tc>
              <w:tc>
                <w:tcPr>
                  <w:tcW w:w="123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功能区</w:t>
                  </w:r>
                </w:p>
              </w:tc>
              <w:tc>
                <w:tcPr>
                  <w:tcW w:w="1220"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取值时间</w:t>
                  </w:r>
                </w:p>
              </w:tc>
              <w:tc>
                <w:tcPr>
                  <w:tcW w:w="1476"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bookmarkStart w:id="285" w:name="OLE_LINK4"/>
                  <w:bookmarkStart w:id="286" w:name="OLE_LINK5"/>
                  <w:r>
                    <w:rPr>
                      <w:rFonts w:hint="default" w:ascii="Times New Roman" w:hAnsi="Times New Roman" w:eastAsia="宋体" w:cs="Times New Roman"/>
                      <w:color w:val="auto"/>
                      <w:kern w:val="0"/>
                      <w:sz w:val="21"/>
                      <w:szCs w:val="21"/>
                      <w:highlight w:val="none"/>
                    </w:rPr>
                    <w:t>标准值</w:t>
                  </w:r>
                  <w:bookmarkEnd w:id="285"/>
                  <w:bookmarkEnd w:id="286"/>
                </w:p>
                <w:p>
                  <w:pPr>
                    <w:spacing w:line="240" w:lineRule="auto"/>
                    <w:jc w:val="center"/>
                    <w:rPr>
                      <w:rFonts w:hint="default" w:ascii="Times New Roman" w:hAnsi="Times New Roman" w:eastAsia="宋体" w:cs="Times New Roman"/>
                      <w:color w:val="auto"/>
                      <w:kern w:val="0"/>
                      <w:sz w:val="21"/>
                      <w:szCs w:val="21"/>
                      <w:highlight w:val="none"/>
                    </w:rPr>
                  </w:pPr>
                  <w:bookmarkStart w:id="287" w:name="OLE_LINK15"/>
                  <w:bookmarkStart w:id="288" w:name="OLE_LINK14"/>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bookmarkEnd w:id="287"/>
                  <w:bookmarkEnd w:id="288"/>
                </w:p>
              </w:tc>
              <w:tc>
                <w:tcPr>
                  <w:tcW w:w="3631"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6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123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二类限区</w:t>
                  </w:r>
                </w:p>
              </w:tc>
              <w:tc>
                <w:tcPr>
                  <w:tcW w:w="1220"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1476"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2000.0</w:t>
                  </w:r>
                </w:p>
              </w:tc>
              <w:tc>
                <w:tcPr>
                  <w:tcW w:w="3631"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《环境空气质量 非甲烷总烃限值》（DB13/1577-2012）二级标准</w:t>
                  </w:r>
                </w:p>
              </w:tc>
            </w:tr>
          </w:tbl>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（二）污染源参数</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主要废气污染源排放参数见下表：</w:t>
            </w:r>
          </w:p>
          <w:p>
            <w:pPr>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表7-3  主要废气污染源参数一览表(矩形面源)</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44"/>
              <w:gridCol w:w="644"/>
              <w:gridCol w:w="644"/>
              <w:gridCol w:w="644"/>
              <w:gridCol w:w="645"/>
              <w:gridCol w:w="645"/>
              <w:gridCol w:w="813"/>
              <w:gridCol w:w="870"/>
              <w:gridCol w:w="840"/>
              <w:gridCol w:w="675"/>
              <w:gridCol w:w="1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44"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编号</w:t>
                  </w:r>
                </w:p>
              </w:tc>
              <w:tc>
                <w:tcPr>
                  <w:tcW w:w="644"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1288" w:type="dxa"/>
                  <w:gridSpan w:val="2"/>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面源起点坐标</w:t>
                  </w:r>
                </w:p>
              </w:tc>
              <w:tc>
                <w:tcPr>
                  <w:tcW w:w="644"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面源海拔高度/m</w:t>
                  </w:r>
                </w:p>
              </w:tc>
              <w:tc>
                <w:tcPr>
                  <w:tcW w:w="645"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面源长度/m</w:t>
                  </w:r>
                </w:p>
              </w:tc>
              <w:tc>
                <w:tcPr>
                  <w:tcW w:w="645"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面源宽度/m</w:t>
                  </w:r>
                </w:p>
              </w:tc>
              <w:tc>
                <w:tcPr>
                  <w:tcW w:w="813"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与正北向夹角/°</w:t>
                  </w:r>
                </w:p>
              </w:tc>
              <w:tc>
                <w:tcPr>
                  <w:tcW w:w="870"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面源有效排放高度/m</w:t>
                  </w:r>
                </w:p>
              </w:tc>
              <w:tc>
                <w:tcPr>
                  <w:tcW w:w="840"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年排放小时数/h</w:t>
                  </w:r>
                </w:p>
              </w:tc>
              <w:tc>
                <w:tcPr>
                  <w:tcW w:w="675" w:type="dxa"/>
                  <w:vMerge w:val="restart"/>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排放工况</w:t>
                  </w:r>
                </w:p>
              </w:tc>
              <w:tc>
                <w:tcPr>
                  <w:tcW w:w="1318" w:type="dxa"/>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44"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644"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644" w:type="dxa"/>
                  <w:shd w:val="clear" w:color="auto" w:fill="auto"/>
                  <w:vAlign w:val="center"/>
                </w:tcPr>
                <w:p>
                  <w:pPr>
                    <w:pStyle w:val="34"/>
                    <w:spacing w:line="240" w:lineRule="auto"/>
                    <w:jc w:val="center"/>
                    <w:rPr>
                      <w:rFonts w:hint="default" w:ascii="Times New Roman" w:hAnsi="Times New Roman" w:eastAsia="宋体" w:cs="Times New Roman"/>
                      <w:iCs/>
                      <w:color w:val="auto"/>
                      <w:sz w:val="18"/>
                      <w:szCs w:val="18"/>
                      <w:highlight w:val="none"/>
                    </w:rPr>
                  </w:pPr>
                  <w:r>
                    <w:rPr>
                      <w:rFonts w:hint="default" w:ascii="Times New Roman" w:hAnsi="Times New Roman" w:eastAsia="宋体" w:cs="Times New Roman"/>
                      <w:iCs/>
                      <w:color w:val="auto"/>
                      <w:sz w:val="18"/>
                      <w:szCs w:val="18"/>
                      <w:highlight w:val="none"/>
                    </w:rPr>
                    <w:t>经度</w:t>
                  </w:r>
                </w:p>
              </w:tc>
              <w:tc>
                <w:tcPr>
                  <w:tcW w:w="644" w:type="dxa"/>
                  <w:shd w:val="clear" w:color="auto" w:fill="auto"/>
                  <w:vAlign w:val="center"/>
                </w:tcPr>
                <w:p>
                  <w:pPr>
                    <w:pStyle w:val="34"/>
                    <w:spacing w:line="240" w:lineRule="auto"/>
                    <w:jc w:val="center"/>
                    <w:rPr>
                      <w:rFonts w:hint="default" w:ascii="Times New Roman" w:hAnsi="Times New Roman" w:eastAsia="宋体" w:cs="Times New Roman"/>
                      <w:iCs/>
                      <w:color w:val="auto"/>
                      <w:sz w:val="18"/>
                      <w:szCs w:val="18"/>
                      <w:highlight w:val="none"/>
                    </w:rPr>
                  </w:pPr>
                  <w:r>
                    <w:rPr>
                      <w:rFonts w:hint="default" w:ascii="Times New Roman" w:hAnsi="Times New Roman" w:eastAsia="宋体" w:cs="Times New Roman"/>
                      <w:iCs/>
                      <w:color w:val="auto"/>
                      <w:sz w:val="18"/>
                      <w:szCs w:val="18"/>
                      <w:highlight w:val="none"/>
                    </w:rPr>
                    <w:t>纬度</w:t>
                  </w:r>
                </w:p>
              </w:tc>
              <w:tc>
                <w:tcPr>
                  <w:tcW w:w="644"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645"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645"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813"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870"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840"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675" w:type="dxa"/>
                  <w:vMerge w:val="continue"/>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p>
              </w:tc>
              <w:tc>
                <w:tcPr>
                  <w:tcW w:w="1318" w:type="dxa"/>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1</w:t>
                  </w:r>
                </w:p>
              </w:tc>
              <w:tc>
                <w:tcPr>
                  <w:tcW w:w="644"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非甲烷总烃</w:t>
                  </w:r>
                </w:p>
              </w:tc>
              <w:tc>
                <w:tcPr>
                  <w:tcW w:w="644"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132.547666</w:t>
                  </w:r>
                </w:p>
              </w:tc>
              <w:tc>
                <w:tcPr>
                  <w:tcW w:w="644"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47.645641</w:t>
                  </w:r>
                </w:p>
              </w:tc>
              <w:tc>
                <w:tcPr>
                  <w:tcW w:w="644"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57.0</w:t>
                  </w:r>
                </w:p>
              </w:tc>
              <w:tc>
                <w:tcPr>
                  <w:tcW w:w="645"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132.71</w:t>
                  </w:r>
                </w:p>
              </w:tc>
              <w:tc>
                <w:tcPr>
                  <w:tcW w:w="645"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67.84</w:t>
                  </w:r>
                </w:p>
              </w:tc>
              <w:tc>
                <w:tcPr>
                  <w:tcW w:w="813"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77.91</w:t>
                  </w:r>
                </w:p>
              </w:tc>
              <w:tc>
                <w:tcPr>
                  <w:tcW w:w="870" w:type="dxa"/>
                  <w:shd w:val="clear" w:color="auto" w:fill="auto"/>
                  <w:vAlign w:val="center"/>
                </w:tcPr>
                <w:p>
                  <w:pPr>
                    <w:spacing w:line="240" w:lineRule="auto"/>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5</w:t>
                  </w:r>
                </w:p>
              </w:tc>
              <w:tc>
                <w:tcPr>
                  <w:tcW w:w="840" w:type="dxa"/>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8760</w:t>
                  </w:r>
                </w:p>
              </w:tc>
              <w:tc>
                <w:tcPr>
                  <w:tcW w:w="675" w:type="dxa"/>
                  <w:shd w:val="clear" w:color="auto" w:fill="auto"/>
                  <w:vAlign w:val="center"/>
                </w:tcPr>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318" w:type="dxa"/>
                  <w:shd w:val="clear" w:color="auto" w:fill="auto"/>
                  <w:vAlign w:val="center"/>
                </w:tcPr>
                <w:p>
                  <w:pPr>
                    <w:pStyle w:val="34"/>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cs="Times New Roman"/>
                      <w:color w:val="auto"/>
                      <w:kern w:val="2"/>
                      <w:sz w:val="18"/>
                      <w:szCs w:val="18"/>
                      <w:lang w:eastAsia="zh-CN"/>
                    </w:rPr>
                    <w:t>0.472</w:t>
                  </w:r>
                </w:p>
              </w:tc>
            </w:tr>
          </w:tbl>
          <w:p>
            <w:pPr>
              <w:spacing w:line="480" w:lineRule="exact"/>
              <w:ind w:firstLine="48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（三）项目参数</w:t>
            </w:r>
          </w:p>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估算模式所用参数见表。</w:t>
            </w:r>
          </w:p>
          <w:p>
            <w:pPr>
              <w:spacing w:line="240" w:lineRule="auto"/>
              <w:ind w:firstLine="371" w:firstLineChars="176"/>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表7-4  估算模型参数表</w:t>
            </w:r>
          </w:p>
          <w:tbl>
            <w:tblPr>
              <w:tblStyle w:val="27"/>
              <w:tblW w:w="90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482"/>
              <w:gridCol w:w="44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592"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参数</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10"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城市农村/选项</w:t>
                  </w: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城市/农村</w:t>
                  </w:r>
                </w:p>
              </w:tc>
              <w:tc>
                <w:tcPr>
                  <w:tcW w:w="4434"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110"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人口数(城市人口数)</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592"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最高环境温度</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35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592"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最低环境温度</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 xml:space="preserve">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592"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土地利用类型</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592"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区域湿度条件</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10"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是否考虑地形</w:t>
                  </w: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考虑地形</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110"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地形数据分辨率(m)</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110"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是否考虑海岸线熏烟</w:t>
                  </w: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考虑海岸线熏烟</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110"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海岸线距离/m</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110"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248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海岸线方向/</w:t>
                  </w:r>
                  <w:r>
                    <w:rPr>
                      <w:rFonts w:hint="default" w:ascii="Times New Roman" w:hAnsi="Times New Roman" w:eastAsia="宋体" w:cs="Times New Roman"/>
                      <w:color w:val="auto"/>
                      <w:kern w:val="0"/>
                      <w:sz w:val="21"/>
                      <w:szCs w:val="21"/>
                      <w:highlight w:val="none"/>
                      <w:vertAlign w:val="superscript"/>
                    </w:rPr>
                    <w:t>o</w:t>
                  </w:r>
                </w:p>
              </w:tc>
              <w:tc>
                <w:tcPr>
                  <w:tcW w:w="443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pPr>
              <w:spacing w:line="480" w:lineRule="exact"/>
              <w:ind w:firstLine="422" w:firstLineChars="176"/>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（四）评级工作等级确定</w:t>
            </w:r>
          </w:p>
          <w:p>
            <w:pPr>
              <w:spacing w:line="480" w:lineRule="exact"/>
              <w:ind w:firstLine="422" w:firstLineChars="176"/>
              <w:jc w:val="left"/>
              <w:rPr>
                <w:rFonts w:hint="default" w:ascii="Times New Roman" w:hAnsi="Times New Roman" w:eastAsia="宋体" w:cs="Times New Roman"/>
                <w:b/>
                <w:bCs/>
                <w:color w:val="FF0000"/>
                <w:kern w:val="0"/>
                <w:sz w:val="21"/>
                <w:szCs w:val="21"/>
                <w:highlight w:val="none"/>
              </w:rPr>
            </w:pPr>
            <w:r>
              <w:rPr>
                <w:rFonts w:hint="default" w:ascii="Times New Roman" w:hAnsi="Times New Roman" w:eastAsia="宋体" w:cs="Times New Roman"/>
                <w:color w:val="auto"/>
                <w:kern w:val="0"/>
                <w:highlight w:val="none"/>
              </w:rPr>
              <w:t>本项目所有污染源的正常排放的污染物的P</w:t>
            </w:r>
            <w:r>
              <w:rPr>
                <w:rFonts w:hint="default" w:ascii="Times New Roman" w:hAnsi="Times New Roman" w:eastAsia="宋体" w:cs="Times New Roman"/>
                <w:color w:val="auto"/>
                <w:kern w:val="0"/>
                <w:highlight w:val="none"/>
                <w:vertAlign w:val="subscript"/>
              </w:rPr>
              <w:t>max</w:t>
            </w:r>
            <w:r>
              <w:rPr>
                <w:rFonts w:hint="default" w:ascii="Times New Roman" w:hAnsi="Times New Roman" w:eastAsia="宋体" w:cs="Times New Roman"/>
                <w:color w:val="auto"/>
                <w:kern w:val="0"/>
                <w:highlight w:val="none"/>
              </w:rPr>
              <w:t>和D</w:t>
            </w:r>
            <w:r>
              <w:rPr>
                <w:rFonts w:hint="default" w:ascii="Times New Roman" w:hAnsi="Times New Roman" w:eastAsia="宋体" w:cs="Times New Roman"/>
                <w:color w:val="auto"/>
                <w:kern w:val="0"/>
                <w:highlight w:val="none"/>
                <w:vertAlign w:val="subscript"/>
              </w:rPr>
              <w:t>10%</w:t>
            </w:r>
            <w:r>
              <w:rPr>
                <w:rFonts w:hint="default" w:ascii="Times New Roman" w:hAnsi="Times New Roman" w:eastAsia="宋体" w:cs="Times New Roman"/>
                <w:color w:val="auto"/>
                <w:kern w:val="0"/>
                <w:highlight w:val="none"/>
              </w:rPr>
              <w:t>预测结果如下：</w:t>
            </w:r>
          </w:p>
          <w:p>
            <w:pPr>
              <w:spacing w:line="480" w:lineRule="exact"/>
              <w:ind w:firstLine="371" w:firstLineChars="176"/>
              <w:jc w:val="center"/>
              <w:rPr>
                <w:rFonts w:hint="default" w:ascii="Times New Roman" w:hAnsi="Times New Roman" w:eastAsia="宋体" w:cs="Times New Roman"/>
                <w:b/>
                <w:bCs/>
                <w:color w:val="auto"/>
                <w:kern w:val="0"/>
                <w:sz w:val="21"/>
                <w:szCs w:val="21"/>
                <w:highlight w:val="none"/>
              </w:rPr>
            </w:pPr>
          </w:p>
          <w:p>
            <w:pPr>
              <w:spacing w:line="480" w:lineRule="exact"/>
              <w:ind w:firstLine="371" w:firstLineChars="176"/>
              <w:jc w:val="center"/>
              <w:rPr>
                <w:rFonts w:hint="default" w:ascii="Times New Roman" w:hAnsi="Times New Roman" w:eastAsia="宋体" w:cs="Times New Roman"/>
                <w:b/>
                <w:bCs/>
                <w:color w:val="auto"/>
                <w:kern w:val="0"/>
                <w:sz w:val="21"/>
                <w:szCs w:val="21"/>
                <w:highlight w:val="none"/>
              </w:rPr>
            </w:pPr>
          </w:p>
          <w:p>
            <w:pPr>
              <w:spacing w:line="480" w:lineRule="exact"/>
              <w:ind w:firstLine="371" w:firstLineChars="176"/>
              <w:jc w:val="center"/>
              <w:rPr>
                <w:rFonts w:hint="default" w:ascii="Times New Roman" w:hAnsi="Times New Roman" w:eastAsia="宋体" w:cs="Times New Roman"/>
                <w:b/>
                <w:bCs/>
                <w:color w:val="auto"/>
                <w:kern w:val="0"/>
                <w:sz w:val="21"/>
                <w:szCs w:val="21"/>
                <w:highlight w:val="none"/>
              </w:rPr>
            </w:pPr>
          </w:p>
          <w:p>
            <w:pPr>
              <w:spacing w:line="480" w:lineRule="exact"/>
              <w:ind w:firstLine="371" w:firstLineChars="176"/>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表7-5  P</w:t>
            </w:r>
            <w:r>
              <w:rPr>
                <w:rFonts w:hint="default" w:ascii="Times New Roman" w:hAnsi="Times New Roman" w:eastAsia="宋体" w:cs="Times New Roman"/>
                <w:b/>
                <w:bCs/>
                <w:color w:val="auto"/>
                <w:kern w:val="0"/>
                <w:sz w:val="21"/>
                <w:szCs w:val="21"/>
                <w:highlight w:val="none"/>
                <w:vertAlign w:val="subscript"/>
              </w:rPr>
              <w:t>max</w:t>
            </w:r>
            <w:r>
              <w:rPr>
                <w:rFonts w:hint="default" w:ascii="Times New Roman" w:hAnsi="Times New Roman" w:eastAsia="宋体" w:cs="Times New Roman"/>
                <w:b/>
                <w:bCs/>
                <w:color w:val="auto"/>
                <w:kern w:val="0"/>
                <w:sz w:val="21"/>
                <w:szCs w:val="21"/>
                <w:highlight w:val="none"/>
              </w:rPr>
              <w:t>和D</w:t>
            </w:r>
            <w:r>
              <w:rPr>
                <w:rFonts w:hint="default" w:ascii="Times New Roman" w:hAnsi="Times New Roman" w:eastAsia="宋体" w:cs="Times New Roman"/>
                <w:b/>
                <w:bCs/>
                <w:color w:val="auto"/>
                <w:kern w:val="0"/>
                <w:sz w:val="21"/>
                <w:szCs w:val="21"/>
                <w:highlight w:val="none"/>
                <w:vertAlign w:val="subscript"/>
              </w:rPr>
              <w:t>10%</w:t>
            </w:r>
            <w:r>
              <w:rPr>
                <w:rFonts w:hint="default" w:ascii="Times New Roman" w:hAnsi="Times New Roman" w:eastAsia="宋体" w:cs="Times New Roman"/>
                <w:b/>
                <w:bCs/>
                <w:color w:val="auto"/>
                <w:kern w:val="0"/>
                <w:sz w:val="21"/>
                <w:szCs w:val="21"/>
                <w:highlight w:val="none"/>
              </w:rPr>
              <w:t>预测和计算结果一览表</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441"/>
              <w:gridCol w:w="1570"/>
              <w:gridCol w:w="1504"/>
              <w:gridCol w:w="1505"/>
              <w:gridCol w:w="15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50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污染源名称</w:t>
                  </w:r>
                </w:p>
              </w:tc>
              <w:tc>
                <w:tcPr>
                  <w:tcW w:w="1441"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评价因子</w:t>
                  </w:r>
                </w:p>
              </w:tc>
              <w:tc>
                <w:tcPr>
                  <w:tcW w:w="1570"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评价标准(μg/m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c>
                <w:tcPr>
                  <w:tcW w:w="150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rPr>
                    <w:t>max</w:t>
                  </w:r>
                </w:p>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c>
                <w:tcPr>
                  <w:tcW w:w="150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w:t>
                  </w:r>
                  <w:r>
                    <w:rPr>
                      <w:rFonts w:hint="default" w:ascii="Times New Roman" w:hAnsi="Times New Roman" w:eastAsia="宋体" w:cs="Times New Roman"/>
                      <w:color w:val="auto"/>
                      <w:kern w:val="0"/>
                      <w:sz w:val="21"/>
                      <w:szCs w:val="21"/>
                      <w:highlight w:val="none"/>
                      <w:vertAlign w:val="subscript"/>
                    </w:rPr>
                    <w:t>max</w:t>
                  </w:r>
                </w:p>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50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w:t>
                  </w:r>
                  <w:r>
                    <w:rPr>
                      <w:rFonts w:hint="default" w:ascii="Times New Roman" w:hAnsi="Times New Roman" w:eastAsia="宋体" w:cs="Times New Roman"/>
                      <w:color w:val="auto"/>
                      <w:kern w:val="0"/>
                      <w:sz w:val="21"/>
                      <w:szCs w:val="21"/>
                      <w:highlight w:val="none"/>
                      <w:vertAlign w:val="subscript"/>
                    </w:rPr>
                    <w:t>10%</w:t>
                  </w:r>
                </w:p>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4"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矩形面源</w:t>
                  </w:r>
                </w:p>
              </w:tc>
              <w:tc>
                <w:tcPr>
                  <w:tcW w:w="1441"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NMHC</w:t>
                  </w:r>
                </w:p>
              </w:tc>
              <w:tc>
                <w:tcPr>
                  <w:tcW w:w="1570"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rPr>
                    <w:t>2000.0</w:t>
                  </w:r>
                </w:p>
              </w:tc>
              <w:tc>
                <w:tcPr>
                  <w:tcW w:w="1504"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184.22</w:t>
                  </w:r>
                </w:p>
              </w:tc>
              <w:tc>
                <w:tcPr>
                  <w:tcW w:w="1505"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lang w:val="en-US" w:eastAsia="zh-CN"/>
                    </w:rPr>
                    <w:t>9.221</w:t>
                  </w:r>
                </w:p>
              </w:tc>
              <w:tc>
                <w:tcPr>
                  <w:tcW w:w="150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color w:val="auto"/>
                <w:kern w:val="0"/>
                <w:sz w:val="21"/>
                <w:szCs w:val="21"/>
                <w:highlight w:val="none"/>
              </w:rPr>
              <w:t>表7-6  大气估算模式计算结果</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47"/>
              <w:gridCol w:w="2772"/>
              <w:gridCol w:w="3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147"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下方向距离(m)</w:t>
                  </w:r>
                </w:p>
              </w:tc>
              <w:tc>
                <w:tcPr>
                  <w:tcW w:w="5879"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中国石油天然气股份有限公司黑龙江佳木斯同江经营部第三加油站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147"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277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非甲烷总烃浓度（ug/m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c>
                <w:tcPr>
                  <w:tcW w:w="3107"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trPr>
              <w:tc>
                <w:tcPr>
                  <w:tcW w:w="3147"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下风向最大质量浓度及占标率（</w:t>
                  </w:r>
                  <w:r>
                    <w:rPr>
                      <w:rFonts w:hint="default" w:ascii="Times New Roman" w:hAnsi="Times New Roman" w:eastAsia="宋体" w:cs="Times New Roman"/>
                      <w:color w:val="auto"/>
                      <w:sz w:val="21"/>
                      <w:szCs w:val="21"/>
                      <w:highlight w:val="none"/>
                      <w:lang w:val="en-US" w:eastAsia="zh-CN"/>
                    </w:rPr>
                    <w:t>98</w:t>
                  </w:r>
                  <w:r>
                    <w:rPr>
                      <w:rFonts w:hint="default" w:ascii="Times New Roman" w:hAnsi="Times New Roman" w:eastAsia="宋体" w:cs="Times New Roman"/>
                      <w:color w:val="auto"/>
                      <w:sz w:val="21"/>
                      <w:szCs w:val="21"/>
                      <w:highlight w:val="none"/>
                    </w:rPr>
                    <w:t>m）</w:t>
                  </w:r>
                </w:p>
              </w:tc>
              <w:tc>
                <w:tcPr>
                  <w:tcW w:w="2772"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184.22</w:t>
                  </w:r>
                </w:p>
              </w:tc>
              <w:tc>
                <w:tcPr>
                  <w:tcW w:w="3107"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lang w:val="en-US" w:eastAsia="zh-CN"/>
                    </w:rPr>
                    <w:t>9.221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trPr>
              <w:tc>
                <w:tcPr>
                  <w:tcW w:w="3147"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D10%最远距离</w:t>
                  </w:r>
                </w:p>
              </w:tc>
              <w:tc>
                <w:tcPr>
                  <w:tcW w:w="2772"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3107"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pPr>
              <w:pStyle w:val="34"/>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综合以上分析，本项目非甲烷总烃Pmax值为</w:t>
            </w:r>
            <w:r>
              <w:rPr>
                <w:rFonts w:hint="default" w:ascii="Times New Roman" w:hAnsi="Times New Roman" w:eastAsia="宋体" w:cs="Times New Roman"/>
                <w:color w:val="auto"/>
                <w:kern w:val="0"/>
                <w:sz w:val="24"/>
                <w:szCs w:val="24"/>
                <w:lang w:val="en-US" w:eastAsia="zh-CN"/>
              </w:rPr>
              <w:t>9.221</w:t>
            </w:r>
            <w:r>
              <w:rPr>
                <w:rFonts w:hint="default" w:ascii="Times New Roman" w:hAnsi="Times New Roman" w:eastAsia="宋体" w:cs="Times New Roman"/>
                <w:color w:val="auto"/>
                <w:sz w:val="24"/>
                <w:szCs w:val="24"/>
                <w:highlight w:val="none"/>
              </w:rPr>
              <w:t>%，Cmax为</w:t>
            </w:r>
            <w:r>
              <w:rPr>
                <w:rFonts w:hint="default" w:ascii="Times New Roman" w:hAnsi="Times New Roman" w:eastAsia="宋体" w:cs="Times New Roman"/>
                <w:color w:val="auto"/>
                <w:sz w:val="24"/>
                <w:szCs w:val="24"/>
                <w:highlight w:val="none"/>
                <w:lang w:val="en-US" w:eastAsia="zh-CN"/>
              </w:rPr>
              <w:t>124.41</w:t>
            </w:r>
            <w:r>
              <w:rPr>
                <w:rFonts w:hint="default" w:ascii="Times New Roman" w:hAnsi="Times New Roman" w:eastAsia="宋体" w:cs="Times New Roman"/>
                <w:color w:val="auto"/>
                <w:sz w:val="24"/>
                <w:szCs w:val="24"/>
                <w:highlight w:val="none"/>
              </w:rPr>
              <w:t>ug/m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，根据《环境影响评价技术导则 大气环境》(HJ2.2-2018)分级判据，确定本项目大气环境影响评价工作等级为二级。</w:t>
            </w:r>
          </w:p>
          <w:p>
            <w:pPr>
              <w:ind w:firstLine="480" w:firstLineChars="200"/>
              <w:rPr>
                <w:rFonts w:hint="default" w:ascii="Times New Roman" w:hAnsi="Times New Roman" w:eastAsia="宋体" w:cs="Times New Roman"/>
                <w:color w:val="FF0000"/>
                <w:kern w:val="0"/>
                <w:highlight w:val="none"/>
              </w:rPr>
            </w:pPr>
            <w:r>
              <w:rPr>
                <w:rFonts w:hint="default" w:ascii="Times New Roman" w:hAnsi="Times New Roman" w:eastAsia="宋体" w:cs="Times New Roman"/>
                <w:color w:val="auto"/>
                <w:kern w:val="0"/>
                <w:highlight w:val="none"/>
              </w:rPr>
              <w:t>（五）大气污染物排放量核算</w:t>
            </w:r>
          </w:p>
          <w:p>
            <w:pPr>
              <w:pStyle w:val="2"/>
              <w:spacing w:line="240" w:lineRule="auto"/>
              <w:ind w:left="0" w:leftChars="0"/>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表7-7  无组织排放量核算</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936"/>
              <w:gridCol w:w="1679"/>
              <w:gridCol w:w="3165"/>
              <w:gridCol w:w="1225"/>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45"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排放口</w:t>
                  </w:r>
                </w:p>
              </w:tc>
              <w:tc>
                <w:tcPr>
                  <w:tcW w:w="936"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1679"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主要污染防治措施</w:t>
                  </w:r>
                </w:p>
              </w:tc>
              <w:tc>
                <w:tcPr>
                  <w:tcW w:w="4390" w:type="dxa"/>
                  <w:gridSpan w:val="2"/>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国家或地方污染物排放标准</w:t>
                  </w:r>
                </w:p>
              </w:tc>
              <w:tc>
                <w:tcPr>
                  <w:tcW w:w="1076" w:type="dxa"/>
                  <w:vMerge w:val="restart"/>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45"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936"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1679"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316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标准名称</w:t>
                  </w:r>
                </w:p>
              </w:tc>
              <w:tc>
                <w:tcPr>
                  <w:tcW w:w="122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浓度限值/（mg/m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c>
                <w:tcPr>
                  <w:tcW w:w="1076" w:type="dxa"/>
                  <w:vMerge w:val="continue"/>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排气筒</w:t>
                  </w:r>
                </w:p>
              </w:tc>
              <w:tc>
                <w:tcPr>
                  <w:tcW w:w="936"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1679"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油气回收系统</w:t>
                  </w:r>
                </w:p>
              </w:tc>
              <w:tc>
                <w:tcPr>
                  <w:tcW w:w="316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《大气污染物综合排放标准》</w:t>
                  </w:r>
                </w:p>
              </w:tc>
              <w:tc>
                <w:tcPr>
                  <w:tcW w:w="1225"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1076" w:type="dxa"/>
                  <w:shd w:val="clear" w:color="auto" w:fill="auto"/>
                  <w:vAlign w:val="center"/>
                </w:tcPr>
                <w:p>
                  <w:pPr>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4.141</w:t>
                  </w:r>
                </w:p>
              </w:tc>
            </w:tr>
          </w:tbl>
          <w:p>
            <w:pPr>
              <w:pStyle w:val="2"/>
              <w:ind w:left="0" w:leftChars="0"/>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表7-8  大气污染物年排放量核算表</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2"/>
              <w:gridCol w:w="4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2" w:type="dxa"/>
                  <w:shd w:val="clear" w:color="auto" w:fill="auto"/>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4514" w:type="dxa"/>
                  <w:shd w:val="clear" w:color="auto" w:fill="auto"/>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2"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4514" w:type="dxa"/>
                  <w:shd w:val="clear" w:color="auto" w:fill="auto"/>
                  <w:vAlign w:val="center"/>
                </w:tcPr>
                <w:p>
                  <w:pPr>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4.141</w:t>
                  </w:r>
                </w:p>
              </w:tc>
            </w:tr>
          </w:tbl>
          <w:p>
            <w:pPr>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表7-9  污染源非正常排放核算表</w:t>
            </w:r>
          </w:p>
          <w:tbl>
            <w:tblPr>
              <w:tblStyle w:val="28"/>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26"/>
              <w:gridCol w:w="1493"/>
              <w:gridCol w:w="885"/>
              <w:gridCol w:w="1577"/>
              <w:gridCol w:w="979"/>
              <w:gridCol w:w="1001"/>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126"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污染源</w:t>
                  </w:r>
                </w:p>
              </w:tc>
              <w:tc>
                <w:tcPr>
                  <w:tcW w:w="1493"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非正常排放原因</w:t>
                  </w:r>
                </w:p>
              </w:tc>
              <w:tc>
                <w:tcPr>
                  <w:tcW w:w="885"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1577"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非正常排放速率/kg/h</w:t>
                  </w:r>
                </w:p>
              </w:tc>
              <w:tc>
                <w:tcPr>
                  <w:tcW w:w="979"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单次持续时间/h</w:t>
                  </w:r>
                </w:p>
              </w:tc>
              <w:tc>
                <w:tcPr>
                  <w:tcW w:w="1001"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年发生频次/次</w:t>
                  </w:r>
                </w:p>
              </w:tc>
              <w:tc>
                <w:tcPr>
                  <w:tcW w:w="1449"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126"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加油站</w:t>
                  </w:r>
                </w:p>
              </w:tc>
              <w:tc>
                <w:tcPr>
                  <w:tcW w:w="1493"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油气回收系统发生故障</w:t>
                  </w:r>
                </w:p>
              </w:tc>
              <w:tc>
                <w:tcPr>
                  <w:tcW w:w="885"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1577"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2"/>
                      <w:sz w:val="21"/>
                      <w:szCs w:val="21"/>
                      <w:lang w:val="en-US" w:eastAsia="zh-CN"/>
                    </w:rPr>
                    <w:t>0.709</w:t>
                  </w:r>
                </w:p>
              </w:tc>
              <w:tc>
                <w:tcPr>
                  <w:tcW w:w="97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0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49"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及时检修，排除故障</w:t>
                  </w:r>
                </w:p>
              </w:tc>
            </w:tr>
          </w:tbl>
          <w:p>
            <w:pPr>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（六）大气环境防护距离</w:t>
            </w:r>
          </w:p>
          <w:p>
            <w:pPr>
              <w:widowControl/>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 xml:space="preserve">根据《环境影响评价技术导则 大气环境》（HJ2.2-2018）中“评价等级判定及大气环境影响预测与评价”的要求，以项目排放的非甲烷总烃为污染源，经估算模型计算，本项目大气评价工作等级为二级，无需进行进一步预测与评价，因此项目不设置大气环境防护距离。 </w:t>
            </w:r>
          </w:p>
          <w:p>
            <w:pPr>
              <w:ind w:firstLine="480" w:firstLineChars="20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2、运营期废水污染防治措施和影响分析</w:t>
            </w:r>
          </w:p>
          <w:p>
            <w:pPr>
              <w:spacing w:line="520" w:lineRule="exact"/>
              <w:ind w:firstLine="480" w:firstLineChars="200"/>
              <w:rPr>
                <w:rFonts w:ascii="Times New Roman" w:hAnsi="Times New Roman" w:cs="宋体"/>
                <w:color w:val="auto"/>
              </w:rPr>
            </w:pPr>
            <w:r>
              <w:rPr>
                <w:rFonts w:hint="eastAsia" w:ascii="Times New Roman" w:hAnsi="Times New Roman" w:cs="宋体"/>
                <w:color w:val="auto"/>
              </w:rPr>
              <w:t>项目营运期后产生的废水主要为生活污水，污水排放总量为</w:t>
            </w:r>
            <w:r>
              <w:rPr>
                <w:rFonts w:hint="eastAsia" w:ascii="Times New Roman" w:hAnsi="Times New Roman" w:eastAsia="宋体" w:cs="Times New Roman"/>
                <w:color w:val="auto"/>
                <w:lang w:eastAsia="zh-CN"/>
              </w:rPr>
              <w:t>0.144</w:t>
            </w:r>
            <w:r>
              <w:rPr>
                <w:rFonts w:hint="default" w:ascii="Times New Roman" w:hAnsi="Times New Roman" w:eastAsia="宋体" w:cs="Times New Roman"/>
                <w:color w:val="auto"/>
                <w:lang w:eastAsia="zh-CN"/>
              </w:rPr>
              <w:t>t/d，</w:t>
            </w:r>
            <w:r>
              <w:rPr>
                <w:rFonts w:hint="eastAsia" w:ascii="Times New Roman" w:hAnsi="Times New Roman" w:eastAsia="宋体" w:cs="Times New Roman"/>
                <w:color w:val="auto"/>
                <w:lang w:eastAsia="zh-CN"/>
              </w:rPr>
              <w:t>52.56</w:t>
            </w:r>
            <w:r>
              <w:rPr>
                <w:rFonts w:hint="default" w:ascii="Times New Roman" w:hAnsi="Times New Roman" w:eastAsia="宋体" w:cs="Times New Roman"/>
                <w:color w:val="auto"/>
                <w:lang w:eastAsia="zh-CN"/>
              </w:rPr>
              <w:t>t/a</w:t>
            </w:r>
            <w:r>
              <w:rPr>
                <w:rFonts w:hint="eastAsia" w:ascii="Times New Roman" w:hAnsi="Times New Roman" w:cs="宋体"/>
                <w:color w:val="auto"/>
              </w:rPr>
              <w:t>，生活污水污染物浓度达到《污水综合排放标准》（</w:t>
            </w:r>
            <w:r>
              <w:rPr>
                <w:rFonts w:ascii="Times New Roman" w:hAnsi="Times New Roman" w:cs="Times New Roman"/>
                <w:color w:val="auto"/>
              </w:rPr>
              <w:t>GB8978-1996</w:t>
            </w:r>
            <w:r>
              <w:rPr>
                <w:rFonts w:hint="eastAsia" w:ascii="Times New Roman" w:hAnsi="Times New Roman" w:cs="宋体"/>
                <w:color w:val="auto"/>
              </w:rPr>
              <w:t>）中的三级标准经市政污水管网排入</w:t>
            </w:r>
            <w:r>
              <w:rPr>
                <w:rFonts w:hint="eastAsia" w:ascii="Times New Roman" w:hAnsi="Times New Roman" w:cs="宋体"/>
                <w:color w:val="auto"/>
                <w:lang w:eastAsia="zh-CN"/>
              </w:rPr>
              <w:t>同江市城市污水处理厂</w:t>
            </w:r>
            <w:r>
              <w:rPr>
                <w:rFonts w:hint="eastAsia" w:ascii="Times New Roman" w:hAnsi="Times New Roman" w:cs="宋体"/>
                <w:color w:val="auto"/>
              </w:rPr>
              <w:t>，处理达到</w:t>
            </w:r>
            <w:r>
              <w:rPr>
                <w:rFonts w:ascii="Times New Roman" w:hAnsi="Times New Roman" w:cs="Times New Roman"/>
                <w:color w:val="auto"/>
              </w:rPr>
              <w:t>处理后污水达到《城镇污水处理厂污染物排放标准》(</w:t>
            </w:r>
            <w:r>
              <w:rPr>
                <w:rFonts w:hint="eastAsia" w:ascii="Times New Roman" w:hAnsi="Times New Roman" w:cs="Times New Roman"/>
                <w:color w:val="auto"/>
              </w:rPr>
              <w:t>GB18918-2002</w:t>
            </w:r>
            <w:r>
              <w:rPr>
                <w:rFonts w:ascii="Times New Roman" w:hAnsi="Times New Roman" w:cs="Times New Roman"/>
                <w:color w:val="auto"/>
              </w:rPr>
              <w:t>)中的一级B排放标准</w:t>
            </w:r>
            <w:r>
              <w:rPr>
                <w:rFonts w:hint="eastAsia" w:ascii="Times New Roman" w:hAnsi="Times New Roman" w:cs="宋体"/>
                <w:color w:val="auto"/>
              </w:rPr>
              <w:t>后排入松花江。</w:t>
            </w:r>
          </w:p>
          <w:p>
            <w:pPr>
              <w:pStyle w:val="34"/>
              <w:spacing w:line="360" w:lineRule="auto"/>
              <w:ind w:firstLine="480" w:firstLineChars="200"/>
              <w:rPr>
                <w:rFonts w:ascii="Times New Roman"/>
                <w:color w:val="auto"/>
                <w:kern w:val="2"/>
              </w:rPr>
            </w:pPr>
            <w:r>
              <w:rPr>
                <w:rFonts w:hint="eastAsia" w:ascii="Times New Roman" w:hAnsi="Times New Roman" w:cs="宋体" w:eastAsiaTheme="minorEastAsia"/>
                <w:color w:val="auto"/>
                <w:kern w:val="2"/>
                <w:sz w:val="24"/>
                <w:szCs w:val="24"/>
                <w:lang w:val="en-US" w:eastAsia="zh-CN" w:bidi="ar-SA"/>
              </w:rPr>
              <w:t>同江市城市污水处理厂处理规模2万立方米/日，本项目污水产生量</w:t>
            </w:r>
            <w:r>
              <w:rPr>
                <w:rFonts w:hint="eastAsia" w:ascii="Times New Roman" w:cs="宋体" w:eastAsiaTheme="minorEastAsia"/>
                <w:color w:val="auto"/>
                <w:kern w:val="2"/>
                <w:sz w:val="24"/>
                <w:szCs w:val="24"/>
                <w:lang w:val="en-US" w:eastAsia="zh-CN" w:bidi="ar-SA"/>
              </w:rPr>
              <w:t>0.144</w:t>
            </w:r>
            <w:r>
              <w:rPr>
                <w:rFonts w:hint="eastAsia" w:ascii="Times New Roman" w:hAnsi="Times New Roman" w:cs="宋体" w:eastAsiaTheme="minorEastAsia"/>
                <w:color w:val="auto"/>
                <w:kern w:val="2"/>
                <w:sz w:val="24"/>
                <w:szCs w:val="24"/>
                <w:lang w:val="en-US" w:eastAsia="zh-CN" w:bidi="ar-SA"/>
              </w:rPr>
              <w:t>t/d，占污水处理厂处理能力的 0.</w:t>
            </w:r>
            <w:r>
              <w:rPr>
                <w:rFonts w:hint="eastAsia" w:ascii="Times New Roman" w:cs="宋体" w:eastAsiaTheme="minorEastAsia"/>
                <w:color w:val="auto"/>
                <w:kern w:val="2"/>
                <w:sz w:val="24"/>
                <w:szCs w:val="24"/>
                <w:lang w:val="en-US" w:eastAsia="zh-CN" w:bidi="ar-SA"/>
              </w:rPr>
              <w:t>072</w:t>
            </w:r>
            <w:r>
              <w:rPr>
                <w:rFonts w:hint="eastAsia" w:ascii="Times New Roman" w:hAnsi="Times New Roman" w:cs="宋体" w:eastAsiaTheme="minorEastAsia"/>
                <w:color w:val="auto"/>
                <w:kern w:val="2"/>
                <w:sz w:val="24"/>
                <w:szCs w:val="24"/>
                <w:lang w:val="en-US" w:eastAsia="zh-CN" w:bidi="ar-SA"/>
              </w:rPr>
              <w:t>%，可满足本项目污水排放需要。该厂采用 MBR单元组合法处理工艺，废水处理后污水达到《城镇污水处理厂污染物排放标准》（GB18918-2002）一级B标准后排入松花江</w:t>
            </w:r>
            <w:r>
              <w:rPr>
                <w:rFonts w:ascii="Times New Roman" w:cs="Times New Roman"/>
                <w:color w:val="auto"/>
              </w:rPr>
              <w:t>。由于项目产生污水成分单一，生活污水中主要污染物为COD、氨氮等。按照同类项目可知，经过</w:t>
            </w:r>
            <w:r>
              <w:rPr>
                <w:rFonts w:hint="eastAsia" w:ascii="Times New Roman" w:cs="Times New Roman"/>
                <w:color w:val="auto"/>
              </w:rPr>
              <w:t>防渗化粪池</w:t>
            </w:r>
            <w:r>
              <w:rPr>
                <w:rFonts w:ascii="Times New Roman" w:cs="Times New Roman"/>
                <w:color w:val="auto"/>
              </w:rPr>
              <w:t>消解后污水水质浓度分别为COD：300mg/L、氨氮：30mg/L，可以达到《污水综合排放标准》(GB8978-1996)中的三级标准要求。因此本项目建成投入运营时污水排入</w:t>
            </w:r>
            <w:r>
              <w:rPr>
                <w:rFonts w:hint="eastAsia" w:ascii="Times New Roman" w:cs="Times New Roman"/>
                <w:color w:val="auto"/>
                <w:kern w:val="2"/>
                <w:lang w:eastAsia="zh-CN"/>
              </w:rPr>
              <w:t>同江市城市污水处理厂</w:t>
            </w:r>
            <w:r>
              <w:rPr>
                <w:rFonts w:ascii="Times New Roman" w:cs="Times New Roman"/>
                <w:color w:val="auto"/>
              </w:rPr>
              <w:t>是可行的。</w:t>
            </w:r>
          </w:p>
          <w:p>
            <w:pPr>
              <w:pStyle w:val="34"/>
              <w:spacing w:line="360" w:lineRule="auto"/>
              <w:ind w:firstLine="480" w:firstLineChars="200"/>
              <w:rPr>
                <w:rFonts w:ascii="Times New Roman" w:cs="Times New Roman"/>
                <w:color w:val="auto"/>
              </w:rPr>
            </w:pPr>
            <w:r>
              <w:rPr>
                <w:rFonts w:ascii="Times New Roman" w:cs="Times New Roman"/>
                <w:color w:val="auto"/>
              </w:rPr>
              <w:t>综上，本项目对地表水环境的影响很小，可被环境接受。</w:t>
            </w:r>
          </w:p>
          <w:p>
            <w:pPr>
              <w:spacing w:line="240" w:lineRule="auto"/>
              <w:ind w:firstLine="426" w:firstLineChars="202"/>
              <w:jc w:val="center"/>
              <w:rPr>
                <w:rFonts w:ascii="Times New Roman" w:hAnsi="Times New Roman" w:cs="Times New Roman"/>
                <w:b/>
                <w:color w:val="auto"/>
                <w:sz w:val="21"/>
                <w:szCs w:val="21"/>
              </w:rPr>
            </w:pPr>
            <w:r>
              <w:rPr>
                <w:rFonts w:ascii="Times New Roman" w:hAnsi="Times New Roman" w:cs="Times New Roman"/>
                <w:b/>
                <w:color w:val="auto"/>
                <w:sz w:val="21"/>
                <w:szCs w:val="21"/>
              </w:rPr>
              <w:t>表</w:t>
            </w:r>
            <w:r>
              <w:rPr>
                <w:rFonts w:hint="eastAsia" w:ascii="Times New Roman" w:hAnsi="Times New Roman" w:cs="Times New Roman"/>
                <w:b/>
                <w:color w:val="auto"/>
                <w:sz w:val="21"/>
                <w:szCs w:val="21"/>
              </w:rPr>
              <w:t>7</w:t>
            </w:r>
            <w:r>
              <w:rPr>
                <w:rFonts w:ascii="Times New Roman" w:hAnsi="Times New Roman" w:cs="Times New Roman"/>
                <w:b/>
                <w:color w:val="auto"/>
                <w:sz w:val="21"/>
                <w:szCs w:val="21"/>
              </w:rPr>
              <w:t>-10 废水类别、污染物及污染治理设施信息表</w:t>
            </w:r>
          </w:p>
          <w:tbl>
            <w:tblPr>
              <w:tblStyle w:val="2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9"/>
              <w:gridCol w:w="601"/>
              <w:gridCol w:w="854"/>
              <w:gridCol w:w="1092"/>
              <w:gridCol w:w="693"/>
              <w:gridCol w:w="818"/>
              <w:gridCol w:w="816"/>
              <w:gridCol w:w="822"/>
              <w:gridCol w:w="551"/>
              <w:gridCol w:w="688"/>
              <w:gridCol w:w="16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333"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废水类别</w:t>
                  </w:r>
                </w:p>
              </w:tc>
              <w:tc>
                <w:tcPr>
                  <w:tcW w:w="473"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605"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排放去向</w:t>
                  </w:r>
                </w:p>
              </w:tc>
              <w:tc>
                <w:tcPr>
                  <w:tcW w:w="384"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排放规律</w:t>
                  </w:r>
                </w:p>
              </w:tc>
              <w:tc>
                <w:tcPr>
                  <w:tcW w:w="1360" w:type="pct"/>
                  <w:gridSpan w:val="3"/>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w:t>
                  </w:r>
                </w:p>
              </w:tc>
              <w:tc>
                <w:tcPr>
                  <w:tcW w:w="305"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排放口编号</w:t>
                  </w:r>
                </w:p>
              </w:tc>
              <w:tc>
                <w:tcPr>
                  <w:tcW w:w="381"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排放口设置是否符合要求</w:t>
                  </w:r>
                </w:p>
              </w:tc>
              <w:tc>
                <w:tcPr>
                  <w:tcW w:w="923"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排放口类型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vMerge w:val="continue"/>
                  <w:vAlign w:val="center"/>
                </w:tcPr>
                <w:p>
                  <w:pPr>
                    <w:spacing w:line="240" w:lineRule="auto"/>
                    <w:jc w:val="center"/>
                    <w:rPr>
                      <w:rFonts w:ascii="Times New Roman" w:hAnsi="Times New Roman" w:cs="Times New Roman"/>
                      <w:color w:val="auto"/>
                      <w:sz w:val="21"/>
                      <w:szCs w:val="21"/>
                    </w:rPr>
                  </w:pPr>
                </w:p>
              </w:tc>
              <w:tc>
                <w:tcPr>
                  <w:tcW w:w="333" w:type="pct"/>
                  <w:vMerge w:val="continue"/>
                  <w:vAlign w:val="center"/>
                </w:tcPr>
                <w:p>
                  <w:pPr>
                    <w:spacing w:line="240" w:lineRule="auto"/>
                    <w:jc w:val="center"/>
                    <w:rPr>
                      <w:rFonts w:ascii="Times New Roman" w:hAnsi="Times New Roman" w:cs="Times New Roman"/>
                      <w:color w:val="auto"/>
                      <w:sz w:val="21"/>
                      <w:szCs w:val="21"/>
                    </w:rPr>
                  </w:pPr>
                </w:p>
              </w:tc>
              <w:tc>
                <w:tcPr>
                  <w:tcW w:w="473" w:type="pct"/>
                  <w:vMerge w:val="continue"/>
                  <w:vAlign w:val="center"/>
                </w:tcPr>
                <w:p>
                  <w:pPr>
                    <w:spacing w:line="240" w:lineRule="auto"/>
                    <w:jc w:val="center"/>
                    <w:rPr>
                      <w:rFonts w:ascii="Times New Roman" w:hAnsi="Times New Roman" w:cs="Times New Roman"/>
                      <w:color w:val="auto"/>
                      <w:sz w:val="21"/>
                      <w:szCs w:val="21"/>
                    </w:rPr>
                  </w:pPr>
                </w:p>
              </w:tc>
              <w:tc>
                <w:tcPr>
                  <w:tcW w:w="605" w:type="pct"/>
                  <w:vMerge w:val="continue"/>
                  <w:vAlign w:val="center"/>
                </w:tcPr>
                <w:p>
                  <w:pPr>
                    <w:spacing w:line="240" w:lineRule="auto"/>
                    <w:jc w:val="center"/>
                    <w:rPr>
                      <w:rFonts w:ascii="Times New Roman" w:hAnsi="Times New Roman" w:cs="Times New Roman"/>
                      <w:color w:val="auto"/>
                      <w:sz w:val="21"/>
                      <w:szCs w:val="21"/>
                    </w:rPr>
                  </w:pPr>
                </w:p>
              </w:tc>
              <w:tc>
                <w:tcPr>
                  <w:tcW w:w="384" w:type="pct"/>
                  <w:vMerge w:val="continue"/>
                  <w:vAlign w:val="center"/>
                </w:tcPr>
                <w:p>
                  <w:pPr>
                    <w:spacing w:line="240" w:lineRule="auto"/>
                    <w:jc w:val="center"/>
                    <w:rPr>
                      <w:rFonts w:ascii="Times New Roman" w:hAnsi="Times New Roman" w:cs="Times New Roman"/>
                      <w:color w:val="auto"/>
                      <w:sz w:val="21"/>
                      <w:szCs w:val="21"/>
                    </w:rPr>
                  </w:pPr>
                </w:p>
              </w:tc>
              <w:tc>
                <w:tcPr>
                  <w:tcW w:w="453"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污染治理设施编号</w:t>
                  </w:r>
                </w:p>
              </w:tc>
              <w:tc>
                <w:tcPr>
                  <w:tcW w:w="452"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污染治理设施名称</w:t>
                  </w:r>
                </w:p>
              </w:tc>
              <w:tc>
                <w:tcPr>
                  <w:tcW w:w="453"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污染治理设施工艺</w:t>
                  </w:r>
                </w:p>
              </w:tc>
              <w:tc>
                <w:tcPr>
                  <w:tcW w:w="305" w:type="pct"/>
                  <w:vMerge w:val="continue"/>
                  <w:vAlign w:val="center"/>
                </w:tcPr>
                <w:p>
                  <w:pPr>
                    <w:spacing w:line="240" w:lineRule="auto"/>
                    <w:jc w:val="center"/>
                    <w:rPr>
                      <w:rFonts w:ascii="Times New Roman" w:hAnsi="Times New Roman" w:cs="Times New Roman"/>
                      <w:color w:val="auto"/>
                      <w:sz w:val="21"/>
                      <w:szCs w:val="21"/>
                    </w:rPr>
                  </w:pPr>
                </w:p>
              </w:tc>
              <w:tc>
                <w:tcPr>
                  <w:tcW w:w="381" w:type="pct"/>
                  <w:vMerge w:val="continue"/>
                  <w:vAlign w:val="center"/>
                </w:tcPr>
                <w:p>
                  <w:pPr>
                    <w:spacing w:line="240" w:lineRule="auto"/>
                    <w:jc w:val="center"/>
                    <w:rPr>
                      <w:rFonts w:ascii="Times New Roman" w:hAnsi="Times New Roman" w:cs="Times New Roman"/>
                      <w:color w:val="auto"/>
                      <w:sz w:val="21"/>
                      <w:szCs w:val="21"/>
                    </w:rPr>
                  </w:pPr>
                </w:p>
              </w:tc>
              <w:tc>
                <w:tcPr>
                  <w:tcW w:w="923" w:type="pct"/>
                  <w:vMerge w:val="continue"/>
                  <w:vAlign w:val="center"/>
                </w:tcPr>
                <w:p>
                  <w:pPr>
                    <w:spacing w:line="240" w:lineRule="auto"/>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333"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生活污水</w:t>
                  </w:r>
                </w:p>
              </w:tc>
              <w:tc>
                <w:tcPr>
                  <w:tcW w:w="473"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COD、氨氮</w:t>
                  </w:r>
                </w:p>
              </w:tc>
              <w:tc>
                <w:tcPr>
                  <w:tcW w:w="605" w:type="pct"/>
                  <w:vAlign w:val="center"/>
                </w:tcPr>
                <w:p>
                  <w:pPr>
                    <w:spacing w:line="240" w:lineRule="auto"/>
                    <w:jc w:val="center"/>
                    <w:rPr>
                      <w:rFonts w:hint="eastAsia" w:ascii="Times New Roman" w:hAnsi="Times New Roman" w:cs="Times New Roman" w:eastAsiaTheme="minorEastAsia"/>
                      <w:color w:val="auto"/>
                      <w:sz w:val="21"/>
                      <w:szCs w:val="21"/>
                      <w:lang w:eastAsia="zh-CN"/>
                    </w:rPr>
                  </w:pPr>
                  <w:r>
                    <w:rPr>
                      <w:rFonts w:ascii="Times New Roman" w:hAnsi="Times New Roman" w:cs="Times New Roman"/>
                      <w:color w:val="auto"/>
                      <w:sz w:val="21"/>
                      <w:szCs w:val="21"/>
                    </w:rPr>
                    <w:t>进入市政管网，排入</w:t>
                  </w:r>
                  <w:r>
                    <w:rPr>
                      <w:rFonts w:hint="eastAsia" w:ascii="Times New Roman" w:hAnsi="Times New Roman" w:cs="Times New Roman"/>
                      <w:color w:val="auto"/>
                      <w:sz w:val="21"/>
                      <w:szCs w:val="21"/>
                      <w:lang w:eastAsia="zh-CN"/>
                    </w:rPr>
                    <w:t>同江市城市污水处理厂</w:t>
                  </w:r>
                </w:p>
              </w:tc>
              <w:tc>
                <w:tcPr>
                  <w:tcW w:w="384" w:type="pct"/>
                  <w:vAlign w:val="center"/>
                </w:tcPr>
                <w:p>
                  <w:pPr>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间断</w:t>
                  </w:r>
                  <w:r>
                    <w:rPr>
                      <w:rFonts w:ascii="Times New Roman" w:hAnsi="Times New Roman" w:cs="Times New Roman"/>
                      <w:color w:val="auto"/>
                      <w:sz w:val="21"/>
                      <w:szCs w:val="21"/>
                    </w:rPr>
                    <w:t>排放，流量</w:t>
                  </w:r>
                  <w:r>
                    <w:rPr>
                      <w:rFonts w:hint="eastAsia" w:ascii="Times New Roman" w:hAnsi="Times New Roman" w:cs="Times New Roman"/>
                      <w:color w:val="auto"/>
                      <w:sz w:val="21"/>
                      <w:szCs w:val="21"/>
                    </w:rPr>
                    <w:t>不</w:t>
                  </w:r>
                  <w:r>
                    <w:rPr>
                      <w:rFonts w:ascii="Times New Roman" w:hAnsi="Times New Roman" w:cs="Times New Roman"/>
                      <w:color w:val="auto"/>
                      <w:sz w:val="21"/>
                      <w:szCs w:val="21"/>
                    </w:rPr>
                    <w:t>稳定</w:t>
                  </w:r>
                </w:p>
              </w:tc>
              <w:tc>
                <w:tcPr>
                  <w:tcW w:w="453"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52"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53"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30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381"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是</w:t>
                  </w:r>
                  <w:r>
                    <w:rPr>
                      <w:rFonts w:ascii="Times New Roman" w:hAnsi="Times New Roman" w:cs="Times New Roman"/>
                      <w:bCs/>
                      <w:color w:val="auto"/>
                      <w:kern w:val="0"/>
                      <w:sz w:val="21"/>
                      <w:szCs w:val="21"/>
                    </w:rPr>
                    <w:t>√</w:t>
                  </w:r>
                </w:p>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否</w:t>
                  </w:r>
                  <w:r>
                    <w:rPr>
                      <w:rFonts w:ascii="Times New Roman" w:hAnsi="Times New Roman" w:cs="Times New Roman"/>
                      <w:bCs/>
                      <w:color w:val="auto"/>
                      <w:kern w:val="0"/>
                      <w:sz w:val="21"/>
                      <w:szCs w:val="21"/>
                    </w:rPr>
                    <w:t>□</w:t>
                  </w:r>
                </w:p>
              </w:tc>
              <w:tc>
                <w:tcPr>
                  <w:tcW w:w="923" w:type="pct"/>
                  <w:vAlign w:val="center"/>
                </w:tcPr>
                <w:p>
                  <w:pPr>
                    <w:spacing w:line="240" w:lineRule="auto"/>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√企业总排</w:t>
                  </w:r>
                </w:p>
                <w:p>
                  <w:pPr>
                    <w:spacing w:line="240" w:lineRule="auto"/>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□雨水总排</w:t>
                  </w:r>
                </w:p>
                <w:p>
                  <w:pPr>
                    <w:spacing w:line="240" w:lineRule="auto"/>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□清净下水排放</w:t>
                  </w:r>
                </w:p>
                <w:p>
                  <w:pPr>
                    <w:spacing w:line="240" w:lineRule="auto"/>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□温排水排放</w:t>
                  </w:r>
                </w:p>
                <w:p>
                  <w:pPr>
                    <w:spacing w:line="240" w:lineRule="auto"/>
                    <w:jc w:val="center"/>
                    <w:rPr>
                      <w:rFonts w:ascii="Times New Roman" w:hAnsi="Times New Roman" w:cs="Times New Roman"/>
                      <w:color w:val="auto"/>
                      <w:sz w:val="21"/>
                      <w:szCs w:val="21"/>
                    </w:rPr>
                  </w:pPr>
                  <w:r>
                    <w:rPr>
                      <w:rFonts w:ascii="Times New Roman" w:hAnsi="Times New Roman" w:cs="Times New Roman"/>
                      <w:bCs/>
                      <w:color w:val="auto"/>
                      <w:kern w:val="0"/>
                      <w:sz w:val="21"/>
                      <w:szCs w:val="21"/>
                    </w:rPr>
                    <w:t>□车间或车间处理设施排放口</w:t>
                  </w:r>
                </w:p>
              </w:tc>
            </w:tr>
          </w:tbl>
          <w:p>
            <w:pPr>
              <w:ind w:firstLine="487" w:firstLineChars="202"/>
              <w:jc w:val="center"/>
              <w:rPr>
                <w:rFonts w:ascii="Times New Roman" w:hAnsi="Times New Roman" w:cs="Times New Roman"/>
                <w:b/>
                <w:color w:val="auto"/>
              </w:rPr>
            </w:pPr>
            <w:r>
              <w:rPr>
                <w:rFonts w:ascii="Times New Roman" w:hAnsi="Times New Roman" w:cs="Times New Roman"/>
                <w:b/>
                <w:color w:val="auto"/>
              </w:rPr>
              <w:t>表</w:t>
            </w:r>
            <w:r>
              <w:rPr>
                <w:rFonts w:hint="eastAsia" w:ascii="Times New Roman" w:hAnsi="Times New Roman" w:cs="Times New Roman"/>
                <w:b/>
                <w:color w:val="auto"/>
              </w:rPr>
              <w:t>7</w:t>
            </w:r>
            <w:r>
              <w:rPr>
                <w:rFonts w:ascii="Times New Roman" w:hAnsi="Times New Roman" w:cs="Times New Roman"/>
                <w:b/>
                <w:color w:val="auto"/>
              </w:rPr>
              <w:t>-11废水污染物排放信息表</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7"/>
              <w:gridCol w:w="1127"/>
              <w:gridCol w:w="1128"/>
              <w:gridCol w:w="1128"/>
              <w:gridCol w:w="2256"/>
              <w:gridCol w:w="22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排放口编号</w:t>
                  </w: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排放浓度/（mg/L）</w:t>
                  </w:r>
                </w:p>
              </w:tc>
              <w:tc>
                <w:tcPr>
                  <w:tcW w:w="1250"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日排放量/（t/d）</w:t>
                  </w:r>
                </w:p>
              </w:tc>
              <w:tc>
                <w:tcPr>
                  <w:tcW w:w="1250"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25"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625" w:type="pct"/>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1250" w:type="pct"/>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4.32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5</w:t>
                  </w:r>
                </w:p>
              </w:tc>
              <w:tc>
                <w:tcPr>
                  <w:tcW w:w="1250" w:type="pct"/>
                  <w:vAlign w:val="center"/>
                </w:tcPr>
                <w:p>
                  <w:pPr>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25" w:type="pct"/>
                  <w:vMerge w:val="continue"/>
                  <w:vAlign w:val="center"/>
                </w:tcPr>
                <w:p>
                  <w:pPr>
                    <w:spacing w:line="240" w:lineRule="auto"/>
                    <w:jc w:val="center"/>
                    <w:rPr>
                      <w:rFonts w:ascii="Times New Roman" w:hAnsi="Times New Roman" w:cs="Times New Roman"/>
                      <w:color w:val="auto"/>
                      <w:sz w:val="21"/>
                      <w:szCs w:val="21"/>
                    </w:rPr>
                  </w:pPr>
                </w:p>
              </w:tc>
              <w:tc>
                <w:tcPr>
                  <w:tcW w:w="625" w:type="pct"/>
                  <w:vMerge w:val="continue"/>
                  <w:vAlign w:val="center"/>
                </w:tcPr>
                <w:p>
                  <w:pPr>
                    <w:spacing w:line="240" w:lineRule="auto"/>
                    <w:jc w:val="center"/>
                    <w:rPr>
                      <w:rFonts w:ascii="Times New Roman" w:hAnsi="Times New Roman" w:cs="Times New Roman"/>
                      <w:color w:val="auto"/>
                      <w:sz w:val="21"/>
                      <w:szCs w:val="21"/>
                    </w:rPr>
                  </w:pP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625" w:type="pc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1250" w:type="pct"/>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4.32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6</w:t>
                  </w:r>
                </w:p>
              </w:tc>
              <w:tc>
                <w:tcPr>
                  <w:tcW w:w="1250" w:type="pct"/>
                  <w:vAlign w:val="center"/>
                </w:tcPr>
                <w:p>
                  <w:pPr>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gridSpan w:val="2"/>
                  <w:vMerge w:val="restart"/>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全厂排放口合计</w:t>
                  </w:r>
                </w:p>
              </w:tc>
              <w:tc>
                <w:tcPr>
                  <w:tcW w:w="2500" w:type="pct"/>
                  <w:gridSpan w:val="3"/>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2256" w:type="dxa"/>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gridSpan w:val="2"/>
                  <w:vMerge w:val="continue"/>
                  <w:vAlign w:val="center"/>
                </w:tcPr>
                <w:p>
                  <w:pPr>
                    <w:spacing w:line="240" w:lineRule="auto"/>
                    <w:jc w:val="center"/>
                    <w:rPr>
                      <w:rFonts w:ascii="Times New Roman" w:hAnsi="Times New Roman" w:cs="Times New Roman"/>
                      <w:color w:val="auto"/>
                      <w:sz w:val="21"/>
                      <w:szCs w:val="21"/>
                    </w:rPr>
                  </w:pPr>
                </w:p>
              </w:tc>
              <w:tc>
                <w:tcPr>
                  <w:tcW w:w="2500" w:type="pct"/>
                  <w:gridSpan w:val="3"/>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2256" w:type="dxa"/>
                  <w:vAlign w:val="center"/>
                </w:tcPr>
                <w:p>
                  <w:pPr>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16</w:t>
                  </w:r>
                </w:p>
              </w:tc>
            </w:tr>
          </w:tbl>
          <w:p>
            <w:pPr>
              <w:ind w:firstLine="426" w:firstLineChars="202"/>
              <w:jc w:val="center"/>
              <w:rPr>
                <w:rFonts w:ascii="Times New Roman" w:hAnsi="Times New Roman" w:cs="Times New Roman"/>
                <w:b/>
                <w:color w:val="FF0000"/>
                <w:sz w:val="21"/>
                <w:szCs w:val="21"/>
              </w:rPr>
            </w:pPr>
            <w:r>
              <w:rPr>
                <w:rFonts w:ascii="Times New Roman" w:hAnsi="Times New Roman" w:cs="Times New Roman"/>
                <w:b/>
                <w:color w:val="auto"/>
                <w:sz w:val="21"/>
                <w:szCs w:val="21"/>
              </w:rPr>
              <w:t>表7-12 废水间接排放口基本情况表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863"/>
              <w:gridCol w:w="778"/>
              <w:gridCol w:w="1037"/>
              <w:gridCol w:w="818"/>
              <w:gridCol w:w="709"/>
              <w:gridCol w:w="542"/>
              <w:gridCol w:w="576"/>
              <w:gridCol w:w="794"/>
              <w:gridCol w:w="2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vMerge w:val="restar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序号</w:t>
                  </w:r>
                </w:p>
              </w:tc>
              <w:tc>
                <w:tcPr>
                  <w:tcW w:w="236" w:type="pct"/>
                  <w:vMerge w:val="restar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排放口编号</w:t>
                  </w:r>
                </w:p>
              </w:tc>
              <w:tc>
                <w:tcPr>
                  <w:tcW w:w="909" w:type="pct"/>
                  <w:gridSpan w:val="2"/>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排放口地理坐标</w:t>
                  </w:r>
                </w:p>
              </w:tc>
              <w:tc>
                <w:tcPr>
                  <w:tcW w:w="574" w:type="pct"/>
                  <w:vMerge w:val="restar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废水排放量/（万t/a）</w:t>
                  </w:r>
                </w:p>
              </w:tc>
              <w:tc>
                <w:tcPr>
                  <w:tcW w:w="453" w:type="pct"/>
                  <w:vMerge w:val="restar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排放去向</w:t>
                  </w:r>
                </w:p>
              </w:tc>
              <w:tc>
                <w:tcPr>
                  <w:tcW w:w="393" w:type="pct"/>
                  <w:vMerge w:val="restar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排放规律</w:t>
                  </w:r>
                </w:p>
              </w:tc>
              <w:tc>
                <w:tcPr>
                  <w:tcW w:w="300" w:type="pct"/>
                  <w:vMerge w:val="restar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间歇排放时段</w:t>
                  </w:r>
                </w:p>
              </w:tc>
              <w:tc>
                <w:tcPr>
                  <w:tcW w:w="1895" w:type="pct"/>
                  <w:gridSpan w:val="3"/>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vMerge w:val="continue"/>
                  <w:vAlign w:val="center"/>
                </w:tcPr>
                <w:p>
                  <w:pPr>
                    <w:spacing w:line="240" w:lineRule="auto"/>
                    <w:jc w:val="center"/>
                    <w:rPr>
                      <w:rFonts w:ascii="Times New Roman" w:hAnsi="Times New Roman" w:cs="Times New Roman"/>
                      <w:color w:val="auto"/>
                      <w:sz w:val="18"/>
                      <w:szCs w:val="18"/>
                    </w:rPr>
                  </w:pPr>
                </w:p>
              </w:tc>
              <w:tc>
                <w:tcPr>
                  <w:tcW w:w="236" w:type="pct"/>
                  <w:vMerge w:val="continue"/>
                  <w:vAlign w:val="center"/>
                </w:tcPr>
                <w:p>
                  <w:pPr>
                    <w:spacing w:line="240" w:lineRule="auto"/>
                    <w:jc w:val="center"/>
                    <w:rPr>
                      <w:rFonts w:ascii="Times New Roman" w:hAnsi="Times New Roman" w:cs="Times New Roman"/>
                      <w:color w:val="auto"/>
                      <w:sz w:val="18"/>
                      <w:szCs w:val="18"/>
                    </w:rPr>
                  </w:pPr>
                </w:p>
              </w:tc>
              <w:tc>
                <w:tcPr>
                  <w:tcW w:w="478"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经度</w:t>
                  </w:r>
                </w:p>
              </w:tc>
              <w:tc>
                <w:tcPr>
                  <w:tcW w:w="431"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纬度</w:t>
                  </w:r>
                </w:p>
              </w:tc>
              <w:tc>
                <w:tcPr>
                  <w:tcW w:w="574" w:type="pct"/>
                  <w:vMerge w:val="continue"/>
                  <w:vAlign w:val="center"/>
                </w:tcPr>
                <w:p>
                  <w:pPr>
                    <w:spacing w:line="240" w:lineRule="auto"/>
                    <w:jc w:val="center"/>
                    <w:rPr>
                      <w:rFonts w:ascii="Times New Roman" w:hAnsi="Times New Roman" w:cs="Times New Roman"/>
                      <w:color w:val="auto"/>
                      <w:sz w:val="18"/>
                      <w:szCs w:val="18"/>
                    </w:rPr>
                  </w:pPr>
                </w:p>
              </w:tc>
              <w:tc>
                <w:tcPr>
                  <w:tcW w:w="453" w:type="pct"/>
                  <w:vMerge w:val="continue"/>
                  <w:vAlign w:val="center"/>
                </w:tcPr>
                <w:p>
                  <w:pPr>
                    <w:spacing w:line="240" w:lineRule="auto"/>
                    <w:jc w:val="center"/>
                    <w:rPr>
                      <w:rFonts w:ascii="Times New Roman" w:hAnsi="Times New Roman" w:cs="Times New Roman"/>
                      <w:color w:val="auto"/>
                      <w:sz w:val="18"/>
                      <w:szCs w:val="18"/>
                    </w:rPr>
                  </w:pPr>
                </w:p>
              </w:tc>
              <w:tc>
                <w:tcPr>
                  <w:tcW w:w="393" w:type="pct"/>
                  <w:vMerge w:val="continue"/>
                  <w:vAlign w:val="center"/>
                </w:tcPr>
                <w:p>
                  <w:pPr>
                    <w:spacing w:line="240" w:lineRule="auto"/>
                    <w:jc w:val="center"/>
                    <w:rPr>
                      <w:rFonts w:ascii="Times New Roman" w:hAnsi="Times New Roman" w:cs="Times New Roman"/>
                      <w:color w:val="auto"/>
                      <w:sz w:val="18"/>
                      <w:szCs w:val="18"/>
                    </w:rPr>
                  </w:pPr>
                </w:p>
              </w:tc>
              <w:tc>
                <w:tcPr>
                  <w:tcW w:w="300" w:type="pct"/>
                  <w:vMerge w:val="continue"/>
                  <w:vAlign w:val="center"/>
                </w:tcPr>
                <w:p>
                  <w:pPr>
                    <w:spacing w:line="240" w:lineRule="auto"/>
                    <w:jc w:val="center"/>
                    <w:rPr>
                      <w:rFonts w:ascii="Times New Roman" w:hAnsi="Times New Roman" w:cs="Times New Roman"/>
                      <w:color w:val="auto"/>
                      <w:sz w:val="18"/>
                      <w:szCs w:val="18"/>
                    </w:rPr>
                  </w:pPr>
                </w:p>
              </w:tc>
              <w:tc>
                <w:tcPr>
                  <w:tcW w:w="319"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名称</w:t>
                  </w:r>
                </w:p>
              </w:tc>
              <w:tc>
                <w:tcPr>
                  <w:tcW w:w="440"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污染物种类</w:t>
                  </w:r>
                </w:p>
              </w:tc>
              <w:tc>
                <w:tcPr>
                  <w:tcW w:w="1136"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236"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478" w:type="pct"/>
                  <w:vAlign w:val="center"/>
                </w:tcPr>
                <w:p>
                  <w:pPr>
                    <w:spacing w:line="240" w:lineRule="auto"/>
                    <w:jc w:val="center"/>
                    <w:rPr>
                      <w:rFonts w:ascii="Times New Roman" w:hAnsi="Times New Roman" w:cs="Times New Roman"/>
                      <w:color w:val="auto"/>
                      <w:sz w:val="18"/>
                      <w:szCs w:val="18"/>
                    </w:rPr>
                  </w:pPr>
                  <w:r>
                    <w:rPr>
                      <w:rFonts w:hint="default" w:ascii="Times New Roman" w:hAnsi="Times New Roman" w:cs="Times New Roman"/>
                      <w:color w:val="auto"/>
                      <w:sz w:val="18"/>
                      <w:szCs w:val="18"/>
                    </w:rPr>
                    <w:t>132.556293</w:t>
                  </w:r>
                </w:p>
              </w:tc>
              <w:tc>
                <w:tcPr>
                  <w:tcW w:w="431" w:type="pct"/>
                  <w:vAlign w:val="center"/>
                </w:tcPr>
                <w:p>
                  <w:pPr>
                    <w:spacing w:line="240" w:lineRule="auto"/>
                    <w:jc w:val="center"/>
                    <w:rPr>
                      <w:rFonts w:ascii="Times New Roman" w:hAnsi="Times New Roman" w:cs="Times New Roman"/>
                      <w:color w:val="auto"/>
                      <w:sz w:val="18"/>
                      <w:szCs w:val="18"/>
                    </w:rPr>
                  </w:pPr>
                  <w:r>
                    <w:rPr>
                      <w:rFonts w:hint="default" w:ascii="Times New Roman" w:hAnsi="Times New Roman" w:cs="Times New Roman"/>
                      <w:color w:val="auto"/>
                      <w:sz w:val="18"/>
                      <w:szCs w:val="18"/>
                    </w:rPr>
                    <w:t>47.647884</w:t>
                  </w:r>
                </w:p>
              </w:tc>
              <w:tc>
                <w:tcPr>
                  <w:tcW w:w="574" w:type="pct"/>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ascii="Times New Roman" w:hAnsi="Times New Roman" w:cs="Times New Roman"/>
                      <w:color w:val="auto"/>
                      <w:sz w:val="18"/>
                      <w:szCs w:val="18"/>
                    </w:rPr>
                    <w:t>0.00</w:t>
                  </w:r>
                  <w:r>
                    <w:rPr>
                      <w:rFonts w:hint="eastAsia" w:ascii="Times New Roman" w:hAnsi="Times New Roman" w:cs="Times New Roman"/>
                      <w:color w:val="auto"/>
                      <w:sz w:val="18"/>
                      <w:szCs w:val="18"/>
                      <w:lang w:val="en-US" w:eastAsia="zh-CN"/>
                    </w:rPr>
                    <w:t>53</w:t>
                  </w:r>
                </w:p>
              </w:tc>
              <w:tc>
                <w:tcPr>
                  <w:tcW w:w="453"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进入市政污水处理厂</w:t>
                  </w:r>
                </w:p>
              </w:tc>
              <w:tc>
                <w:tcPr>
                  <w:tcW w:w="393" w:type="pct"/>
                  <w:vAlign w:val="center"/>
                </w:tcPr>
                <w:p>
                  <w:pPr>
                    <w:spacing w:line="240" w:lineRule="auto"/>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间断</w:t>
                  </w:r>
                  <w:r>
                    <w:rPr>
                      <w:rFonts w:ascii="Times New Roman" w:hAnsi="Times New Roman" w:cs="Times New Roman"/>
                      <w:color w:val="auto"/>
                      <w:sz w:val="18"/>
                      <w:szCs w:val="18"/>
                    </w:rPr>
                    <w:t>排放，流量</w:t>
                  </w:r>
                  <w:r>
                    <w:rPr>
                      <w:rFonts w:hint="eastAsia" w:ascii="Times New Roman" w:hAnsi="Times New Roman" w:cs="Times New Roman"/>
                      <w:color w:val="auto"/>
                      <w:sz w:val="18"/>
                      <w:szCs w:val="18"/>
                    </w:rPr>
                    <w:t>不</w:t>
                  </w:r>
                  <w:r>
                    <w:rPr>
                      <w:rFonts w:ascii="Times New Roman" w:hAnsi="Times New Roman" w:cs="Times New Roman"/>
                      <w:color w:val="auto"/>
                      <w:sz w:val="18"/>
                      <w:szCs w:val="18"/>
                    </w:rPr>
                    <w:t>稳定</w:t>
                  </w:r>
                </w:p>
              </w:tc>
              <w:tc>
                <w:tcPr>
                  <w:tcW w:w="300"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319" w:type="pct"/>
                  <w:vAlign w:val="center"/>
                </w:tcPr>
                <w:p>
                  <w:pPr>
                    <w:spacing w:line="240" w:lineRule="auto"/>
                    <w:jc w:val="center"/>
                    <w:rPr>
                      <w:rFonts w:hint="eastAsia" w:ascii="Times New Roman" w:hAnsi="Times New Roman" w:cs="Times New Roman" w:eastAsiaTheme="minorEastAsia"/>
                      <w:color w:val="auto"/>
                      <w:sz w:val="18"/>
                      <w:szCs w:val="18"/>
                      <w:lang w:eastAsia="zh-CN"/>
                    </w:rPr>
                  </w:pPr>
                  <w:r>
                    <w:rPr>
                      <w:rFonts w:hint="eastAsia" w:ascii="Times New Roman" w:hAnsi="Times New Roman" w:cs="Times New Roman"/>
                      <w:color w:val="auto"/>
                      <w:sz w:val="18"/>
                      <w:szCs w:val="18"/>
                      <w:lang w:eastAsia="zh-CN"/>
                    </w:rPr>
                    <w:t>同江市城市污水处理厂</w:t>
                  </w:r>
                </w:p>
              </w:tc>
              <w:tc>
                <w:tcPr>
                  <w:tcW w:w="440"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COD、氨氮</w:t>
                  </w:r>
                </w:p>
              </w:tc>
              <w:tc>
                <w:tcPr>
                  <w:tcW w:w="1136" w:type="pct"/>
                  <w:vAlign w:val="center"/>
                </w:tcPr>
                <w:p>
                  <w:pPr>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《城镇污水处理厂污染物排放标准》（</w:t>
                  </w:r>
                  <w:r>
                    <w:rPr>
                      <w:rFonts w:hint="eastAsia" w:ascii="Times New Roman" w:hAnsi="Times New Roman" w:cs="Times New Roman"/>
                      <w:color w:val="auto"/>
                      <w:sz w:val="18"/>
                      <w:szCs w:val="18"/>
                    </w:rPr>
                    <w:t>GB18918-2002</w:t>
                  </w:r>
                  <w:r>
                    <w:rPr>
                      <w:rFonts w:ascii="Times New Roman" w:hAnsi="Times New Roman" w:cs="Times New Roman"/>
                      <w:color w:val="auto"/>
                      <w:sz w:val="18"/>
                      <w:szCs w:val="18"/>
                    </w:rPr>
                    <w:t>2）一级B标准</w:t>
                  </w:r>
                </w:p>
              </w:tc>
            </w:tr>
          </w:tbl>
          <w:p>
            <w:pPr>
              <w:spacing w:line="440" w:lineRule="exact"/>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kern w:val="0"/>
                <w:highlight w:val="none"/>
              </w:rPr>
              <w:t>3、</w:t>
            </w:r>
            <w:r>
              <w:rPr>
                <w:rFonts w:hint="default" w:ascii="Times New Roman" w:hAnsi="Times New Roman" w:eastAsia="宋体" w:cs="Times New Roman"/>
                <w:bCs/>
                <w:color w:val="auto"/>
                <w:highlight w:val="none"/>
              </w:rPr>
              <w:t>运营期噪声影响分析</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本项目运行期间噪声来自加油机泵类设备发出的机械噪声、油气回收装置发出的机械噪声和进出入站区车辆产生的交通噪声，为避免以上噪声对项目周边区域造成环境影响，建设单位应采取以下措施进行噪声控制：</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（1）在满足生产工艺要求的前提下，应选用先进的低噪设备，以从声源上降低设备本身噪声；</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（2）泵类设备应按要求进行安装，做好动平衡，减少振动的发生；</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（3）应做好加油机的维修和保养工作，确保其处于良好的工作状态，从而降低噪声的产生。</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（4）加油站入口处应设置限速标示，使进出入加油站的车辆减速慢行，从而降低交通噪声对周围环境造成的影响。</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（5）加油站内要设置禁止鸣笛标示。</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车辆进出入站区加油，行驶速度要比在城市主干路上行驶的速度慢很多，因此交通噪声对周围环境的影响较小。采取以上措施，加油站</w:t>
            </w:r>
            <w:r>
              <w:rPr>
                <w:rFonts w:hint="default" w:ascii="Times New Roman" w:hAnsi="Times New Roman" w:eastAsia="宋体" w:cs="Times New Roman"/>
                <w:color w:val="auto"/>
                <w:highlight w:val="none"/>
                <w:lang w:val="en-US" w:eastAsia="zh-CN"/>
              </w:rPr>
              <w:t>东</w:t>
            </w:r>
            <w:r>
              <w:rPr>
                <w:rFonts w:hint="default" w:ascii="Times New Roman" w:hAnsi="Times New Roman" w:eastAsia="宋体" w:cs="Times New Roman"/>
                <w:color w:val="auto"/>
                <w:highlight w:val="none"/>
              </w:rPr>
              <w:t>侧</w:t>
            </w:r>
            <w:r>
              <w:rPr>
                <w:rFonts w:hint="default" w:ascii="Times New Roman" w:hAnsi="Times New Roman" w:eastAsia="宋体" w:cs="Times New Roman"/>
                <w:color w:val="auto"/>
                <w:highlight w:val="none"/>
                <w:lang w:val="en-US" w:eastAsia="zh-CN"/>
              </w:rPr>
              <w:t>、西侧、南</w:t>
            </w:r>
            <w:r>
              <w:rPr>
                <w:rFonts w:hint="default" w:ascii="Times New Roman" w:hAnsi="Times New Roman" w:eastAsia="宋体" w:cs="Times New Roman"/>
                <w:color w:val="auto"/>
                <w:highlight w:val="none"/>
              </w:rPr>
              <w:t>侧站界噪声符合《工业企业厂界环境噪声排放标准》（GB12348-2008）</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类标准要求，加油站北</w:t>
            </w:r>
            <w:r>
              <w:rPr>
                <w:rFonts w:hint="default" w:ascii="Times New Roman" w:hAnsi="Times New Roman" w:eastAsia="宋体" w:cs="Times New Roman"/>
                <w:color w:val="auto"/>
                <w:highlight w:val="none"/>
                <w:lang w:val="en-US" w:eastAsia="zh-CN"/>
              </w:rPr>
              <w:t>侧</w:t>
            </w:r>
            <w:r>
              <w:rPr>
                <w:rFonts w:hint="default" w:ascii="Times New Roman" w:hAnsi="Times New Roman" w:eastAsia="宋体" w:cs="Times New Roman"/>
                <w:color w:val="auto"/>
                <w:highlight w:val="none"/>
              </w:rPr>
              <w:t>站界噪声符合《工业企业厂界环境噪声排放标准》（GB12348-2008）4类标准要求。项目对周围声环境影响可接受。</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4、固体废物污染防治措施和影响分析</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（1）生活垃圾污染防治措施</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本项目生活垃圾产生量为</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kg/d，</w:t>
            </w:r>
            <w:r>
              <w:rPr>
                <w:rFonts w:hint="eastAsia" w:ascii="Times New Roman" w:hAnsi="Times New Roman" w:eastAsia="宋体" w:cs="Times New Roman"/>
                <w:color w:val="auto"/>
                <w:lang w:val="en-US" w:eastAsia="zh-CN"/>
              </w:rPr>
              <w:t>1.095</w:t>
            </w:r>
            <w:r>
              <w:rPr>
                <w:rFonts w:hint="default" w:ascii="Times New Roman" w:hAnsi="Times New Roman" w:eastAsia="宋体" w:cs="Times New Roman"/>
                <w:color w:val="auto"/>
                <w:lang w:val="en-US" w:eastAsia="zh-CN"/>
              </w:rPr>
              <w:t>t/a</w:t>
            </w:r>
            <w:r>
              <w:rPr>
                <w:rFonts w:hint="default" w:ascii="Times New Roman" w:hAnsi="Times New Roman" w:eastAsia="宋体" w:cs="Times New Roman"/>
                <w:color w:val="auto"/>
                <w:highlight w:val="none"/>
              </w:rPr>
              <w:t>。生活垃圾产生后要集中收集存放，由市政部门统一处理，生活垃圾不得随意倾倒。建设单位应将生活垃圾收集工作落实到个人，杜绝生活垃圾在站区内露天堆积和站区外的随意倾倒，避免因生活垃圾存放而产生的二次环境污染。</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（2）油罐底泥污染防治措施</w:t>
            </w:r>
          </w:p>
          <w:p>
            <w:pPr>
              <w:spacing w:line="440" w:lineRule="exact"/>
              <w:ind w:firstLine="56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储油罐经过长期使用，在罐底积累的底泥需定时清除。频率为5年一次，产生量约为0.25 t。油罐</w:t>
            </w:r>
            <w:r>
              <w:rPr>
                <w:rFonts w:hint="default" w:ascii="Times New Roman" w:hAnsi="Times New Roman" w:eastAsia="宋体" w:cs="Times New Roman"/>
                <w:color w:val="auto"/>
                <w:highlight w:val="none"/>
              </w:rPr>
              <w:t>油泥</w:t>
            </w:r>
            <w:r>
              <w:rPr>
                <w:rFonts w:hint="default" w:ascii="Times New Roman" w:hAnsi="Times New Roman" w:eastAsia="宋体" w:cs="Times New Roman"/>
                <w:bCs/>
                <w:color w:val="auto"/>
                <w:highlight w:val="none"/>
              </w:rPr>
              <w:t>属于危险废物（HW08废矿物油与含矿物油废物900-221-08），因此应按照《国家危险废物名录》（2016年）中有关规定进行处置。</w:t>
            </w:r>
            <w:r>
              <w:rPr>
                <w:rFonts w:hint="default" w:ascii="Times New Roman" w:hAnsi="Times New Roman" w:eastAsia="宋体" w:cs="Times New Roman"/>
                <w:color w:val="auto"/>
                <w:highlight w:val="none"/>
                <w:lang w:eastAsia="zh-CN"/>
              </w:rPr>
              <w:t>建议委托</w:t>
            </w:r>
            <w:r>
              <w:rPr>
                <w:rFonts w:hint="eastAsia" w:ascii="Times New Roman" w:hAnsi="Times New Roman" w:eastAsia="宋体" w:cs="Times New Roman"/>
                <w:color w:val="auto"/>
                <w:sz w:val="24"/>
                <w:szCs w:val="24"/>
                <w:lang w:val="en-US" w:eastAsia="zh-CN"/>
              </w:rPr>
              <w:t>周边有资质单位处置</w:t>
            </w:r>
            <w:r>
              <w:rPr>
                <w:rFonts w:hint="default" w:ascii="Times New Roman" w:hAnsi="Times New Roman" w:eastAsia="宋体" w:cs="Times New Roman"/>
                <w:color w:val="auto"/>
                <w:szCs w:val="28"/>
                <w:highlight w:val="none"/>
                <w:lang w:val="en-US" w:eastAsia="zh-CN"/>
              </w:rPr>
              <w:t>。</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由以上可知，本项目固废均得到有效处置，不会对周围环境产生较大的影响。</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5、地下水环境影响分析</w:t>
            </w:r>
          </w:p>
          <w:p>
            <w:pPr>
              <w:tabs>
                <w:tab w:val="left" w:pos="5760"/>
              </w:tabs>
              <w:spacing w:line="52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本项目在建设过程中使用</w:t>
            </w:r>
            <w:r>
              <w:rPr>
                <w:rFonts w:hint="default" w:ascii="Times New Roman" w:hAnsi="Times New Roman" w:eastAsia="宋体" w:cs="Times New Roman"/>
                <w:color w:val="auto"/>
                <w:kern w:val="0"/>
                <w:highlight w:val="none"/>
              </w:rPr>
              <w:t>双层SF埋地储罐</w:t>
            </w:r>
            <w:r>
              <w:rPr>
                <w:rFonts w:hint="default" w:ascii="Times New Roman" w:hAnsi="Times New Roman" w:eastAsia="宋体" w:cs="Times New Roman"/>
                <w:color w:val="auto"/>
                <w:highlight w:val="none"/>
              </w:rPr>
              <w:t>，对地下水影响较小。根据《环境影响评价技术导则 地下水环境》（HJ610-2016）的要求，本项目为地下水影响Ⅱ类项目，应该对地下水的影响进行详细评价，详见地下水专篇。</w:t>
            </w:r>
          </w:p>
          <w:p>
            <w:pPr>
              <w:pStyle w:val="59"/>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rPr>
              <w:t>土壤环境影响评价</w:t>
            </w:r>
          </w:p>
          <w:p>
            <w:pPr>
              <w:pStyle w:val="3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依据《环境影响评价技术导则-土壤环境（试行）》(HJ964-2018)中附录A土壤环境影响评价项目类别，本项目</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交通运输仓储邮政业</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val="en-US" w:eastAsia="zh-CN"/>
              </w:rPr>
              <w:t>加油站</w:t>
            </w:r>
            <w:r>
              <w:rPr>
                <w:rFonts w:hint="default" w:ascii="Times New Roman" w:hAnsi="Times New Roman" w:eastAsia="宋体" w:cs="Times New Roman"/>
                <w:color w:val="auto"/>
                <w:sz w:val="24"/>
                <w:szCs w:val="24"/>
              </w:rPr>
              <w:t>”，土壤环境影响评价项目类别为Ⅲ类</w:t>
            </w:r>
            <w:r>
              <w:rPr>
                <w:rFonts w:hint="default" w:ascii="Times New Roman" w:hAnsi="Times New Roman" w:eastAsia="宋体" w:cs="Times New Roman"/>
                <w:color w:val="auto"/>
                <w:sz w:val="24"/>
                <w:szCs w:val="24"/>
                <w:lang w:val="en-US" w:eastAsia="zh-CN"/>
              </w:rPr>
              <w:t>，加油站</w:t>
            </w:r>
            <w:r>
              <w:rPr>
                <w:rFonts w:hint="default" w:ascii="Times New Roman" w:hAnsi="Times New Roman" w:eastAsia="宋体" w:cs="Times New Roman"/>
                <w:color w:val="auto"/>
                <w:sz w:val="24"/>
                <w:szCs w:val="24"/>
              </w:rPr>
              <w:t>占地面积为</w:t>
            </w:r>
            <w:r>
              <w:rPr>
                <w:rFonts w:hint="eastAsia" w:ascii="Times New Roman" w:cs="Times New Roman"/>
                <w:color w:val="auto"/>
                <w:sz w:val="24"/>
                <w:szCs w:val="24"/>
                <w:lang w:eastAsia="zh-CN"/>
              </w:rPr>
              <w:t>4054 m</w:t>
            </w:r>
            <w:r>
              <w:rPr>
                <w:rFonts w:hint="eastAsia" w:ascii="Times New Roman" w:cs="Times New Roman"/>
                <w:color w:val="auto"/>
                <w:sz w:val="24"/>
                <w:szCs w:val="24"/>
                <w:vertAlign w:val="superscript"/>
                <w:lang w:eastAsia="zh-CN"/>
              </w:rPr>
              <w:t>2</w:t>
            </w:r>
            <w:r>
              <w:rPr>
                <w:rFonts w:hint="default" w:ascii="Times New Roman" w:hAnsi="Times New Roman" w:eastAsia="宋体" w:cs="Times New Roman"/>
                <w:color w:val="auto"/>
                <w:sz w:val="24"/>
                <w:szCs w:val="24"/>
                <w:lang w:val="en-US" w:eastAsia="zh-CN"/>
              </w:rPr>
              <w:t>，依据占地规模划分属于小型项目；本项目</w:t>
            </w:r>
            <w:r>
              <w:rPr>
                <w:rFonts w:hint="default" w:ascii="Times New Roman" w:hAnsi="Times New Roman" w:eastAsia="宋体" w:cs="Times New Roman"/>
                <w:color w:val="auto"/>
              </w:rPr>
              <w:t>新建</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座双层埋地储罐（双层钢制汽油罐</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；双层钢制柴油罐</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加油站一旦发生渗漏与溢出事故时，由于安装了漏油在线监测系统，可及时发现储油罐渗漏，油品渗漏量较小，</w:t>
            </w:r>
            <w:r>
              <w:rPr>
                <w:rFonts w:hint="default" w:ascii="Times New Roman" w:hAnsi="Times New Roman" w:eastAsia="宋体" w:cs="Times New Roman"/>
                <w:color w:val="auto"/>
                <w:sz w:val="24"/>
                <w:szCs w:val="24"/>
                <w:highlight w:val="none"/>
                <w:lang w:val="en-US" w:eastAsia="zh-CN"/>
              </w:rPr>
              <w:t>再</w:t>
            </w:r>
            <w:r>
              <w:rPr>
                <w:rFonts w:hint="default" w:ascii="Times New Roman" w:hAnsi="Times New Roman" w:eastAsia="宋体" w:cs="Times New Roman"/>
                <w:color w:val="auto"/>
                <w:sz w:val="24"/>
                <w:szCs w:val="24"/>
                <w:highlight w:val="none"/>
              </w:rPr>
              <w:t>由于受</w:t>
            </w:r>
            <w:r>
              <w:rPr>
                <w:rFonts w:hint="default" w:ascii="Times New Roman" w:hAnsi="Times New Roman" w:eastAsia="宋体" w:cs="Times New Roman"/>
                <w:color w:val="auto"/>
                <w:sz w:val="24"/>
                <w:szCs w:val="24"/>
                <w:highlight w:val="none"/>
                <w:lang w:val="en-US" w:eastAsia="zh-CN"/>
              </w:rPr>
              <w:t>防渗罐池</w:t>
            </w:r>
            <w:r>
              <w:rPr>
                <w:rFonts w:hint="default" w:ascii="Times New Roman" w:hAnsi="Times New Roman" w:eastAsia="宋体" w:cs="Times New Roman"/>
                <w:color w:val="auto"/>
                <w:sz w:val="24"/>
                <w:szCs w:val="24"/>
                <w:highlight w:val="none"/>
              </w:rPr>
              <w:t>的保护，渗漏出的成品油将积聚在储油区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不会对</w:t>
            </w:r>
            <w:r>
              <w:rPr>
                <w:rFonts w:hint="default" w:ascii="Times New Roman" w:hAnsi="Times New Roman" w:eastAsia="宋体" w:cs="Times New Roman"/>
                <w:color w:val="auto"/>
                <w:sz w:val="24"/>
                <w:szCs w:val="24"/>
                <w:highlight w:val="none"/>
              </w:rPr>
              <w:t>储油区</w:t>
            </w:r>
            <w:r>
              <w:rPr>
                <w:rFonts w:hint="default" w:ascii="Times New Roman" w:hAnsi="Times New Roman" w:eastAsia="宋体" w:cs="Times New Roman"/>
                <w:color w:val="auto"/>
                <w:sz w:val="24"/>
                <w:szCs w:val="24"/>
                <w:highlight w:val="none"/>
                <w:lang w:val="en-US" w:eastAsia="zh-CN"/>
              </w:rPr>
              <w:t>以外的土壤造成影响，因此入渗途径为不敏感。综上所述，本项目</w:t>
            </w:r>
            <w:r>
              <w:rPr>
                <w:rFonts w:hint="default" w:ascii="Times New Roman" w:hAnsi="Times New Roman" w:eastAsia="宋体" w:cs="Times New Roman"/>
                <w:color w:val="auto"/>
                <w:sz w:val="24"/>
                <w:szCs w:val="24"/>
                <w:lang w:val="en-US" w:eastAsia="zh-CN"/>
              </w:rPr>
              <w:t>土壤环境敏感程度为不敏感。</w:t>
            </w:r>
          </w:p>
          <w:p>
            <w:pPr>
              <w:pStyle w:val="59"/>
              <w:ind w:firstLine="0" w:firstLineChars="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7-1</w:t>
            </w:r>
            <w:r>
              <w:rPr>
                <w:rFonts w:hint="eastAsia"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rPr>
              <w:t>污染影响型敏感程度分级表</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7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6"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7650"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6"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7650"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6"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7650"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6"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7650" w:type="dxa"/>
                  <w:noWrap w:val="0"/>
                  <w:vAlign w:val="top"/>
                </w:tcPr>
                <w:p>
                  <w:pPr>
                    <w:pStyle w:val="59"/>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其他情况</w:t>
                  </w:r>
                </w:p>
              </w:tc>
            </w:tr>
          </w:tbl>
          <w:p>
            <w:pPr>
              <w:pStyle w:val="38"/>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表7-1</w:t>
            </w:r>
            <w:r>
              <w:rPr>
                <w:rFonts w:hint="eastAsia" w:asci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污染影响型评价工作等级划分表</w:t>
            </w:r>
          </w:p>
          <w:tbl>
            <w:tblPr>
              <w:tblStyle w:val="28"/>
              <w:tblpPr w:leftFromText="180" w:rightFromText="180" w:vertAnchor="text" w:tblpXSpec="center" w:tblpY="1"/>
              <w:tblOverlap w:val="never"/>
              <w:tblW w:w="90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831"/>
              <w:gridCol w:w="816"/>
              <w:gridCol w:w="741"/>
              <w:gridCol w:w="787"/>
              <w:gridCol w:w="845"/>
              <w:gridCol w:w="817"/>
              <w:gridCol w:w="831"/>
              <w:gridCol w:w="891"/>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02" w:type="dxa"/>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1416046592" behindDoc="0" locked="0" layoutInCell="1" allowOverlap="1">
                            <wp:simplePos x="0" y="0"/>
                            <wp:positionH relativeFrom="column">
                              <wp:posOffset>325755</wp:posOffset>
                            </wp:positionH>
                            <wp:positionV relativeFrom="paragraph">
                              <wp:posOffset>9525</wp:posOffset>
                            </wp:positionV>
                            <wp:extent cx="752475" cy="600075"/>
                            <wp:effectExtent l="3175" t="3810" r="6350" b="5715"/>
                            <wp:wrapNone/>
                            <wp:docPr id="105" name="直接连接符 105"/>
                            <wp:cNvGraphicFramePr/>
                            <a:graphic xmlns:a="http://schemas.openxmlformats.org/drawingml/2006/main">
                              <a:graphicData uri="http://schemas.microsoft.com/office/word/2010/wordprocessingShape">
                                <wps:wsp>
                                  <wps:cNvCnPr/>
                                  <wps:spPr>
                                    <a:xfrm flipH="1" flipV="1">
                                      <a:off x="0" y="0"/>
                                      <a:ext cx="752475" cy="6000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25.65pt;margin-top:0.75pt;height:47.25pt;width:59.25pt;z-index:1416046592;mso-width-relative:page;mso-height-relative:page;" filled="f" stroked="t" coordsize="21600,21600" o:gfxdata="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MbRX&#10;0gAAAAcBAAAPAAAAAAAAAAEAIAAAACIAAABkcnMvZG93bnJldi54bWxQSwECFAAUAAAACACHTuJA&#10;HRO18e4BAADAAwAADgAAAAAAAAABACAAAAAhAQAAZHJzL2Uyb0RvYy54bWxQSwUGAAAAAAYABgBZ&#10;AQAAgQ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kern w:val="2"/>
                      <w:sz w:val="21"/>
                      <w:szCs w:val="21"/>
                      <w:vertAlign w:val="baseline"/>
                      <w:lang w:val="en-US" w:eastAsia="zh-CN" w:bidi="ar-SA"/>
                    </w:rPr>
                    <w:t xml:space="preserve">    占地规模</w:t>
                  </w:r>
                </w:p>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1416047616" behindDoc="0" locked="0" layoutInCell="1" allowOverlap="1">
                            <wp:simplePos x="0" y="0"/>
                            <wp:positionH relativeFrom="column">
                              <wp:posOffset>-64770</wp:posOffset>
                            </wp:positionH>
                            <wp:positionV relativeFrom="paragraph">
                              <wp:posOffset>124460</wp:posOffset>
                            </wp:positionV>
                            <wp:extent cx="1143000" cy="276225"/>
                            <wp:effectExtent l="1270" t="4445" r="17780" b="5080"/>
                            <wp:wrapNone/>
                            <wp:docPr id="104" name="直接连接符 104"/>
                            <wp:cNvGraphicFramePr/>
                            <a:graphic xmlns:a="http://schemas.openxmlformats.org/drawingml/2006/main">
                              <a:graphicData uri="http://schemas.microsoft.com/office/word/2010/wordprocessingShape">
                                <wps:wsp>
                                  <wps:cNvCnPr/>
                                  <wps:spPr>
                                    <a:xfrm flipH="1" flipV="1">
                                      <a:off x="0" y="0"/>
                                      <a:ext cx="1143000" cy="2762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1pt;margin-top:9.8pt;height:21.75pt;width:90pt;z-index:1416047616;mso-width-relative:page;mso-height-relative:page;" filled="f" stroked="t" coordsize="21600,21600" o:gfxdata="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PUHd9QAAAAJAQAADwAAAAAAAAABACAAAAAiAAAAZHJzL2Rvd25yZXYueG1sUEsBAhQAFAAAAAgA&#10;h07iQF1jvF/wAQAAwQMAAA4AAAAAAAAAAQAgAAAAIwEAAGRycy9lMm9Eb2MueG1sUEsFBgAAAAAG&#10;AAYAWQEAAIUFA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kern w:val="2"/>
                      <w:sz w:val="21"/>
                      <w:szCs w:val="21"/>
                      <w:vertAlign w:val="baseline"/>
                      <w:lang w:val="en-US" w:eastAsia="zh-CN" w:bidi="ar-SA"/>
                    </w:rPr>
                    <w:t>评价等级</w:t>
                  </w:r>
                </w:p>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敏感程度</w:t>
                  </w:r>
                </w:p>
              </w:tc>
              <w:tc>
                <w:tcPr>
                  <w:tcW w:w="2388" w:type="dxa"/>
                  <w:gridSpan w:val="3"/>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Ⅰ类</w:t>
                  </w:r>
                </w:p>
              </w:tc>
              <w:tc>
                <w:tcPr>
                  <w:tcW w:w="2449" w:type="dxa"/>
                  <w:gridSpan w:val="3"/>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Ⅱ类</w:t>
                  </w:r>
                </w:p>
              </w:tc>
              <w:tc>
                <w:tcPr>
                  <w:tcW w:w="2387" w:type="dxa"/>
                  <w:gridSpan w:val="3"/>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02" w:type="dxa"/>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83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大</w:t>
                  </w:r>
                </w:p>
              </w:tc>
              <w:tc>
                <w:tcPr>
                  <w:tcW w:w="81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中</w:t>
                  </w:r>
                </w:p>
              </w:tc>
              <w:tc>
                <w:tcPr>
                  <w:tcW w:w="74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小</w:t>
                  </w:r>
                </w:p>
              </w:tc>
              <w:tc>
                <w:tcPr>
                  <w:tcW w:w="787"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大</w:t>
                  </w:r>
                </w:p>
              </w:tc>
              <w:tc>
                <w:tcPr>
                  <w:tcW w:w="8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中</w:t>
                  </w:r>
                </w:p>
              </w:tc>
              <w:tc>
                <w:tcPr>
                  <w:tcW w:w="817"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小</w:t>
                  </w:r>
                </w:p>
              </w:tc>
              <w:tc>
                <w:tcPr>
                  <w:tcW w:w="83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大</w:t>
                  </w:r>
                </w:p>
              </w:tc>
              <w:tc>
                <w:tcPr>
                  <w:tcW w:w="89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中</w:t>
                  </w:r>
                </w:p>
              </w:tc>
              <w:tc>
                <w:tcPr>
                  <w:tcW w:w="6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02"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敏感</w:t>
                  </w:r>
                </w:p>
              </w:tc>
              <w:tc>
                <w:tcPr>
                  <w:tcW w:w="83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一级</w:t>
                  </w:r>
                </w:p>
              </w:tc>
              <w:tc>
                <w:tcPr>
                  <w:tcW w:w="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一级</w:t>
                  </w: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一级</w:t>
                  </w:r>
                </w:p>
              </w:tc>
              <w:tc>
                <w:tcPr>
                  <w:tcW w:w="787"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83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6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02"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较敏感</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一级</w:t>
                  </w:r>
                </w:p>
              </w:tc>
              <w:tc>
                <w:tcPr>
                  <w:tcW w:w="81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一级</w:t>
                  </w: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8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89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6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02"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不敏感</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一级</w:t>
                  </w:r>
                </w:p>
              </w:tc>
              <w:tc>
                <w:tcPr>
                  <w:tcW w:w="81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二级</w:t>
                  </w:r>
                </w:p>
              </w:tc>
              <w:tc>
                <w:tcPr>
                  <w:tcW w:w="8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三级</w:t>
                  </w:r>
                </w:p>
              </w:tc>
              <w:tc>
                <w:tcPr>
                  <w:tcW w:w="891"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c>
                <w:tcPr>
                  <w:tcW w:w="6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26" w:type="dxa"/>
                  <w:gridSpan w:val="10"/>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注：“-”表示可不开展土壤环境影响评价工作</w:t>
                  </w:r>
                </w:p>
              </w:tc>
            </w:tr>
          </w:tbl>
          <w:p>
            <w:pPr>
              <w:pStyle w:val="38"/>
              <w:spacing w:line="360" w:lineRule="auto"/>
              <w:ind w:left="0" w:leftChars="0" w:firstLine="544" w:firstLineChars="200"/>
              <w:jc w:val="left"/>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lang w:val="en-US" w:eastAsia="zh-CN"/>
              </w:rPr>
              <w:t>依据</w:t>
            </w:r>
            <w:r>
              <w:rPr>
                <w:rFonts w:hint="default" w:ascii="Times New Roman" w:hAnsi="Times New Roman" w:eastAsia="宋体" w:cs="Times New Roman"/>
                <w:color w:val="auto"/>
                <w:lang w:eastAsia="zh-CN"/>
              </w:rPr>
              <w:t>《环境影</w:t>
            </w:r>
            <w:r>
              <w:rPr>
                <w:rFonts w:hint="default" w:ascii="Times New Roman" w:hAnsi="Times New Roman" w:eastAsia="宋体" w:cs="Times New Roman"/>
                <w:color w:val="auto"/>
                <w:sz w:val="24"/>
                <w:szCs w:val="24"/>
                <w:lang w:eastAsia="zh-CN"/>
              </w:rPr>
              <w:t>响评价技</w:t>
            </w:r>
            <w:r>
              <w:rPr>
                <w:rFonts w:hint="default" w:ascii="Times New Roman" w:hAnsi="Times New Roman" w:eastAsia="宋体" w:cs="Times New Roman"/>
                <w:color w:val="auto"/>
                <w:kern w:val="2"/>
                <w:sz w:val="24"/>
                <w:szCs w:val="24"/>
                <w:vertAlign w:val="baseline"/>
                <w:lang w:val="en-US" w:eastAsia="zh-CN" w:bidi="ar-SA"/>
              </w:rPr>
              <w:t>术导则-土壤环境（试行）》（HJ964-2018）中污染影响型评价工作等级划分表</w:t>
            </w:r>
            <w:r>
              <w:rPr>
                <w:rFonts w:hint="default" w:ascii="Times New Roman" w:hAnsi="Times New Roman" w:eastAsia="宋体" w:cs="Times New Roman"/>
                <w:b w:val="0"/>
                <w:bCs w:val="0"/>
                <w:color w:val="auto"/>
                <w:sz w:val="24"/>
                <w:szCs w:val="24"/>
                <w:lang w:val="en-US" w:eastAsia="zh-CN"/>
              </w:rPr>
              <w:t>可</w:t>
            </w:r>
            <w:r>
              <w:rPr>
                <w:rFonts w:hint="default" w:ascii="Times New Roman" w:hAnsi="Times New Roman" w:eastAsia="宋体" w:cs="Times New Roman"/>
                <w:color w:val="auto"/>
                <w:sz w:val="24"/>
                <w:szCs w:val="24"/>
                <w:lang w:val="en-US" w:eastAsia="zh-CN"/>
              </w:rPr>
              <w:t>知，本项目</w:t>
            </w:r>
            <w:r>
              <w:rPr>
                <w:rFonts w:hint="default" w:ascii="Times New Roman" w:hAnsi="Times New Roman" w:eastAsia="宋体" w:cs="Times New Roman"/>
                <w:color w:val="auto"/>
                <w:kern w:val="2"/>
                <w:sz w:val="24"/>
                <w:szCs w:val="24"/>
                <w:vertAlign w:val="baseline"/>
                <w:lang w:val="en-US" w:eastAsia="zh-CN" w:bidi="ar-SA"/>
              </w:rPr>
              <w:t>可不开展土壤环境影响评价工作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FF0000"/>
                <w:sz w:val="24"/>
                <w:szCs w:val="24"/>
                <w:lang w:val="en-US" w:eastAsia="zh-CN"/>
              </w:rPr>
              <w:t xml:space="preserve">        </w:t>
            </w:r>
          </w:p>
          <w:p>
            <w:pPr>
              <w:pStyle w:val="59"/>
              <w:numPr>
                <w:ilvl w:val="0"/>
                <w:numId w:val="5"/>
              </w:numPr>
              <w:ind w:firstLine="544" w:firstLineChars="200"/>
              <w:rPr>
                <w:rFonts w:hint="default" w:ascii="Times New Roman" w:hAnsi="Times New Roman" w:eastAsia="宋体" w:cs="Times New Roman"/>
                <w:color w:val="auto"/>
                <w:spacing w:val="16"/>
                <w:kern w:val="0"/>
                <w:sz w:val="24"/>
                <w:szCs w:val="24"/>
                <w:lang w:val="en-US" w:eastAsia="zh-CN" w:bidi="ar-SA"/>
              </w:rPr>
            </w:pPr>
            <w:r>
              <w:rPr>
                <w:rFonts w:hint="default" w:ascii="Times New Roman" w:hAnsi="Times New Roman" w:eastAsia="宋体" w:cs="Times New Roman"/>
                <w:color w:val="auto"/>
                <w:spacing w:val="16"/>
                <w:kern w:val="0"/>
                <w:sz w:val="24"/>
                <w:szCs w:val="24"/>
                <w:lang w:val="en-US" w:eastAsia="zh-CN" w:bidi="ar-SA"/>
              </w:rPr>
              <w:t>与《挥发性有机物无组织排放控制标准》的符合性分析</w:t>
            </w:r>
          </w:p>
          <w:p>
            <w:pPr>
              <w:pStyle w:val="59"/>
              <w:numPr>
                <w:ilvl w:val="0"/>
                <w:numId w:val="0"/>
              </w:numPr>
              <w:ind w:firstLine="480" w:firstLineChars="200"/>
              <w:rPr>
                <w:rFonts w:hint="default" w:ascii="Times New Roman" w:hAnsi="Times New Roman" w:eastAsia="宋体" w:cs="Times New Roman"/>
                <w:color w:val="auto"/>
                <w:spacing w:val="16"/>
                <w:kern w:val="0"/>
                <w:sz w:val="24"/>
                <w:szCs w:val="24"/>
                <w:lang w:val="en-US" w:eastAsia="zh-CN" w:bidi="ar-SA"/>
              </w:rPr>
            </w:pPr>
            <w:r>
              <w:rPr>
                <w:rFonts w:hint="default" w:ascii="Times New Roman" w:hAnsi="Times New Roman" w:eastAsia="宋体" w:cs="Times New Roman"/>
                <w:color w:val="auto"/>
                <w:sz w:val="24"/>
                <w:szCs w:val="24"/>
                <w:highlight w:val="none"/>
              </w:rPr>
              <w:t>本项目的非甲烷总烃的排放属于无组织排放，不涉及有组织废气排放，因此只进行非甲烷总烃废气的无组织排放分析。本项目非甲烷总烃排放量为</w:t>
            </w: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color w:val="auto"/>
                <w:sz w:val="24"/>
                <w:szCs w:val="24"/>
                <w:highlight w:val="none"/>
              </w:rPr>
              <w:t>t/a，应用AERSCREEN估算模型进行预测，厂界外最大浓度为</w:t>
            </w:r>
            <w:r>
              <w:rPr>
                <w:rFonts w:hint="default" w:ascii="Times New Roman" w:hAnsi="Times New Roman" w:eastAsia="宋体" w:cs="Times New Roman"/>
                <w:color w:val="auto"/>
                <w:sz w:val="24"/>
                <w:szCs w:val="24"/>
                <w:highlight w:val="none"/>
                <w:lang w:eastAsia="zh-CN"/>
              </w:rPr>
              <w:t>0.18422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无组织非甲烷总烃厂房外监控点处1h平均浓度值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和厂房外监控点处任意一次浓度值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同时满足《挥发性有机物无组织排放控制标准》（GB37822-2019)表A.1厂区内VOC</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无组织排放限值要求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对周围环境影响较小</w:t>
            </w:r>
            <w:r>
              <w:rPr>
                <w:rFonts w:hint="default" w:ascii="Times New Roman" w:hAnsi="Times New Roman" w:eastAsia="宋体" w:cs="Times New Roman"/>
                <w:color w:val="auto"/>
                <w:sz w:val="24"/>
                <w:szCs w:val="24"/>
                <w:highlight w:val="none"/>
                <w:lang w:val="en-US" w:eastAsia="zh-CN"/>
              </w:rPr>
              <w:t>。</w:t>
            </w:r>
          </w:p>
          <w:p>
            <w:pPr>
              <w:pStyle w:val="59"/>
              <w:numPr>
                <w:ilvl w:val="0"/>
                <w:numId w:val="5"/>
              </w:numPr>
              <w:ind w:firstLine="544" w:firstLineChars="200"/>
              <w:rPr>
                <w:rFonts w:hint="default" w:ascii="Times New Roman" w:hAnsi="Times New Roman" w:eastAsia="宋体" w:cs="Times New Roman"/>
                <w:color w:val="auto"/>
                <w:spacing w:val="16"/>
                <w:kern w:val="0"/>
                <w:sz w:val="24"/>
                <w:szCs w:val="20"/>
                <w:lang w:val="en-US" w:eastAsia="zh-CN" w:bidi="ar-SA"/>
              </w:rPr>
            </w:pPr>
            <w:r>
              <w:rPr>
                <w:rFonts w:hint="default" w:ascii="Times New Roman" w:hAnsi="Times New Roman" w:eastAsia="宋体" w:cs="Times New Roman"/>
                <w:color w:val="auto"/>
                <w:spacing w:val="16"/>
                <w:kern w:val="0"/>
                <w:sz w:val="24"/>
                <w:szCs w:val="20"/>
                <w:lang w:val="en-US" w:eastAsia="zh-CN" w:bidi="ar-SA"/>
              </w:rPr>
              <w:t>与《重点行业挥发性有机物综合治理方案》的符合性分析</w:t>
            </w:r>
          </w:p>
          <w:p>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本项目相关的第五条表述：油品储运销VOCs综合治理，加大汽油（含乙醇汽油）、石脑油、煤油（含航空煤油）以及原油等VOCs排放控制，重点推进加油站、油罐车、储油库油气回收治理。重点区域还应推进油船油气回收治理工作。</w:t>
            </w:r>
          </w:p>
          <w:p>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深化加油站油气回收工作。O</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污染较重的地区，行政区域内大力推进加油站储油、加油油气回收治理工作，重点区域2019年年底前基本完成。埋地油罐全面采用电子液位仪进行汽油密闭测量。规范油气回收设施运行，自行或聘请第三方加强加油枪气液比、系统密闭性及管线液阻等检查，提高检测频次，重点区域原则上每半年开展一次，确保油气回收系统正常运行。重点区域加快推进年销售汽油量大于5000吨的加油站安装油气回收自动监控设备，并与生态环境部门联网，2020年年底前基本完成。</w:t>
            </w:r>
          </w:p>
          <w:p>
            <w:pPr>
              <w:spacing w:line="360" w:lineRule="auto"/>
              <w:ind w:firstLine="480" w:firstLineChars="200"/>
              <w:rPr>
                <w:rFonts w:hint="default" w:ascii="Times New Roman" w:hAnsi="Times New Roman" w:eastAsia="宋体" w:cs="Times New Roman"/>
                <w:color w:val="auto"/>
                <w:spacing w:val="16"/>
                <w:kern w:val="0"/>
                <w:sz w:val="24"/>
                <w:szCs w:val="20"/>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本项目为加油站项目，</w:t>
            </w:r>
            <w:r>
              <w:rPr>
                <w:rFonts w:hint="default" w:ascii="Times New Roman" w:hAnsi="Times New Roman" w:eastAsia="宋体" w:cs="Times New Roman"/>
                <w:bCs/>
                <w:color w:val="auto"/>
                <w:sz w:val="24"/>
                <w:szCs w:val="24"/>
              </w:rPr>
              <w:t>本项目拟定建立二级油气回收系统对运营期间产生的非甲烷总烃进行回收。油气回收工艺包括两个阶段，一阶段油气回收系统是指采用密闭卸车方式将油料从油罐车卸进地下储油罐时，油罐内油气返回到油罐车的气相平衡式油气回收系统。二阶段油气回收系统是真空辅助式油气回收系统。利用真空泵的外力将加油作业过程中逃逸出来的油气回收到储油罐的回收系统。油气回收系统的油气回收率高于90%，回收的油气最终通过油罐车将油气带回油库进行处理，达到油气回收目的</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kern w:val="2"/>
                <w:sz w:val="24"/>
                <w:szCs w:val="24"/>
                <w:highlight w:val="none"/>
                <w:lang w:val="en-US" w:eastAsia="zh-CN" w:bidi="ar-SA"/>
              </w:rPr>
              <w:t>埋地油罐全面采用电子液位仪进行汽油密闭测量，自行或聘请第三方加强加油枪气液比、系统密闭性及管线液阻等检查，提高检测频次，重点区域原则上每半年开展一次，确保油气回收系统正常运行。本项目</w:t>
            </w:r>
            <w:r>
              <w:rPr>
                <w:rFonts w:hint="default" w:ascii="Times New Roman" w:hAnsi="Times New Roman" w:eastAsia="宋体" w:cs="Times New Roman"/>
                <w:color w:val="auto"/>
                <w:sz w:val="24"/>
                <w:szCs w:val="24"/>
              </w:rPr>
              <w:t>年销售成品油</w:t>
            </w:r>
            <w:r>
              <w:rPr>
                <w:rFonts w:hint="default" w:ascii="Times New Roman" w:hAnsi="Times New Roman" w:eastAsia="宋体" w:cs="Times New Roman"/>
                <w:color w:val="auto"/>
                <w:sz w:val="24"/>
                <w:szCs w:val="24"/>
                <w:lang w:val="en-US" w:eastAsia="zh-CN"/>
              </w:rPr>
              <w:t xml:space="preserve">3000 </w:t>
            </w:r>
            <w:r>
              <w:rPr>
                <w:rFonts w:hint="default" w:ascii="Times New Roman" w:hAnsi="Times New Roman" w:eastAsia="宋体" w:cs="Times New Roman"/>
                <w:color w:val="auto"/>
                <w:sz w:val="24"/>
                <w:szCs w:val="24"/>
              </w:rPr>
              <w:t>t/a，其中</w:t>
            </w:r>
            <w:r>
              <w:rPr>
                <w:rFonts w:hint="default" w:ascii="Times New Roman" w:hAnsi="Times New Roman" w:eastAsia="宋体" w:cs="Times New Roman"/>
                <w:bCs/>
                <w:color w:val="auto"/>
                <w:sz w:val="24"/>
                <w:szCs w:val="24"/>
              </w:rPr>
              <w:t>柴油</w:t>
            </w:r>
            <w:r>
              <w:rPr>
                <w:rFonts w:hint="default" w:ascii="Times New Roman" w:hAnsi="Times New Roman" w:eastAsia="宋体" w:cs="Times New Roman"/>
                <w:color w:val="auto"/>
                <w:sz w:val="24"/>
                <w:szCs w:val="24"/>
              </w:rPr>
              <w:t>销售</w:t>
            </w:r>
            <w:r>
              <w:rPr>
                <w:rFonts w:hint="default" w:ascii="Times New Roman" w:hAnsi="Times New Roman" w:eastAsia="宋体" w:cs="Times New Roman"/>
                <w:color w:val="auto"/>
                <w:sz w:val="24"/>
                <w:szCs w:val="24"/>
                <w:lang w:val="en-US" w:eastAsia="zh-CN"/>
              </w:rPr>
              <w:t xml:space="preserve">1000 </w:t>
            </w:r>
            <w:r>
              <w:rPr>
                <w:rFonts w:hint="default" w:ascii="Times New Roman" w:hAnsi="Times New Roman" w:eastAsia="宋体" w:cs="Times New Roman"/>
                <w:bCs/>
                <w:color w:val="auto"/>
                <w:sz w:val="24"/>
                <w:szCs w:val="24"/>
              </w:rPr>
              <w:t>t/a、汽油销售量</w:t>
            </w:r>
            <w:r>
              <w:rPr>
                <w:rFonts w:hint="default" w:ascii="Times New Roman" w:hAnsi="Times New Roman" w:eastAsia="宋体" w:cs="Times New Roman"/>
                <w:bCs/>
                <w:color w:val="auto"/>
                <w:sz w:val="24"/>
                <w:szCs w:val="24"/>
                <w:lang w:val="en-US" w:eastAsia="zh-CN"/>
              </w:rPr>
              <w:t>2000</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小于5000吨，因此本项目的建设符合</w:t>
            </w:r>
            <w:r>
              <w:rPr>
                <w:rFonts w:hint="default" w:ascii="Times New Roman" w:hAnsi="Times New Roman" w:eastAsia="宋体" w:cs="Times New Roman"/>
                <w:color w:val="auto"/>
                <w:spacing w:val="16"/>
                <w:kern w:val="0"/>
                <w:sz w:val="24"/>
                <w:szCs w:val="20"/>
                <w:lang w:val="en-US" w:eastAsia="zh-CN" w:bidi="ar-SA"/>
              </w:rPr>
              <w:t>《重点行业挥发性有机物综合治理方案》文件的要求。</w:t>
            </w:r>
          </w:p>
          <w:p>
            <w:pPr>
              <w:pStyle w:val="59"/>
              <w:numPr>
                <w:ilvl w:val="0"/>
                <w:numId w:val="5"/>
              </w:numPr>
              <w:spacing w:line="360" w:lineRule="auto"/>
              <w:ind w:firstLine="544" w:firstLineChars="200"/>
              <w:rPr>
                <w:rFonts w:hint="default" w:ascii="Times New Roman" w:hAnsi="Times New Roman" w:eastAsia="宋体" w:cs="Times New Roman"/>
                <w:color w:val="auto"/>
                <w:spacing w:val="16"/>
                <w:kern w:val="0"/>
                <w:sz w:val="24"/>
                <w:szCs w:val="20"/>
                <w:lang w:val="en-US" w:eastAsia="zh-CN" w:bidi="ar-SA"/>
              </w:rPr>
            </w:pPr>
            <w:r>
              <w:rPr>
                <w:rFonts w:hint="default" w:ascii="Times New Roman" w:hAnsi="Times New Roman" w:eastAsia="宋体" w:cs="Times New Roman"/>
                <w:color w:val="auto"/>
                <w:spacing w:val="16"/>
                <w:kern w:val="0"/>
                <w:sz w:val="24"/>
                <w:szCs w:val="20"/>
                <w:lang w:val="en-US" w:eastAsia="zh-CN" w:bidi="ar-SA"/>
              </w:rPr>
              <w:t>与《</w:t>
            </w:r>
            <w:r>
              <w:rPr>
                <w:rFonts w:hint="default" w:ascii="Times New Roman" w:hAnsi="Times New Roman" w:eastAsia="宋体" w:cs="Times New Roman"/>
                <w:color w:val="auto"/>
                <w:kern w:val="0"/>
                <w:sz w:val="24"/>
                <w:szCs w:val="24"/>
                <w:lang w:val="en-US" w:eastAsia="zh-CN" w:bidi="ar"/>
              </w:rPr>
              <w:t>黑龙江省重点行业挥发性有机物综合治理行动方案</w:t>
            </w:r>
            <w:r>
              <w:rPr>
                <w:rFonts w:hint="default" w:ascii="Times New Roman" w:hAnsi="Times New Roman" w:eastAsia="宋体" w:cs="Times New Roman"/>
                <w:color w:val="auto"/>
                <w:spacing w:val="16"/>
                <w:kern w:val="0"/>
                <w:sz w:val="24"/>
                <w:szCs w:val="20"/>
                <w:lang w:val="en-US" w:eastAsia="zh-CN" w:bidi="ar-SA"/>
              </w:rPr>
              <w:t>》的符合性分析</w:t>
            </w:r>
          </w:p>
          <w:p>
            <w:pPr>
              <w:pStyle w:val="34"/>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ascii="Times New Roman" w:eastAsia="宋体" w:cs="Times New Roman"/>
                <w:bCs/>
                <w:color w:val="auto"/>
                <w:kern w:val="2"/>
                <w:sz w:val="24"/>
                <w:szCs w:val="24"/>
                <w:lang w:val="en-US" w:eastAsia="zh-CN" w:bidi="ar-SA"/>
              </w:rPr>
              <w:t>根据</w:t>
            </w:r>
            <w:r>
              <w:rPr>
                <w:rFonts w:hint="default" w:ascii="Times New Roman" w:hAnsi="Times New Roman" w:eastAsia="宋体" w:cs="Times New Roman"/>
                <w:color w:val="auto"/>
                <w:spacing w:val="16"/>
                <w:kern w:val="0"/>
                <w:sz w:val="24"/>
                <w:szCs w:val="20"/>
                <w:lang w:val="en-US" w:eastAsia="zh-CN" w:bidi="ar-SA"/>
              </w:rPr>
              <w:t>《</w:t>
            </w:r>
            <w:r>
              <w:rPr>
                <w:rFonts w:hint="default" w:ascii="Times New Roman" w:hAnsi="Times New Roman" w:eastAsia="宋体" w:cs="Times New Roman"/>
                <w:color w:val="auto"/>
                <w:kern w:val="0"/>
                <w:sz w:val="24"/>
                <w:szCs w:val="24"/>
                <w:lang w:val="en-US" w:eastAsia="zh-CN" w:bidi="ar"/>
              </w:rPr>
              <w:t>黑龙江省重点行业挥发性有机物综合治理行动方案</w:t>
            </w:r>
            <w:r>
              <w:rPr>
                <w:rFonts w:hint="default" w:ascii="Times New Roman" w:hAnsi="Times New Roman" w:eastAsia="宋体" w:cs="Times New Roman"/>
                <w:color w:val="auto"/>
                <w:spacing w:val="16"/>
                <w:kern w:val="0"/>
                <w:sz w:val="24"/>
                <w:szCs w:val="20"/>
                <w:lang w:val="en-US" w:eastAsia="zh-CN" w:bidi="ar-SA"/>
              </w:rPr>
              <w:t>》</w:t>
            </w:r>
            <w:r>
              <w:rPr>
                <w:rFonts w:hint="eastAsia" w:ascii="Times New Roman" w:eastAsia="宋体" w:cs="Times New Roman"/>
                <w:color w:val="auto"/>
                <w:spacing w:val="16"/>
                <w:kern w:val="0"/>
                <w:sz w:val="24"/>
                <w:szCs w:val="20"/>
                <w:lang w:val="en-US" w:eastAsia="zh-CN" w:bidi="ar-SA"/>
              </w:rPr>
              <w:t>第四条，</w:t>
            </w:r>
            <w:r>
              <w:rPr>
                <w:rFonts w:hint="eastAsia" w:ascii="Times New Roman" w:hAnsi="Times New Roman" w:eastAsia="宋体" w:cs="Times New Roman"/>
                <w:bCs/>
                <w:color w:val="auto"/>
                <w:kern w:val="2"/>
                <w:sz w:val="24"/>
                <w:szCs w:val="24"/>
                <w:lang w:val="en-US" w:eastAsia="zh-CN" w:bidi="ar-SA"/>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default" w:ascii="Times New Roman" w:hAnsi="Times New Roman" w:eastAsia="宋体" w:cs="Times New Roman"/>
                <w:color w:val="auto"/>
                <w:kern w:val="2"/>
                <w:sz w:val="24"/>
                <w:szCs w:val="24"/>
                <w:highlight w:val="none"/>
                <w:lang w:val="en-US" w:eastAsia="zh-CN" w:bidi="ar-SA"/>
              </w:rPr>
              <w:t>本项目为加油站项目，</w:t>
            </w:r>
            <w:r>
              <w:rPr>
                <w:rFonts w:hint="default" w:ascii="Times New Roman" w:hAnsi="Times New Roman" w:eastAsia="宋体" w:cs="Times New Roman"/>
                <w:bCs/>
                <w:color w:val="auto"/>
                <w:sz w:val="24"/>
                <w:szCs w:val="24"/>
              </w:rPr>
              <w:t>本项目拟定建立二级油气回收系统对运营期间产生的非甲烷总烃进行回收。油气回收工艺包括两个阶段，一阶段油气回收系统是指采用密闭卸车方式将油料从油罐车卸进地下储油罐时，油罐内油气返回到油罐车的气相平衡式油气回收系统。二阶段油气回收系统是真空辅助式油气回收系统。利用真空泵的外力将加油作业过程中逃逸出来的油气回收到储油罐的回收系统。油气回收系统的油气回收率高于90%，回收的油气最终通过油罐车将油气带回油库进行处理，达到油气回收目的</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kern w:val="2"/>
                <w:sz w:val="24"/>
                <w:szCs w:val="24"/>
                <w:highlight w:val="none"/>
                <w:lang w:val="en-US" w:eastAsia="zh-CN" w:bidi="ar-SA"/>
              </w:rPr>
              <w:t>埋地油罐全面采用电子液位仪进行汽油密闭测量，自行或聘请第三方加强加油枪气液比、系统密闭性及管线液阻等检查，提高检测频次，重点区域原则上每半年开展一次，确保油气回收系统正常运行</w:t>
            </w:r>
            <w:r>
              <w:rPr>
                <w:rFonts w:hint="eastAsia" w:asci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sz w:val="24"/>
                <w:szCs w:val="24"/>
                <w:lang w:val="en-US" w:eastAsia="zh-CN"/>
              </w:rPr>
              <w:t>符合</w:t>
            </w:r>
            <w:r>
              <w:rPr>
                <w:rFonts w:hint="default" w:ascii="Times New Roman" w:hAnsi="Times New Roman" w:eastAsia="宋体" w:cs="Times New Roman"/>
                <w:color w:val="auto"/>
                <w:spacing w:val="16"/>
                <w:kern w:val="0"/>
                <w:sz w:val="24"/>
                <w:szCs w:val="20"/>
                <w:lang w:val="en-US" w:eastAsia="zh-CN" w:bidi="ar-SA"/>
              </w:rPr>
              <w:t>《</w:t>
            </w:r>
            <w:r>
              <w:rPr>
                <w:rFonts w:hint="default" w:ascii="Times New Roman" w:hAnsi="Times New Roman" w:eastAsia="宋体" w:cs="Times New Roman"/>
                <w:color w:val="auto"/>
                <w:kern w:val="0"/>
                <w:sz w:val="24"/>
                <w:szCs w:val="24"/>
                <w:lang w:val="en-US" w:eastAsia="zh-CN" w:bidi="ar"/>
              </w:rPr>
              <w:t>黑龙江省重点行业挥发性有机物综合治理行动方案</w:t>
            </w:r>
            <w:r>
              <w:rPr>
                <w:rFonts w:hint="default" w:ascii="Times New Roman" w:hAnsi="Times New Roman" w:eastAsia="宋体" w:cs="Times New Roman"/>
                <w:color w:val="auto"/>
                <w:spacing w:val="16"/>
                <w:kern w:val="0"/>
                <w:sz w:val="24"/>
                <w:szCs w:val="20"/>
                <w:lang w:val="en-US" w:eastAsia="zh-CN" w:bidi="ar-SA"/>
              </w:rPr>
              <w:t>》文件的要求。</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环境影响分析小结：</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本项目在认真落实评价中提出的污染防治措施的基础上，运行期产生的各种污染物可以得到有效治理，实现达标排放，对建设地点周围环境影响轻微，从环境保护角度分析，本项目建设可行。</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三、总量控制</w:t>
            </w:r>
          </w:p>
          <w:p>
            <w:pPr>
              <w:spacing w:line="440" w:lineRule="exact"/>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中国石油天然气股份有限公司黑龙江佳木斯同江经营部第三加油站</w:t>
            </w:r>
            <w:r>
              <w:rPr>
                <w:rFonts w:hint="default" w:ascii="Times New Roman" w:hAnsi="Times New Roman" w:eastAsia="宋体" w:cs="Times New Roman"/>
                <w:color w:val="auto"/>
                <w:sz w:val="24"/>
                <w:szCs w:val="24"/>
                <w:highlight w:val="none"/>
              </w:rPr>
              <w:t>站房冬季供暖</w:t>
            </w:r>
            <w:r>
              <w:rPr>
                <w:rFonts w:hint="default" w:ascii="Times New Roman" w:hAnsi="Times New Roman" w:eastAsia="宋体" w:cs="Times New Roman"/>
                <w:color w:val="auto"/>
                <w:sz w:val="24"/>
                <w:szCs w:val="24"/>
              </w:rPr>
              <w:t>采取</w:t>
            </w:r>
            <w:r>
              <w:rPr>
                <w:rFonts w:hint="default" w:ascii="Times New Roman" w:hAnsi="Times New Roman" w:eastAsia="宋体" w:cs="Times New Roman"/>
                <w:color w:val="auto"/>
                <w:sz w:val="24"/>
                <w:szCs w:val="24"/>
                <w:lang w:val="en-US" w:eastAsia="zh-CN"/>
              </w:rPr>
              <w:t>电取暖</w:t>
            </w:r>
            <w:r>
              <w:rPr>
                <w:rFonts w:hint="default" w:ascii="Times New Roman" w:hAnsi="Times New Roman" w:eastAsia="宋体" w:cs="Times New Roman"/>
                <w:color w:val="auto"/>
                <w:sz w:val="24"/>
                <w:szCs w:val="24"/>
                <w:highlight w:val="none"/>
              </w:rPr>
              <w:t>，项目运营期间不排放颗粒物、SO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和NO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；运营期</w:t>
            </w: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r>
              <w:rPr>
                <w:rFonts w:hint="default" w:ascii="Times New Roman" w:hAnsi="Times New Roman" w:eastAsia="宋体" w:cs="Times New Roman"/>
                <w:color w:val="auto"/>
                <w:kern w:val="2"/>
                <w:sz w:val="24"/>
                <w:szCs w:val="24"/>
                <w:lang w:val="en-US" w:eastAsia="zh-CN" w:bidi="ar-SA"/>
              </w:rPr>
              <w:t>。本</w:t>
            </w:r>
            <w:r>
              <w:rPr>
                <w:rFonts w:hint="default" w:ascii="Times New Roman" w:hAnsi="Times New Roman" w:eastAsia="宋体" w:cs="Times New Roman"/>
                <w:color w:val="auto"/>
                <w:sz w:val="24"/>
                <w:szCs w:val="24"/>
                <w:highlight w:val="none"/>
              </w:rPr>
              <w:t>项目总量控制因子排放总量详见下表。</w:t>
            </w:r>
          </w:p>
          <w:p>
            <w:pPr>
              <w:spacing w:line="520" w:lineRule="exact"/>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表7-1</w:t>
            </w:r>
            <w:r>
              <w:rPr>
                <w:rFonts w:hint="eastAsia"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污染物排放总量表（t/a）</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3375"/>
              <w:gridCol w:w="3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15"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类别</w:t>
                  </w:r>
                </w:p>
              </w:tc>
              <w:tc>
                <w:tcPr>
                  <w:tcW w:w="1870"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1813" w:type="pct"/>
                  <w:tcBorders>
                    <w:tl2br w:val="nil"/>
                    <w:tr2bl w:val="nil"/>
                  </w:tcBorders>
                  <w:vAlign w:val="center"/>
                </w:tcPr>
                <w:p>
                  <w:pPr>
                    <w:spacing w:line="300" w:lineRule="exact"/>
                    <w:jc w:val="center"/>
                    <w:textAlignment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sz w:val="21"/>
                      <w:szCs w:val="21"/>
                      <w:highlight w:val="none"/>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315"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1870"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rPr>
                    <w:t>VOCs</w:t>
                  </w:r>
                </w:p>
              </w:tc>
              <w:tc>
                <w:tcPr>
                  <w:tcW w:w="1813"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2"/>
                      <w:sz w:val="21"/>
                      <w:szCs w:val="21"/>
                      <w:lang w:val="en-US" w:eastAsia="zh-CN"/>
                    </w:rPr>
                    <w:t>4.141</w:t>
                  </w:r>
                </w:p>
              </w:tc>
            </w:tr>
          </w:tbl>
          <w:p>
            <w:pPr>
              <w:tabs>
                <w:tab w:val="left" w:pos="280"/>
              </w:tabs>
              <w:spacing w:line="440" w:lineRule="exact"/>
              <w:ind w:firstLine="482" w:firstLineChars="200"/>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四、环保“三同时”竣工验收</w:t>
            </w:r>
          </w:p>
          <w:p>
            <w:pPr>
              <w:spacing w:line="440" w:lineRule="exact"/>
              <w:ind w:firstLine="468" w:firstLineChars="195"/>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环保“三同时”竣工验收见表7-1</w:t>
            </w:r>
            <w:r>
              <w:rPr>
                <w:rFonts w:hint="eastAsia" w:ascii="Times New Roman" w:hAnsi="Times New Roman" w:eastAsia="宋体" w:cs="Times New Roman"/>
                <w:bCs/>
                <w:color w:val="auto"/>
                <w:szCs w:val="21"/>
                <w:highlight w:val="none"/>
                <w:lang w:val="en-US" w:eastAsia="zh-CN"/>
              </w:rPr>
              <w:t>6</w:t>
            </w:r>
            <w:r>
              <w:rPr>
                <w:rFonts w:hint="default" w:ascii="Times New Roman" w:hAnsi="Times New Roman" w:eastAsia="宋体" w:cs="Times New Roman"/>
                <w:bCs/>
                <w:color w:val="auto"/>
                <w:szCs w:val="21"/>
                <w:highlight w:val="none"/>
              </w:rPr>
              <w:t>。</w:t>
            </w:r>
          </w:p>
          <w:p>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表7-1</w:t>
            </w:r>
            <w:r>
              <w:rPr>
                <w:rFonts w:hint="eastAsia" w:ascii="Times New Roman" w:hAnsi="Times New Roman" w:eastAsia="宋体" w:cs="Times New Roman"/>
                <w:b/>
                <w:color w:val="auto"/>
                <w:highlight w:val="none"/>
                <w:lang w:val="en-US" w:eastAsia="zh-CN"/>
              </w:rPr>
              <w:t>6</w:t>
            </w:r>
            <w:r>
              <w:rPr>
                <w:rFonts w:hint="default" w:ascii="Times New Roman" w:hAnsi="Times New Roman" w:eastAsia="宋体" w:cs="Times New Roman"/>
                <w:b/>
                <w:color w:val="auto"/>
                <w:highlight w:val="none"/>
              </w:rPr>
              <w:t xml:space="preserve"> 环保“三同时”竣工验收一览表</w:t>
            </w:r>
          </w:p>
          <w:tbl>
            <w:tblPr>
              <w:tblStyle w:val="27"/>
              <w:tblW w:w="90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2834"/>
              <w:gridCol w:w="3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Align w:val="center"/>
                </w:tcPr>
                <w:p>
                  <w:pPr>
                    <w:spacing w:line="240" w:lineRule="auto"/>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环境要素</w:t>
                  </w:r>
                </w:p>
              </w:tc>
              <w:tc>
                <w:tcPr>
                  <w:tcW w:w="1134" w:type="dxa"/>
                  <w:vAlign w:val="center"/>
                </w:tcPr>
                <w:p>
                  <w:pPr>
                    <w:spacing w:line="240" w:lineRule="auto"/>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验收项目</w:t>
                  </w:r>
                </w:p>
              </w:tc>
              <w:tc>
                <w:tcPr>
                  <w:tcW w:w="2834" w:type="dxa"/>
                  <w:vAlign w:val="center"/>
                </w:tcPr>
                <w:p>
                  <w:pPr>
                    <w:spacing w:line="240" w:lineRule="auto"/>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验收内容</w:t>
                  </w:r>
                </w:p>
              </w:tc>
              <w:tc>
                <w:tcPr>
                  <w:tcW w:w="3923" w:type="dxa"/>
                  <w:vAlign w:val="center"/>
                </w:tcPr>
                <w:p>
                  <w:pPr>
                    <w:spacing w:line="240" w:lineRule="auto"/>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大气环境</w:t>
                  </w:r>
                </w:p>
              </w:tc>
              <w:tc>
                <w:tcPr>
                  <w:tcW w:w="11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28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油气回收系统（汽油加油作业及大呼吸回收效率为90%）</w:t>
                  </w:r>
                </w:p>
              </w:tc>
              <w:tc>
                <w:tcPr>
                  <w:tcW w:w="3923"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厂界非甲烷总烃浓度满足《大气污染物综合排放标准》（GB16297-1996）表2中无组织排放监控浓度限值要求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水环境</w:t>
                  </w:r>
                </w:p>
              </w:tc>
              <w:tc>
                <w:tcPr>
                  <w:tcW w:w="11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生活污水</w:t>
                  </w:r>
                </w:p>
              </w:tc>
              <w:tc>
                <w:tcPr>
                  <w:tcW w:w="28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2"/>
                      <w:sz w:val="21"/>
                      <w:szCs w:val="21"/>
                      <w:lang w:val="en-US" w:eastAsia="zh-CN" w:bidi="ar-SA"/>
                    </w:rPr>
                    <w:t>生活污水经过防渗化粪池预处理后经过排水管网，进入同江市城市污水处理厂处理达标后排放松花江</w:t>
                  </w:r>
                </w:p>
              </w:tc>
              <w:tc>
                <w:tcPr>
                  <w:tcW w:w="3923" w:type="dxa"/>
                  <w:vAlign w:val="center"/>
                </w:tcPr>
                <w:p>
                  <w:pPr>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2"/>
                      <w:sz w:val="21"/>
                      <w:szCs w:val="21"/>
                      <w:lang w:val="en-US" w:eastAsia="zh-CN" w:bidi="ar-SA"/>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w:t>
                  </w:r>
                </w:p>
              </w:tc>
              <w:tc>
                <w:tcPr>
                  <w:tcW w:w="11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28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限速行驶、选取低噪声设备，采取隔声、减振措施</w:t>
                  </w:r>
                </w:p>
              </w:tc>
              <w:tc>
                <w:tcPr>
                  <w:tcW w:w="3923"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北侧厂界噪声满足《工业企业厂界环境噪声排放标准》(GB12348-2008)表1中</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类标准，东侧、西侧、南侧厂界噪声满足《工业企业厂界环境噪声排放标准》(GB12348-2008)表1中</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vMerge w:val="restart"/>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固体废物</w:t>
                  </w:r>
                </w:p>
              </w:tc>
              <w:tc>
                <w:tcPr>
                  <w:tcW w:w="11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w:t>
                  </w:r>
                </w:p>
              </w:tc>
              <w:tc>
                <w:tcPr>
                  <w:tcW w:w="28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交由市政部门处理</w:t>
                  </w:r>
                </w:p>
              </w:tc>
              <w:tc>
                <w:tcPr>
                  <w:tcW w:w="3923" w:type="dxa"/>
                  <w:vMerge w:val="restart"/>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vMerge w:val="continue"/>
                  <w:vAlign w:val="center"/>
                </w:tcPr>
                <w:p>
                  <w:pPr>
                    <w:spacing w:line="240" w:lineRule="auto"/>
                    <w:jc w:val="center"/>
                    <w:rPr>
                      <w:rFonts w:hint="default" w:ascii="Times New Roman" w:hAnsi="Times New Roman" w:eastAsia="宋体" w:cs="Times New Roman"/>
                      <w:color w:val="auto"/>
                      <w:kern w:val="0"/>
                      <w:sz w:val="21"/>
                      <w:szCs w:val="21"/>
                      <w:highlight w:val="none"/>
                    </w:rPr>
                  </w:pPr>
                </w:p>
              </w:tc>
              <w:tc>
                <w:tcPr>
                  <w:tcW w:w="11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油罐底泥</w:t>
                  </w:r>
                </w:p>
              </w:tc>
              <w:tc>
                <w:tcPr>
                  <w:tcW w:w="2834"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交有资质单位处理</w:t>
                  </w:r>
                </w:p>
              </w:tc>
              <w:tc>
                <w:tcPr>
                  <w:tcW w:w="3923" w:type="dxa"/>
                  <w:vMerge w:val="continue"/>
                  <w:vAlign w:val="center"/>
                </w:tcPr>
                <w:p>
                  <w:pPr>
                    <w:spacing w:line="240" w:lineRule="auto"/>
                    <w:jc w:val="center"/>
                    <w:rPr>
                      <w:rFonts w:hint="default" w:ascii="Times New Roman" w:hAnsi="Times New Roman" w:eastAsia="宋体" w:cs="Times New Roman"/>
                      <w:color w:val="FF0000"/>
                      <w:kern w:val="0"/>
                      <w:sz w:val="21"/>
                      <w:szCs w:val="21"/>
                      <w:highlight w:val="none"/>
                    </w:rPr>
                  </w:pPr>
                </w:p>
              </w:tc>
            </w:tr>
          </w:tbl>
          <w:p>
            <w:pPr>
              <w:spacing w:before="163" w:beforeLines="50"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表7-1</w:t>
            </w:r>
            <w:r>
              <w:rPr>
                <w:rFonts w:hint="eastAsia" w:ascii="Times New Roman" w:hAnsi="Times New Roman" w:eastAsia="宋体" w:cs="Times New Roman"/>
                <w:b/>
                <w:color w:val="auto"/>
                <w:kern w:val="0"/>
                <w:sz w:val="21"/>
                <w:szCs w:val="21"/>
                <w:highlight w:val="none"/>
                <w:lang w:val="en-US" w:eastAsia="zh-CN"/>
              </w:rPr>
              <w:t>7</w:t>
            </w:r>
            <w:r>
              <w:rPr>
                <w:rFonts w:hint="default" w:ascii="Times New Roman" w:hAnsi="Times New Roman" w:eastAsia="宋体" w:cs="Times New Roman"/>
                <w:b/>
                <w:color w:val="auto"/>
                <w:kern w:val="0"/>
                <w:sz w:val="21"/>
                <w:szCs w:val="21"/>
                <w:highlight w:val="none"/>
              </w:rPr>
              <w:t xml:space="preserve"> 根据《储油库、加油站大气污染治理项目验收检测技术规范（HJ/T431-2008)》补充加油站环保设施现场检查内容一览表</w:t>
            </w:r>
          </w:p>
          <w:tbl>
            <w:tblPr>
              <w:tblStyle w:val="27"/>
              <w:tblW w:w="910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38"/>
              <w:gridCol w:w="2091"/>
              <w:gridCol w:w="3132"/>
              <w:gridCol w:w="22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加油站污染源</w:t>
                  </w: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环保设施</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现场检查主要内容</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restart"/>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卸 油</w:t>
                  </w: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浸没式卸油方式</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卸油管出油口距罐底高度</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溢流控制措施</w:t>
                  </w:r>
                </w:p>
              </w:tc>
              <w:tc>
                <w:tcPr>
                  <w:tcW w:w="3132"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类型、品牌、型号</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油气回收接口</w:t>
                  </w:r>
                </w:p>
              </w:tc>
              <w:tc>
                <w:tcPr>
                  <w:tcW w:w="3132"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截流阀、密封式快速接头</w:t>
                  </w:r>
                </w:p>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和帽盖</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DN100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Merge w:val="restart"/>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地下油气管线</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管线坡度</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直径</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≥DN50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restart"/>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储油</w:t>
                  </w: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压力／ 真空阀</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品牌、型号</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电子式液位计</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是否具有测漏功能</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宜选择测漏功能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restart"/>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加油</w:t>
                  </w: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油气回收系统</w:t>
                  </w:r>
                </w:p>
              </w:tc>
              <w:tc>
                <w:tcPr>
                  <w:tcW w:w="3132"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逐项检查技术评估报告包</w:t>
                  </w:r>
                </w:p>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含的设备</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回收型加油枪</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品牌、型号</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真空辅助方式</w:t>
                  </w:r>
                </w:p>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密闭收集</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加油时真空泵是否运转</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Merge w:val="restart"/>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油气回收管线</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管线坡度</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Merge w:val="continue"/>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直径</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≥DN50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2091"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拉断截止阀</w:t>
                  </w:r>
                </w:p>
              </w:tc>
              <w:tc>
                <w:tcPr>
                  <w:tcW w:w="3132"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品牌、型号</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FF0000"/>
                      <w:kern w:val="0"/>
                      <w:sz w:val="21"/>
                      <w:szCs w:val="21"/>
                      <w:highlight w:val="none"/>
                    </w:rPr>
                  </w:pPr>
                </w:p>
              </w:tc>
              <w:tc>
                <w:tcPr>
                  <w:tcW w:w="2091" w:type="dxa"/>
                  <w:vMerge w:val="restart"/>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油气排放处理装置</w:t>
                  </w:r>
                </w:p>
              </w:tc>
              <w:tc>
                <w:tcPr>
                  <w:tcW w:w="3132"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方法、品牌、型号、运行、</w:t>
                  </w:r>
                </w:p>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启动方式和范围、进口流量</w:t>
                  </w:r>
                </w:p>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计及记录流量和流量对应的</w:t>
                  </w:r>
                </w:p>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时间</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8" w:type="dxa"/>
                  <w:vMerge w:val="continue"/>
                  <w:vAlign w:val="center"/>
                </w:tcPr>
                <w:p>
                  <w:pPr>
                    <w:autoSpaceDE w:val="0"/>
                    <w:autoSpaceDN w:val="0"/>
                    <w:adjustRightInd w:val="0"/>
                    <w:jc w:val="center"/>
                    <w:rPr>
                      <w:rFonts w:hint="default" w:ascii="Times New Roman" w:hAnsi="Times New Roman" w:eastAsia="宋体" w:cs="Times New Roman"/>
                      <w:color w:val="FF0000"/>
                      <w:kern w:val="0"/>
                      <w:sz w:val="21"/>
                      <w:szCs w:val="21"/>
                      <w:highlight w:val="none"/>
                    </w:rPr>
                  </w:pPr>
                </w:p>
              </w:tc>
              <w:tc>
                <w:tcPr>
                  <w:tcW w:w="2091" w:type="dxa"/>
                  <w:vMerge w:val="continue"/>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p>
              </w:tc>
              <w:tc>
                <w:tcPr>
                  <w:tcW w:w="3132" w:type="dxa"/>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排气筒高度</w:t>
                  </w:r>
                </w:p>
              </w:tc>
              <w:tc>
                <w:tcPr>
                  <w:tcW w:w="2245" w:type="dxa"/>
                  <w:vAlign w:val="center"/>
                </w:tcPr>
                <w:p>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≥4m</w:t>
                  </w:r>
                </w:p>
              </w:tc>
            </w:tr>
          </w:tbl>
          <w:p>
            <w:pPr>
              <w:autoSpaceDE w:val="0"/>
              <w:autoSpaceDN w:val="0"/>
              <w:adjustRightInd w:val="0"/>
              <w:snapToGrid w:val="0"/>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环境监测计划见表7-1</w:t>
            </w:r>
            <w:r>
              <w:rPr>
                <w:rFonts w:hint="eastAsia" w:ascii="Times New Roman" w:hAnsi="Times New Roman" w:eastAsia="宋体" w:cs="Times New Roman"/>
                <w:color w:val="auto"/>
                <w:kern w:val="0"/>
                <w:highlight w:val="none"/>
                <w:lang w:val="en-US" w:eastAsia="zh-CN"/>
              </w:rPr>
              <w:t>8</w:t>
            </w:r>
            <w:r>
              <w:rPr>
                <w:rFonts w:hint="default" w:ascii="Times New Roman" w:hAnsi="Times New Roman" w:eastAsia="宋体" w:cs="Times New Roman"/>
                <w:color w:val="auto"/>
                <w:kern w:val="0"/>
                <w:highlight w:val="none"/>
              </w:rPr>
              <w:t>。</w:t>
            </w:r>
          </w:p>
          <w:p>
            <w:pPr>
              <w:pStyle w:val="8"/>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表7-1</w:t>
            </w:r>
            <w:r>
              <w:rPr>
                <w:rFonts w:hint="eastAsia" w:ascii="Times New Roman" w:hAnsi="Times New Roman" w:eastAsia="宋体" w:cs="Times New Roman"/>
                <w:b/>
                <w:color w:val="auto"/>
                <w:kern w:val="0"/>
                <w:sz w:val="21"/>
                <w:szCs w:val="21"/>
                <w:highlight w:val="none"/>
                <w:lang w:val="en-US" w:eastAsia="zh-CN"/>
              </w:rPr>
              <w:t>8</w:t>
            </w:r>
            <w:r>
              <w:rPr>
                <w:rFonts w:hint="default" w:ascii="Times New Roman" w:hAnsi="Times New Roman" w:eastAsia="宋体" w:cs="Times New Roman"/>
                <w:b/>
                <w:color w:val="auto"/>
                <w:kern w:val="0"/>
                <w:sz w:val="21"/>
                <w:szCs w:val="21"/>
                <w:highlight w:val="none"/>
              </w:rPr>
              <w:t xml:space="preserve">  环境监测计划一览表（大气、噪声、地下水）</w:t>
            </w:r>
          </w:p>
          <w:tbl>
            <w:tblPr>
              <w:tblStyle w:val="27"/>
              <w:tblW w:w="910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804"/>
              <w:gridCol w:w="1466"/>
              <w:gridCol w:w="1269"/>
              <w:gridCol w:w="3168"/>
              <w:gridCol w:w="18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804"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环境要素</w:t>
                  </w:r>
                </w:p>
              </w:tc>
              <w:tc>
                <w:tcPr>
                  <w:tcW w:w="1466"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监测项目</w:t>
                  </w:r>
                </w:p>
              </w:tc>
              <w:tc>
                <w:tcPr>
                  <w:tcW w:w="1269"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w:t>
                  </w: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监测项目分析方法</w:t>
                  </w:r>
                </w:p>
              </w:tc>
              <w:tc>
                <w:tcPr>
                  <w:tcW w:w="1899"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监测时间和频率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804"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1466" w:type="dxa"/>
                  <w:vAlign w:val="center"/>
                </w:tcPr>
                <w:p>
                  <w:pPr>
                    <w:pStyle w:val="49"/>
                    <w:spacing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1269" w:type="dxa"/>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加油站</w:t>
                  </w:r>
                </w:p>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上风向</w:t>
                  </w:r>
                </w:p>
                <w:p>
                  <w:pPr>
                    <w:pStyle w:val="49"/>
                    <w:spacing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加油站</w:t>
                  </w:r>
                </w:p>
                <w:p>
                  <w:pPr>
                    <w:pStyle w:val="49"/>
                    <w:spacing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下风向</w:t>
                  </w: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气象色谱法HJ/T38-1999</w:t>
                  </w:r>
                </w:p>
              </w:tc>
              <w:tc>
                <w:tcPr>
                  <w:tcW w:w="1899"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每季度监测1次，一次连续监测2天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804"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1466"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等效连续A声级</w:t>
                  </w:r>
                </w:p>
              </w:tc>
              <w:tc>
                <w:tcPr>
                  <w:tcW w:w="1269"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站区厂界外1m四周各一个点</w:t>
                  </w: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根据《工业企业厂界环境噪声排放标准》（GB12348-2008）的规定进行监测</w:t>
                  </w:r>
                </w:p>
              </w:tc>
              <w:tc>
                <w:tcPr>
                  <w:tcW w:w="1899"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每季度监测1次，一次连续监测2天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Merge w:val="restart"/>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804" w:type="dxa"/>
                  <w:vMerge w:val="restart"/>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地下水</w:t>
                  </w:r>
                </w:p>
              </w:tc>
              <w:tc>
                <w:tcPr>
                  <w:tcW w:w="1466"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石油类</w:t>
                  </w:r>
                </w:p>
              </w:tc>
              <w:tc>
                <w:tcPr>
                  <w:tcW w:w="1269" w:type="dxa"/>
                  <w:vMerge w:val="restart"/>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厂区内的跟踪监测</w:t>
                  </w:r>
                </w:p>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井</w:t>
                  </w: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红外分光光度法 HJ 637-2012</w:t>
                  </w:r>
                </w:p>
              </w:tc>
              <w:tc>
                <w:tcPr>
                  <w:tcW w:w="1899" w:type="dxa"/>
                  <w:vMerge w:val="restart"/>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每季度监测1次，一次连续监测1天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500" w:type="dxa"/>
                  <w:vMerge w:val="continue"/>
                  <w:vAlign w:val="center"/>
                </w:tcPr>
                <w:p>
                  <w:pPr>
                    <w:pStyle w:val="49"/>
                    <w:spacing w:line="300" w:lineRule="exact"/>
                    <w:ind w:firstLine="420"/>
                    <w:rPr>
                      <w:rFonts w:hint="default" w:ascii="Times New Roman" w:hAnsi="Times New Roman" w:eastAsia="宋体" w:cs="Times New Roman"/>
                      <w:color w:val="auto"/>
                      <w:kern w:val="0"/>
                      <w:sz w:val="21"/>
                      <w:szCs w:val="21"/>
                      <w:highlight w:val="none"/>
                    </w:rPr>
                  </w:pPr>
                </w:p>
              </w:tc>
              <w:tc>
                <w:tcPr>
                  <w:tcW w:w="804" w:type="dxa"/>
                  <w:vMerge w:val="continue"/>
                  <w:vAlign w:val="center"/>
                </w:tcPr>
                <w:p>
                  <w:pPr>
                    <w:pStyle w:val="49"/>
                    <w:spacing w:line="300" w:lineRule="exact"/>
                    <w:rPr>
                      <w:rFonts w:hint="default" w:ascii="Times New Roman" w:hAnsi="Times New Roman" w:eastAsia="宋体" w:cs="Times New Roman"/>
                      <w:color w:val="auto"/>
                      <w:kern w:val="0"/>
                      <w:sz w:val="21"/>
                      <w:szCs w:val="21"/>
                      <w:highlight w:val="none"/>
                    </w:rPr>
                  </w:pPr>
                </w:p>
              </w:tc>
              <w:tc>
                <w:tcPr>
                  <w:tcW w:w="1466"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苯、甲苯、乙苯、邻二甲苯、间（对）二甲苯</w:t>
                  </w:r>
                </w:p>
              </w:tc>
              <w:tc>
                <w:tcPr>
                  <w:tcW w:w="1269" w:type="dxa"/>
                  <w:vMerge w:val="continue"/>
                  <w:vAlign w:val="center"/>
                </w:tcPr>
                <w:p>
                  <w:pPr>
                    <w:pStyle w:val="49"/>
                    <w:spacing w:line="300" w:lineRule="exact"/>
                    <w:rPr>
                      <w:rFonts w:hint="default" w:ascii="Times New Roman" w:hAnsi="Times New Roman" w:eastAsia="宋体" w:cs="Times New Roman"/>
                      <w:color w:val="auto"/>
                      <w:kern w:val="0"/>
                      <w:sz w:val="21"/>
                      <w:szCs w:val="21"/>
                      <w:highlight w:val="none"/>
                    </w:rPr>
                  </w:pP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1、气相色谱法</w:t>
                  </w:r>
                </w:p>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2、吹脱捕集气相色谱法</w:t>
                  </w:r>
                </w:p>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3、GC/MS法</w:t>
                  </w:r>
                </w:p>
              </w:tc>
              <w:tc>
                <w:tcPr>
                  <w:tcW w:w="1899" w:type="dxa"/>
                  <w:vMerge w:val="continue"/>
                  <w:vAlign w:val="center"/>
                </w:tcPr>
                <w:p>
                  <w:pPr>
                    <w:pStyle w:val="49"/>
                    <w:spacing w:line="300" w:lineRule="exact"/>
                    <w:ind w:firstLine="420"/>
                    <w:rPr>
                      <w:rFonts w:hint="default" w:ascii="Times New Roman" w:hAnsi="Times New Roman" w:eastAsia="宋体"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00" w:type="dxa"/>
                  <w:vMerge w:val="continue"/>
                  <w:vAlign w:val="center"/>
                </w:tcPr>
                <w:p>
                  <w:pPr>
                    <w:pStyle w:val="49"/>
                    <w:spacing w:line="300" w:lineRule="exact"/>
                    <w:ind w:firstLine="420"/>
                    <w:rPr>
                      <w:rFonts w:hint="default" w:ascii="Times New Roman" w:hAnsi="Times New Roman" w:eastAsia="宋体" w:cs="Times New Roman"/>
                      <w:color w:val="auto"/>
                      <w:kern w:val="0"/>
                      <w:sz w:val="21"/>
                      <w:szCs w:val="21"/>
                      <w:highlight w:val="none"/>
                    </w:rPr>
                  </w:pPr>
                </w:p>
              </w:tc>
              <w:tc>
                <w:tcPr>
                  <w:tcW w:w="804" w:type="dxa"/>
                  <w:vMerge w:val="continue"/>
                  <w:vAlign w:val="center"/>
                </w:tcPr>
                <w:p>
                  <w:pPr>
                    <w:pStyle w:val="49"/>
                    <w:spacing w:line="300" w:lineRule="exact"/>
                    <w:rPr>
                      <w:rFonts w:hint="default" w:ascii="Times New Roman" w:hAnsi="Times New Roman" w:eastAsia="宋体" w:cs="Times New Roman"/>
                      <w:color w:val="auto"/>
                      <w:kern w:val="0"/>
                      <w:sz w:val="21"/>
                      <w:szCs w:val="21"/>
                      <w:highlight w:val="none"/>
                    </w:rPr>
                  </w:pPr>
                </w:p>
              </w:tc>
              <w:tc>
                <w:tcPr>
                  <w:tcW w:w="1466"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甲基叔丁基醚</w:t>
                  </w:r>
                </w:p>
              </w:tc>
              <w:tc>
                <w:tcPr>
                  <w:tcW w:w="1269" w:type="dxa"/>
                  <w:vMerge w:val="continue"/>
                  <w:vAlign w:val="center"/>
                </w:tcPr>
                <w:p>
                  <w:pPr>
                    <w:pStyle w:val="49"/>
                    <w:spacing w:line="300" w:lineRule="exact"/>
                    <w:rPr>
                      <w:rFonts w:hint="default" w:ascii="Times New Roman" w:hAnsi="Times New Roman" w:eastAsia="宋体" w:cs="Times New Roman"/>
                      <w:color w:val="auto"/>
                      <w:kern w:val="0"/>
                      <w:sz w:val="21"/>
                      <w:szCs w:val="21"/>
                      <w:highlight w:val="none"/>
                    </w:rPr>
                  </w:pP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静态顶空气相色谱测定方法</w:t>
                  </w:r>
                </w:p>
              </w:tc>
              <w:tc>
                <w:tcPr>
                  <w:tcW w:w="1899" w:type="dxa"/>
                  <w:vMerge w:val="continue"/>
                  <w:vAlign w:val="center"/>
                </w:tcPr>
                <w:p>
                  <w:pPr>
                    <w:pStyle w:val="49"/>
                    <w:spacing w:line="300" w:lineRule="exact"/>
                    <w:ind w:firstLine="420"/>
                    <w:rPr>
                      <w:rFonts w:hint="default" w:ascii="Times New Roman" w:hAnsi="Times New Roman" w:eastAsia="宋体" w:cs="Times New Roman"/>
                      <w:color w:val="auto"/>
                      <w:kern w:val="0"/>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00" w:type="dxa"/>
                  <w:vMerge w:val="continue"/>
                  <w:vAlign w:val="center"/>
                </w:tcPr>
                <w:p>
                  <w:pPr>
                    <w:pStyle w:val="49"/>
                    <w:spacing w:line="300" w:lineRule="exact"/>
                    <w:ind w:firstLine="420"/>
                    <w:rPr>
                      <w:rFonts w:hint="default" w:ascii="Times New Roman" w:hAnsi="Times New Roman" w:eastAsia="宋体" w:cs="Times New Roman"/>
                      <w:color w:val="auto"/>
                      <w:kern w:val="0"/>
                      <w:sz w:val="21"/>
                      <w:szCs w:val="21"/>
                      <w:highlight w:val="none"/>
                    </w:rPr>
                  </w:pPr>
                </w:p>
              </w:tc>
              <w:tc>
                <w:tcPr>
                  <w:tcW w:w="804" w:type="dxa"/>
                  <w:vMerge w:val="continue"/>
                  <w:vAlign w:val="center"/>
                </w:tcPr>
                <w:p>
                  <w:pPr>
                    <w:pStyle w:val="49"/>
                    <w:spacing w:line="300" w:lineRule="exact"/>
                    <w:rPr>
                      <w:rFonts w:hint="default" w:ascii="Times New Roman" w:hAnsi="Times New Roman" w:eastAsia="宋体" w:cs="Times New Roman"/>
                      <w:color w:val="auto"/>
                      <w:kern w:val="0"/>
                      <w:sz w:val="21"/>
                      <w:szCs w:val="21"/>
                      <w:highlight w:val="none"/>
                    </w:rPr>
                  </w:pPr>
                </w:p>
              </w:tc>
              <w:tc>
                <w:tcPr>
                  <w:tcW w:w="1466"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铅、二氯乙烷</w:t>
                  </w:r>
                </w:p>
              </w:tc>
              <w:tc>
                <w:tcPr>
                  <w:tcW w:w="1269" w:type="dxa"/>
                  <w:vMerge w:val="continue"/>
                  <w:vAlign w:val="center"/>
                </w:tcPr>
                <w:p>
                  <w:pPr>
                    <w:pStyle w:val="49"/>
                    <w:spacing w:line="300" w:lineRule="exact"/>
                    <w:rPr>
                      <w:rFonts w:hint="default" w:ascii="Times New Roman" w:hAnsi="Times New Roman" w:eastAsia="宋体" w:cs="Times New Roman"/>
                      <w:color w:val="auto"/>
                      <w:kern w:val="0"/>
                      <w:sz w:val="21"/>
                      <w:szCs w:val="21"/>
                      <w:highlight w:val="none"/>
                    </w:rPr>
                  </w:pPr>
                </w:p>
              </w:tc>
              <w:tc>
                <w:tcPr>
                  <w:tcW w:w="3168" w:type="dxa"/>
                  <w:vAlign w:val="center"/>
                </w:tcPr>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铅：EDTA滴定法</w:t>
                  </w:r>
                </w:p>
                <w:p>
                  <w:pPr>
                    <w:pStyle w:val="49"/>
                    <w:spacing w:line="300" w:lineRule="exac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二氯乙烷：静态顶空气相色谱测定方法</w:t>
                  </w:r>
                </w:p>
              </w:tc>
              <w:tc>
                <w:tcPr>
                  <w:tcW w:w="1899" w:type="dxa"/>
                  <w:vMerge w:val="continue"/>
                  <w:vAlign w:val="center"/>
                </w:tcPr>
                <w:p>
                  <w:pPr>
                    <w:pStyle w:val="49"/>
                    <w:spacing w:line="300" w:lineRule="exact"/>
                    <w:ind w:firstLine="420"/>
                    <w:rPr>
                      <w:rFonts w:hint="default" w:ascii="Times New Roman" w:hAnsi="Times New Roman" w:eastAsia="宋体" w:cs="Times New Roman"/>
                      <w:color w:val="auto"/>
                      <w:kern w:val="0"/>
                      <w:sz w:val="21"/>
                      <w:szCs w:val="21"/>
                      <w:highlight w:val="none"/>
                    </w:rPr>
                  </w:pPr>
                </w:p>
              </w:tc>
            </w:tr>
          </w:tbl>
          <w:p>
            <w:pPr>
              <w:tabs>
                <w:tab w:val="left" w:pos="5760"/>
              </w:tabs>
              <w:spacing w:line="240" w:lineRule="auto"/>
              <w:ind w:firstLine="420" w:firstLineChars="200"/>
              <w:rPr>
                <w:rFonts w:hint="default" w:ascii="Times New Roman" w:hAnsi="Times New Roman" w:eastAsia="宋体" w:cs="Times New Roman"/>
                <w:b w:val="0"/>
                <w:bCs/>
                <w:color w:val="FF0000"/>
                <w:sz w:val="21"/>
                <w:szCs w:val="21"/>
                <w:highlight w:val="none"/>
              </w:rPr>
            </w:pPr>
          </w:p>
          <w:p>
            <w:pPr>
              <w:spacing w:line="240" w:lineRule="auto"/>
              <w:rPr>
                <w:rFonts w:hint="default" w:ascii="Times New Roman" w:hAnsi="Times New Roman" w:eastAsia="宋体" w:cs="Times New Roman"/>
                <w:b/>
                <w:color w:val="FF0000"/>
                <w:sz w:val="21"/>
                <w:szCs w:val="21"/>
                <w:highlight w:val="none"/>
                <w:lang w:eastAsia="zh-CN"/>
              </w:rPr>
            </w:pPr>
          </w:p>
          <w:p>
            <w:pPr>
              <w:spacing w:line="240" w:lineRule="auto"/>
              <w:rPr>
                <w:rFonts w:hint="default" w:ascii="Times New Roman" w:hAnsi="Times New Roman" w:eastAsia="宋体" w:cs="Times New Roman"/>
                <w:b/>
                <w:color w:val="FF0000"/>
                <w:sz w:val="21"/>
                <w:szCs w:val="21"/>
                <w:highlight w:val="none"/>
                <w:lang w:eastAsia="zh-CN"/>
              </w:rPr>
            </w:pPr>
          </w:p>
          <w:p>
            <w:pPr>
              <w:spacing w:line="240" w:lineRule="auto"/>
              <w:rPr>
                <w:rFonts w:hint="default" w:ascii="Times New Roman" w:hAnsi="Times New Roman" w:eastAsia="宋体" w:cs="Times New Roman"/>
                <w:b/>
                <w:color w:val="FF0000"/>
                <w:sz w:val="21"/>
                <w:szCs w:val="21"/>
                <w:highlight w:val="none"/>
                <w:lang w:eastAsia="zh-CN"/>
              </w:rPr>
            </w:pPr>
          </w:p>
        </w:tc>
      </w:tr>
    </w:tbl>
    <w:p>
      <w:pPr>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br w:type="page"/>
      </w:r>
    </w:p>
    <w:p>
      <w:pPr>
        <w:pStyle w:val="3"/>
        <w:spacing w:before="0" w:after="0" w:line="413" w:lineRule="auto"/>
        <w:rPr>
          <w:rFonts w:hint="default" w:ascii="Times New Roman" w:hAnsi="Times New Roman" w:eastAsia="宋体" w:cs="Times New Roman"/>
          <w:color w:val="auto"/>
          <w:highlight w:val="none"/>
        </w:rPr>
      </w:pPr>
      <w:bookmarkStart w:id="289" w:name="_Toc11456"/>
      <w:r>
        <w:rPr>
          <w:rFonts w:hint="default" w:ascii="Times New Roman" w:hAnsi="Times New Roman" w:eastAsia="宋体" w:cs="Times New Roman"/>
          <w:color w:val="auto"/>
          <w:highlight w:val="none"/>
        </w:rPr>
        <w:t>八、建设项</w:t>
      </w:r>
      <w:bookmarkStart w:id="290" w:name="_Toc251921960"/>
      <w:r>
        <w:rPr>
          <w:rFonts w:hint="default" w:ascii="Times New Roman" w:hAnsi="Times New Roman" w:eastAsia="宋体" w:cs="Times New Roman"/>
          <w:color w:val="auto"/>
          <w:highlight w:val="none"/>
        </w:rPr>
        <w:t>目拟采取的防治措施及预期治理效果</w:t>
      </w:r>
      <w:bookmarkEnd w:id="289"/>
    </w:p>
    <w:bookmarkEnd w:id="290"/>
    <w:tbl>
      <w:tblPr>
        <w:tblStyle w:val="27"/>
        <w:tblW w:w="959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1179"/>
        <w:gridCol w:w="1620"/>
        <w:gridCol w:w="2791"/>
        <w:gridCol w:w="307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75" w:hRule="atLeast"/>
          <w:jc w:val="center"/>
        </w:trPr>
        <w:tc>
          <w:tcPr>
            <w:tcW w:w="931" w:type="dxa"/>
            <w:tcBorders>
              <w:tl2br w:val="single" w:color="auto" w:sz="2" w:space="0"/>
            </w:tcBorders>
            <w:vAlign w:val="center"/>
          </w:tcPr>
          <w:p>
            <w:pPr>
              <w:tabs>
                <w:tab w:val="left" w:pos="5760"/>
              </w:tabs>
              <w:jc w:val="right"/>
              <w:rPr>
                <w:rFonts w:hint="default" w:ascii="Times New Roman" w:hAnsi="Times New Roman" w:eastAsia="宋体" w:cs="Times New Roman"/>
                <w:color w:val="auto"/>
                <w:highlight w:val="none"/>
              </w:rPr>
            </w:pPr>
            <w:bookmarkStart w:id="291" w:name="_Hlk1221825"/>
            <w:r>
              <w:rPr>
                <w:rFonts w:hint="default" w:ascii="Times New Roman" w:hAnsi="Times New Roman" w:eastAsia="宋体" w:cs="Times New Roman"/>
                <w:color w:val="auto"/>
                <w:highlight w:val="none"/>
              </w:rPr>
              <w:t>内容</w:t>
            </w:r>
          </w:p>
          <w:p>
            <w:pPr>
              <w:tabs>
                <w:tab w:val="left" w:pos="576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类型</w:t>
            </w:r>
          </w:p>
        </w:tc>
        <w:tc>
          <w:tcPr>
            <w:tcW w:w="1179"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排放源</w:t>
            </w:r>
          </w:p>
        </w:tc>
        <w:tc>
          <w:tcPr>
            <w:tcW w:w="1620"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污染物名称</w:t>
            </w:r>
          </w:p>
        </w:tc>
        <w:tc>
          <w:tcPr>
            <w:tcW w:w="2791"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防治措施</w:t>
            </w:r>
          </w:p>
        </w:tc>
        <w:tc>
          <w:tcPr>
            <w:tcW w:w="3073"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预期治理效果</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726" w:hRule="atLeast"/>
          <w:jc w:val="center"/>
        </w:trPr>
        <w:tc>
          <w:tcPr>
            <w:tcW w:w="931" w:type="dxa"/>
            <w:textDirection w:val="tbRlV"/>
            <w:vAlign w:val="center"/>
          </w:tcPr>
          <w:p>
            <w:pPr>
              <w:tabs>
                <w:tab w:val="left" w:pos="5760"/>
              </w:tabs>
              <w:ind w:left="113" w:right="11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大气污染物</w:t>
            </w:r>
          </w:p>
        </w:tc>
        <w:tc>
          <w:tcPr>
            <w:tcW w:w="1179" w:type="dxa"/>
            <w:vAlign w:val="center"/>
          </w:tcPr>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加油站</w:t>
            </w:r>
          </w:p>
        </w:tc>
        <w:tc>
          <w:tcPr>
            <w:tcW w:w="1620" w:type="dxa"/>
            <w:vAlign w:val="center"/>
          </w:tcPr>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非甲烷</w:t>
            </w:r>
          </w:p>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总烃</w:t>
            </w:r>
          </w:p>
        </w:tc>
        <w:tc>
          <w:tcPr>
            <w:tcW w:w="2791" w:type="dxa"/>
            <w:vAlign w:val="center"/>
          </w:tcPr>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油气回收系统（汽油加油作业及大呼吸回收效率为90%）</w:t>
            </w:r>
          </w:p>
        </w:tc>
        <w:tc>
          <w:tcPr>
            <w:tcW w:w="3073" w:type="dxa"/>
            <w:vAlign w:val="center"/>
          </w:tcPr>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满足《大气污染物综合排放标准》（GB16297-1996）表2中无组织排放监控浓度限值；满足《加油站大气污染物排放标准》（GB20952-2007）要求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288" w:hRule="atLeast"/>
          <w:jc w:val="center"/>
        </w:trPr>
        <w:tc>
          <w:tcPr>
            <w:tcW w:w="931" w:type="dxa"/>
            <w:tcBorders>
              <w:bottom w:val="single" w:color="auto" w:sz="6" w:space="0"/>
            </w:tcBorders>
            <w:textDirection w:val="tbRlV"/>
            <w:vAlign w:val="center"/>
          </w:tcPr>
          <w:p>
            <w:pPr>
              <w:tabs>
                <w:tab w:val="left" w:pos="5760"/>
              </w:tabs>
              <w:ind w:left="113" w:right="11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w:t>
            </w:r>
          </w:p>
        </w:tc>
        <w:tc>
          <w:tcPr>
            <w:tcW w:w="1179" w:type="dxa"/>
            <w:tcBorders>
              <w:bottom w:val="single" w:color="auto" w:sz="6" w:space="0"/>
            </w:tcBorders>
            <w:vAlign w:val="center"/>
          </w:tcPr>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办公室</w:t>
            </w:r>
          </w:p>
        </w:tc>
        <w:tc>
          <w:tcPr>
            <w:tcW w:w="1620" w:type="dxa"/>
            <w:tcBorders>
              <w:bottom w:val="single" w:color="auto" w:sz="6" w:space="0"/>
            </w:tcBorders>
            <w:vAlign w:val="center"/>
          </w:tcPr>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COD</w:t>
            </w:r>
          </w:p>
          <w:p>
            <w:pPr>
              <w:tabs>
                <w:tab w:val="left" w:pos="5760"/>
              </w:tabs>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p>
        </w:tc>
        <w:tc>
          <w:tcPr>
            <w:tcW w:w="2791" w:type="dxa"/>
            <w:vAlign w:val="center"/>
          </w:tcPr>
          <w:p>
            <w:pPr>
              <w:spacing w:line="240" w:lineRule="auto"/>
              <w:jc w:val="center"/>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p>
        </w:tc>
        <w:tc>
          <w:tcPr>
            <w:tcW w:w="3073" w:type="dxa"/>
            <w:tcBorders>
              <w:bottom w:val="single" w:color="auto" w:sz="6" w:space="0"/>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不外排</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288" w:hRule="atLeast"/>
          <w:jc w:val="center"/>
        </w:trPr>
        <w:tc>
          <w:tcPr>
            <w:tcW w:w="931" w:type="dxa"/>
            <w:tcBorders>
              <w:bottom w:val="single" w:color="auto" w:sz="6" w:space="0"/>
            </w:tcBorders>
            <w:textDirection w:val="tbRlV"/>
            <w:vAlign w:val="center"/>
          </w:tcPr>
          <w:p>
            <w:pPr>
              <w:tabs>
                <w:tab w:val="left" w:pos="5760"/>
              </w:tabs>
              <w:ind w:left="113" w:right="11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w:t>
            </w:r>
          </w:p>
        </w:tc>
        <w:tc>
          <w:tcPr>
            <w:tcW w:w="1179" w:type="dxa"/>
            <w:tcBorders>
              <w:bottom w:val="single" w:color="auto" w:sz="6"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地埋油罐</w:t>
            </w:r>
          </w:p>
        </w:tc>
        <w:tc>
          <w:tcPr>
            <w:tcW w:w="1620" w:type="dxa"/>
            <w:tcBorders>
              <w:bottom w:val="single" w:color="auto" w:sz="6" w:space="0"/>
            </w:tcBorders>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石油类、苯、甲苯、乙苯、邻二甲苯、间（对）二甲苯、甲基叔丁基醚、铅、二氯乙烷</w:t>
            </w:r>
          </w:p>
        </w:tc>
        <w:tc>
          <w:tcPr>
            <w:tcW w:w="2791" w:type="dxa"/>
            <w:vAlign w:val="center"/>
          </w:tcPr>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双层油罐储油</w:t>
            </w:r>
          </w:p>
          <w:p>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地下水跟踪监测并公开信息制定应急相应预案</w:t>
            </w:r>
          </w:p>
        </w:tc>
        <w:tc>
          <w:tcPr>
            <w:tcW w:w="3073" w:type="dxa"/>
            <w:tcBorders>
              <w:bottom w:val="single" w:color="auto" w:sz="6" w:space="0"/>
            </w:tcBorders>
            <w:vAlign w:val="center"/>
          </w:tcPr>
          <w:p>
            <w:pPr>
              <w:tabs>
                <w:tab w:val="left" w:pos="5760"/>
              </w:tabs>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《地下水质量标准》（GB/T14848-2017）III类标准、</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"http://www.so.com/link?url=http%3A%2F%2Fdown.foodmate.net%2Fstandard%2Fsort%2F3%2F10968.html&amp;q=%E7%94%9F%E6%B4%BB%E9%A5%AE%E7%94%A8%E6%B0%B4%E5%8D%AB%E7%94%9F%E6%A0%87%E5%87%86&amp;ts=1492818678&amp;t=f292eaab4879132ddca0e967c0e58a0&amp;src=haosou" \t "_blank"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《生活饮用水卫生标准</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》（GB5749-2006）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931" w:type="dxa"/>
            <w:vMerge w:val="restart"/>
            <w:textDirection w:val="tbRlV"/>
            <w:vAlign w:val="center"/>
          </w:tcPr>
          <w:p>
            <w:pPr>
              <w:tabs>
                <w:tab w:val="left" w:pos="5760"/>
              </w:tabs>
              <w:ind w:left="113" w:right="11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1179"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职工</w:t>
            </w:r>
          </w:p>
        </w:tc>
        <w:tc>
          <w:tcPr>
            <w:tcW w:w="1620"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w:t>
            </w:r>
          </w:p>
        </w:tc>
        <w:tc>
          <w:tcPr>
            <w:tcW w:w="2791"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集中收集</w:t>
            </w:r>
          </w:p>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市政部门统一处理</w:t>
            </w:r>
          </w:p>
        </w:tc>
        <w:tc>
          <w:tcPr>
            <w:tcW w:w="3073" w:type="dxa"/>
            <w:vMerge w:val="restart"/>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处置率100%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31" w:type="dxa"/>
            <w:vMerge w:val="continue"/>
            <w:textDirection w:val="tbRlV"/>
            <w:vAlign w:val="center"/>
          </w:tcPr>
          <w:p>
            <w:pPr>
              <w:tabs>
                <w:tab w:val="left" w:pos="5760"/>
              </w:tabs>
              <w:ind w:left="113" w:right="113"/>
              <w:jc w:val="center"/>
              <w:rPr>
                <w:rFonts w:hint="default" w:ascii="Times New Roman" w:hAnsi="Times New Roman" w:eastAsia="宋体" w:cs="Times New Roman"/>
                <w:color w:val="auto"/>
                <w:highlight w:val="none"/>
              </w:rPr>
            </w:pPr>
          </w:p>
        </w:tc>
        <w:tc>
          <w:tcPr>
            <w:tcW w:w="1179"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油罐区</w:t>
            </w:r>
          </w:p>
        </w:tc>
        <w:tc>
          <w:tcPr>
            <w:tcW w:w="1620"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底泥</w:t>
            </w:r>
          </w:p>
        </w:tc>
        <w:tc>
          <w:tcPr>
            <w:tcW w:w="2791"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交有资质单位处置</w:t>
            </w:r>
          </w:p>
        </w:tc>
        <w:tc>
          <w:tcPr>
            <w:tcW w:w="3073" w:type="dxa"/>
            <w:vMerge w:val="continue"/>
            <w:vAlign w:val="center"/>
          </w:tcPr>
          <w:p>
            <w:pPr>
              <w:tabs>
                <w:tab w:val="left" w:pos="5760"/>
              </w:tabs>
              <w:jc w:val="center"/>
              <w:rPr>
                <w:rFonts w:hint="default" w:ascii="Times New Roman" w:hAnsi="Times New Roman" w:eastAsia="宋体" w:cs="Times New Roman"/>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08" w:hRule="atLeast"/>
          <w:jc w:val="center"/>
        </w:trPr>
        <w:tc>
          <w:tcPr>
            <w:tcW w:w="931" w:type="dxa"/>
            <w:textDirection w:val="tbRlV"/>
            <w:vAlign w:val="center"/>
          </w:tcPr>
          <w:p>
            <w:pPr>
              <w:tabs>
                <w:tab w:val="left" w:pos="5760"/>
              </w:tabs>
              <w:ind w:left="113" w:right="11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179"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加油机</w:t>
            </w:r>
          </w:p>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车辆</w:t>
            </w:r>
          </w:p>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油气回收装置</w:t>
            </w:r>
          </w:p>
        </w:tc>
        <w:tc>
          <w:tcPr>
            <w:tcW w:w="1620"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2791" w:type="dxa"/>
            <w:vAlign w:val="center"/>
          </w:tcPr>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选择低噪声设备</w:t>
            </w:r>
          </w:p>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规范安装、调整动平衡</w:t>
            </w:r>
          </w:p>
          <w:p>
            <w:pPr>
              <w:tabs>
                <w:tab w:val="left" w:pos="5760"/>
              </w:tabs>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安装禁鸣、限速标志</w:t>
            </w:r>
          </w:p>
        </w:tc>
        <w:tc>
          <w:tcPr>
            <w:tcW w:w="3073" w:type="dxa"/>
            <w:vAlign w:val="center"/>
          </w:tcPr>
          <w:p>
            <w:pPr>
              <w:spacing w:line="240" w:lineRule="auto"/>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北侧厂界噪声满足《工业企业厂界环境噪声排放标准》(GB12348-2008)表1中</w:t>
            </w:r>
            <w:r>
              <w:rPr>
                <w:rFonts w:hint="default" w:ascii="Times New Roman" w:hAnsi="Times New Roman" w:eastAsia="宋体" w:cs="Times New Roman"/>
                <w:color w:val="auto"/>
                <w:kern w:val="0"/>
                <w:highlight w:val="none"/>
                <w:lang w:val="en-US" w:eastAsia="zh-CN"/>
              </w:rPr>
              <w:t>4</w:t>
            </w:r>
            <w:r>
              <w:rPr>
                <w:rFonts w:hint="default" w:ascii="Times New Roman" w:hAnsi="Times New Roman" w:eastAsia="宋体" w:cs="Times New Roman"/>
                <w:color w:val="auto"/>
                <w:kern w:val="0"/>
                <w:highlight w:val="none"/>
              </w:rPr>
              <w:t>类标准，东侧、西侧、南侧厂界噪声满足《工业企业厂界环境噪声排放标准》(GB12348-2008)表1中</w:t>
            </w:r>
            <w:r>
              <w:rPr>
                <w:rFonts w:hint="default" w:ascii="Times New Roman" w:hAnsi="Times New Roman" w:eastAsia="宋体" w:cs="Times New Roman"/>
                <w:color w:val="auto"/>
                <w:kern w:val="0"/>
                <w:highlight w:val="none"/>
                <w:lang w:val="en-US" w:eastAsia="zh-CN"/>
              </w:rPr>
              <w:t>2</w:t>
            </w:r>
            <w:r>
              <w:rPr>
                <w:rFonts w:hint="default" w:ascii="Times New Roman" w:hAnsi="Times New Roman" w:eastAsia="宋体" w:cs="Times New Roman"/>
                <w:color w:val="auto"/>
                <w:kern w:val="0"/>
                <w:highlight w:val="none"/>
              </w:rPr>
              <w:t>类标准</w:t>
            </w:r>
          </w:p>
          <w:p>
            <w:pPr>
              <w:tabs>
                <w:tab w:val="left" w:pos="5760"/>
              </w:tabs>
              <w:spacing w:line="240" w:lineRule="auto"/>
              <w:jc w:val="center"/>
              <w:rPr>
                <w:rFonts w:hint="default" w:ascii="Times New Roman" w:hAnsi="Times New Roman" w:eastAsia="宋体" w:cs="Times New Roman"/>
                <w:color w:val="auto"/>
                <w:highlight w:val="none"/>
              </w:rPr>
            </w:pPr>
          </w:p>
        </w:tc>
      </w:tr>
      <w:bookmarkEnd w:id="291"/>
    </w:tbl>
    <w:p>
      <w:pPr>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br w:type="page"/>
      </w:r>
    </w:p>
    <w:p>
      <w:pPr>
        <w:pStyle w:val="3"/>
        <w:spacing w:before="0" w:after="0" w:line="413" w:lineRule="auto"/>
        <w:rPr>
          <w:rFonts w:hint="default" w:ascii="Times New Roman" w:hAnsi="Times New Roman" w:eastAsia="宋体" w:cs="Times New Roman"/>
          <w:color w:val="auto"/>
          <w:highlight w:val="none"/>
        </w:rPr>
      </w:pPr>
      <w:bookmarkStart w:id="292" w:name="_Toc7535"/>
      <w:r>
        <w:rPr>
          <w:rFonts w:hint="default" w:ascii="Times New Roman" w:hAnsi="Times New Roman" w:eastAsia="宋体" w:cs="Times New Roman"/>
          <w:color w:val="auto"/>
          <w:highlight w:val="none"/>
        </w:rPr>
        <w:t>九、风险分</w:t>
      </w:r>
      <w:bookmarkStart w:id="293" w:name="_Toc359063940"/>
      <w:r>
        <w:rPr>
          <w:rFonts w:hint="default" w:ascii="Times New Roman" w:hAnsi="Times New Roman" w:eastAsia="宋体" w:cs="Times New Roman"/>
          <w:color w:val="auto"/>
          <w:highlight w:val="none"/>
        </w:rPr>
        <w:t>析</w:t>
      </w:r>
      <w:bookmarkEnd w:id="292"/>
    </w:p>
    <w:bookmarkEnd w:id="293"/>
    <w:tbl>
      <w:tblPr>
        <w:tblStyle w:val="27"/>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9" w:hRule="atLeast"/>
        </w:trPr>
        <w:tc>
          <w:tcPr>
            <w:tcW w:w="9242" w:type="dxa"/>
          </w:tcPr>
          <w:p>
            <w:pPr>
              <w:pStyle w:val="46"/>
              <w:spacing w:before="0" w:beforeLines="0" w:after="0" w:afterLines="0" w:line="360" w:lineRule="auto"/>
              <w:ind w:firstLine="556" w:firstLineChars="232"/>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本项目经销机动车用汽油、柴油，理化性质见表9-1和表9-2。</w:t>
            </w:r>
          </w:p>
          <w:p>
            <w:pPr>
              <w:ind w:firstLine="48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表9-1 汽油理化性质及危险性</w:t>
            </w:r>
          </w:p>
          <w:tbl>
            <w:tblPr>
              <w:tblStyle w:val="27"/>
              <w:tblW w:w="90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52"/>
              <w:gridCol w:w="2955"/>
              <w:gridCol w:w="2264"/>
              <w:gridCol w:w="22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26" w:type="dxa"/>
                  <w:gridSpan w:val="4"/>
                  <w:tcBorders>
                    <w:top w:val="single" w:color="auto" w:sz="12" w:space="0"/>
                    <w:left w:val="nil"/>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①危险性概述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2955"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第3.1 类低闪点易燃液体</w:t>
                  </w:r>
                </w:p>
              </w:tc>
              <w:tc>
                <w:tcPr>
                  <w:tcW w:w="226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2255"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2955"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吸入、食入、经皮吸收</w:t>
                  </w:r>
                </w:p>
              </w:tc>
              <w:tc>
                <w:tcPr>
                  <w:tcW w:w="226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2255"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w:t>
                  </w:r>
                </w:p>
              </w:tc>
              <w:tc>
                <w:tcPr>
                  <w:tcW w:w="7474" w:type="dxa"/>
                  <w:gridSpan w:val="3"/>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7474" w:type="dxa"/>
                  <w:gridSpan w:val="3"/>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该物质对环境有危害，应特别注意对地表水、土壤、大气和饮用水的污染。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26" w:type="dxa"/>
                  <w:gridSpan w:val="4"/>
                  <w:tcBorders>
                    <w:top w:val="single" w:color="auto" w:sz="6" w:space="0"/>
                    <w:left w:val="nil"/>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②理化特性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7474" w:type="dxa"/>
                  <w:gridSpan w:val="3"/>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无色或淡黄色易挥发液体，具有特殊臭味。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熔点（℃）</w:t>
                  </w:r>
                </w:p>
              </w:tc>
              <w:tc>
                <w:tcPr>
                  <w:tcW w:w="2955"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&lt;-60</w:t>
                  </w:r>
                </w:p>
              </w:tc>
              <w:tc>
                <w:tcPr>
                  <w:tcW w:w="226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2255"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0.70～0.79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4"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2955" w:type="dxa"/>
                  <w:tcBorders>
                    <w:top w:val="single" w:color="auto" w:sz="6" w:space="0"/>
                    <w:left w:val="single" w:color="auto" w:sz="6" w:space="0"/>
                    <w:bottom w:val="single" w:color="auto" w:sz="4"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2264" w:type="dxa"/>
                  <w:tcBorders>
                    <w:top w:val="single" w:color="auto" w:sz="6" w:space="0"/>
                    <w:left w:val="single" w:color="auto" w:sz="6" w:space="0"/>
                    <w:bottom w:val="single" w:color="auto" w:sz="4"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相对密度(空气=1)</w:t>
                  </w:r>
                </w:p>
              </w:tc>
              <w:tc>
                <w:tcPr>
                  <w:tcW w:w="2255" w:type="dxa"/>
                  <w:tcBorders>
                    <w:top w:val="single" w:color="auto" w:sz="6" w:space="0"/>
                    <w:left w:val="single" w:color="auto" w:sz="6" w:space="0"/>
                    <w:bottom w:val="single" w:color="auto" w:sz="4"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引燃温度（℃）</w:t>
                  </w:r>
                </w:p>
              </w:tc>
              <w:tc>
                <w:tcPr>
                  <w:tcW w:w="295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415～530</w:t>
                  </w:r>
                </w:p>
              </w:tc>
              <w:tc>
                <w:tcPr>
                  <w:tcW w:w="226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2255" w:type="dxa"/>
                  <w:tcBorders>
                    <w:top w:val="single" w:color="auto" w:sz="4" w:space="0"/>
                    <w:left w:val="single" w:color="auto" w:sz="4" w:space="0"/>
                    <w:bottom w:val="single" w:color="auto" w:sz="4"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295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40～200</w:t>
                  </w:r>
                </w:p>
              </w:tc>
              <w:tc>
                <w:tcPr>
                  <w:tcW w:w="22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2255"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4" w:space="0"/>
                    <w:left w:val="nil"/>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7474" w:type="dxa"/>
                  <w:gridSpan w:val="3"/>
                  <w:tcBorders>
                    <w:top w:val="single" w:color="auto" w:sz="4"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不溶于水，易溶于苯、二硫化碳、醇、易溶于脂肪。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7474" w:type="dxa"/>
                  <w:gridSpan w:val="3"/>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主要用作汽油机的燃料，用于橡胶、制鞋、印刷、制革等行业，也可用作机械零件的去污剂。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26" w:type="dxa"/>
                  <w:gridSpan w:val="4"/>
                  <w:tcBorders>
                    <w:top w:val="single" w:color="auto" w:sz="6" w:space="0"/>
                    <w:left w:val="nil"/>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③稳定性及化学活性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295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226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2255" w:type="dxa"/>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明火、高热。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295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强氧化剂</w:t>
                  </w:r>
                </w:p>
              </w:tc>
              <w:tc>
                <w:tcPr>
                  <w:tcW w:w="226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2255" w:type="dxa"/>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295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c>
                <w:tcPr>
                  <w:tcW w:w="226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p>
              </w:tc>
              <w:tc>
                <w:tcPr>
                  <w:tcW w:w="2255" w:type="dxa"/>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26" w:type="dxa"/>
                  <w:gridSpan w:val="4"/>
                  <w:tcBorders>
                    <w:top w:val="single" w:color="auto" w:sz="6" w:space="0"/>
                    <w:left w:val="nil"/>
                    <w:bottom w:val="single" w:color="auto" w:sz="4" w:space="0"/>
                    <w:right w:val="nil"/>
                  </w:tcBorders>
                  <w:vAlign w:val="center"/>
                </w:tcPr>
                <w:p>
                  <w:pPr>
                    <w:numPr>
                      <w:ilvl w:val="0"/>
                      <w:numId w:val="6"/>
                    </w:num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理学资料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4"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7474" w:type="dxa"/>
                  <w:gridSpan w:val="3"/>
                  <w:tcBorders>
                    <w:top w:val="single" w:color="auto" w:sz="4"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67000mg/kg（小鼠径口），（120号溶剂汽油）</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 xml:space="preserve">  103000mg/kg小鼠，2小时（120号溶剂汽油）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5" w:hRule="atLeast"/>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7474" w:type="dxa"/>
                  <w:gridSpan w:val="3"/>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7474" w:type="dxa"/>
                  <w:gridSpan w:val="3"/>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神经衰弱综合症，周围神经病，皮肤损害。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7474" w:type="dxa"/>
                  <w:gridSpan w:val="3"/>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人经眼：140ppm（8小时），轻度刺激。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7474" w:type="dxa"/>
                  <w:gridSpan w:val="3"/>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52" w:type="dxa"/>
                  <w:tcBorders>
                    <w:top w:val="single" w:color="auto" w:sz="6" w:space="0"/>
                    <w:left w:val="nil"/>
                    <w:bottom w:val="single" w:color="auto" w:sz="12" w:space="0"/>
                    <w:right w:val="single" w:color="auto" w:sz="6"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灭火剂</w:t>
                  </w:r>
                </w:p>
              </w:tc>
              <w:tc>
                <w:tcPr>
                  <w:tcW w:w="7474" w:type="dxa"/>
                  <w:gridSpan w:val="3"/>
                  <w:tcBorders>
                    <w:top w:val="single" w:color="auto" w:sz="6" w:space="0"/>
                    <w:left w:val="single" w:color="auto" w:sz="6" w:space="0"/>
                    <w:bottom w:val="single" w:color="auto" w:sz="12"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泡沫、干粉、CO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、砂土，用水冷却容器（用水灭火无效）</w:t>
                  </w:r>
                </w:p>
              </w:tc>
            </w:tr>
          </w:tbl>
          <w:p>
            <w:pPr>
              <w:ind w:firstLine="482" w:firstLineChars="200"/>
              <w:jc w:val="center"/>
              <w:rPr>
                <w:rFonts w:hint="default" w:ascii="Times New Roman" w:hAnsi="Times New Roman" w:eastAsia="宋体" w:cs="Times New Roman"/>
                <w:b/>
                <w:color w:val="FF0000"/>
                <w:highlight w:val="none"/>
              </w:rPr>
            </w:pPr>
            <w:r>
              <w:rPr>
                <w:rFonts w:hint="default" w:ascii="Times New Roman" w:hAnsi="Times New Roman" w:eastAsia="宋体" w:cs="Times New Roman"/>
                <w:b/>
                <w:color w:val="auto"/>
                <w:highlight w:val="none"/>
              </w:rPr>
              <w:t>表9-2 柴油理化性质及危险性</w:t>
            </w:r>
          </w:p>
          <w:tbl>
            <w:tblPr>
              <w:tblStyle w:val="27"/>
              <w:tblW w:w="902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8"/>
              <w:gridCol w:w="16"/>
              <w:gridCol w:w="2722"/>
              <w:gridCol w:w="2278"/>
              <w:gridCol w:w="23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26" w:type="dxa"/>
                  <w:gridSpan w:val="5"/>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①危险性概述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27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第3.3类高闪点，易燃液体</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27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吸入、食入、经皮吸收</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7332" w:type="dxa"/>
                  <w:gridSpan w:val="3"/>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该物质对环境有危害，应特别注意对地表水、土壤、大气和饮用水的污染。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26" w:type="dxa"/>
                  <w:gridSpan w:val="5"/>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②理化性质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27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稍有粘性的棕色液体</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主要途径</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用作柴油机的燃料等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27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45～55</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0.83～0.855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27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200～350</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自然点℃</w:t>
                  </w:r>
                </w:p>
              </w:tc>
              <w:tc>
                <w:tcPr>
                  <w:tcW w:w="27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257</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4"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7332" w:type="dxa"/>
                  <w:gridSpan w:val="3"/>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不溶于水，易溶于苯、二氧化碳、醇，易溶于脂肪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26" w:type="dxa"/>
                  <w:gridSpan w:val="5"/>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③稳定性及化学活性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2738"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明火、高热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2738"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强氧化剂、卤素</w:t>
                  </w:r>
                </w:p>
              </w:tc>
              <w:tc>
                <w:tcPr>
                  <w:tcW w:w="22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233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26" w:type="dxa"/>
                  <w:gridSpan w:val="5"/>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④毒理学资料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 xml:space="preserve">       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 xml:space="preserve">   （目前尚无数据）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皮肤接触柴油可引起接触性皮炎、油性痤疮，吸入可引起吸入性肺炎，能经胎盘进入胎儿血中。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柴油废气可引起眼、鼻刺激症状，头痛。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具有刺激作用。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灭火剂</w:t>
                  </w:r>
                </w:p>
              </w:tc>
              <w:tc>
                <w:tcPr>
                  <w:tcW w:w="7348" w:type="dxa"/>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泡沫、干粉、CO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、砂土，用水冷却容器（用水灭火无效）</w:t>
                  </w:r>
                </w:p>
              </w:tc>
            </w:tr>
          </w:tbl>
          <w:p>
            <w:pPr>
              <w:ind w:firstLine="559" w:firstLineChars="23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（一）评价依据</w:t>
            </w:r>
          </w:p>
          <w:p>
            <w:pPr>
              <w:pStyle w:val="46"/>
              <w:spacing w:before="0" w:beforeLines="0" w:after="0" w:afterLines="0" w:line="360" w:lineRule="auto"/>
              <w:ind w:firstLine="556" w:firstLineChars="232"/>
              <w:rPr>
                <w:rFonts w:hint="default" w:ascii="Times New Roman" w:hAnsi="Times New Roman" w:eastAsia="宋体" w:cs="Times New Roman"/>
                <w:b/>
                <w:color w:val="auto"/>
                <w:szCs w:val="24"/>
                <w:highlight w:val="none"/>
              </w:rPr>
            </w:pPr>
            <w:r>
              <w:rPr>
                <w:rFonts w:hint="default" w:ascii="Times New Roman" w:hAnsi="Times New Roman" w:eastAsia="宋体" w:cs="Times New Roman"/>
                <w:color w:val="auto"/>
                <w:kern w:val="0"/>
                <w:szCs w:val="24"/>
                <w:highlight w:val="none"/>
              </w:rPr>
              <w:t>本项目经销机动车用汽油、柴油属于易燃物质，存在环境风险，危险源情况见表9-3。</w:t>
            </w:r>
          </w:p>
          <w:p>
            <w:pPr>
              <w:spacing w:line="240" w:lineRule="auto"/>
              <w:ind w:firstLine="48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表9-3危险源情况表</w:t>
            </w:r>
          </w:p>
          <w:tbl>
            <w:tblPr>
              <w:tblStyle w:val="27"/>
              <w:tblW w:w="878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6"/>
              <w:gridCol w:w="1431"/>
              <w:gridCol w:w="983"/>
              <w:gridCol w:w="956"/>
              <w:gridCol w:w="956"/>
              <w:gridCol w:w="2315"/>
              <w:gridCol w:w="11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56"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危险源</w:t>
                  </w:r>
                </w:p>
              </w:tc>
              <w:tc>
                <w:tcPr>
                  <w:tcW w:w="1431"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燃料</w:t>
                  </w:r>
                </w:p>
              </w:tc>
              <w:tc>
                <w:tcPr>
                  <w:tcW w:w="983"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罐容积</w:t>
                  </w:r>
                </w:p>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c>
                <w:tcPr>
                  <w:tcW w:w="956"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数量</w:t>
                  </w:r>
                </w:p>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（个）</w:t>
                  </w:r>
                </w:p>
              </w:tc>
              <w:tc>
                <w:tcPr>
                  <w:tcW w:w="956"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贮油量</w:t>
                  </w:r>
                </w:p>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（t）</w:t>
                  </w:r>
                </w:p>
              </w:tc>
              <w:tc>
                <w:tcPr>
                  <w:tcW w:w="2315"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罐型式</w:t>
                  </w:r>
                </w:p>
              </w:tc>
              <w:tc>
                <w:tcPr>
                  <w:tcW w:w="1192" w:type="dxa"/>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储存位置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956" w:type="dxa"/>
                  <w:vMerge w:val="restart"/>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罐区</w:t>
                  </w:r>
                </w:p>
              </w:tc>
              <w:tc>
                <w:tcPr>
                  <w:tcW w:w="1431" w:type="dxa"/>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汽油</w:t>
                  </w:r>
                </w:p>
              </w:tc>
              <w:tc>
                <w:tcPr>
                  <w:tcW w:w="983" w:type="dxa"/>
                  <w:tcBorders>
                    <w:bottom w:val="single" w:color="auto" w:sz="4" w:space="0"/>
                  </w:tcBorders>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956" w:type="dxa"/>
                  <w:tcBorders>
                    <w:bottom w:val="single" w:color="auto" w:sz="4" w:space="0"/>
                  </w:tcBorders>
                  <w:vAlign w:val="center"/>
                </w:tcPr>
                <w:p>
                  <w:pPr>
                    <w:spacing w:line="240" w:lineRule="auto"/>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2</w:t>
                  </w:r>
                </w:p>
              </w:tc>
              <w:tc>
                <w:tcPr>
                  <w:tcW w:w="956" w:type="dxa"/>
                  <w:tcBorders>
                    <w:bottom w:val="single" w:color="auto"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 w:val="21"/>
                      <w:szCs w:val="21"/>
                      <w:lang w:val="en-US" w:eastAsia="zh-CN"/>
                    </w:rPr>
                    <w:t>35.52</w:t>
                  </w:r>
                </w:p>
              </w:tc>
              <w:tc>
                <w:tcPr>
                  <w:tcW w:w="2315" w:type="dxa"/>
                  <w:vMerge w:val="restart"/>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卧式罐</w:t>
                  </w:r>
                </w:p>
              </w:tc>
              <w:tc>
                <w:tcPr>
                  <w:tcW w:w="1192" w:type="dxa"/>
                  <w:vMerge w:val="restart"/>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全部地下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956" w:type="dxa"/>
                  <w:vMerge w:val="continue"/>
                  <w:vAlign w:val="center"/>
                </w:tcPr>
                <w:p>
                  <w:pPr>
                    <w:spacing w:line="240" w:lineRule="auto"/>
                    <w:jc w:val="center"/>
                    <w:rPr>
                      <w:rFonts w:hint="default" w:ascii="Times New Roman" w:hAnsi="Times New Roman" w:eastAsia="宋体" w:cs="Times New Roman"/>
                      <w:color w:val="auto"/>
                      <w:szCs w:val="21"/>
                      <w:highlight w:val="none"/>
                    </w:rPr>
                  </w:pPr>
                </w:p>
              </w:tc>
              <w:tc>
                <w:tcPr>
                  <w:tcW w:w="1431" w:type="dxa"/>
                  <w:vMerge w:val="restart"/>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柴油</w:t>
                  </w:r>
                </w:p>
              </w:tc>
              <w:tc>
                <w:tcPr>
                  <w:tcW w:w="983" w:type="dxa"/>
                  <w:tcBorders>
                    <w:bottom w:val="single" w:color="auto" w:sz="4" w:space="0"/>
                  </w:tcBorders>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w:t>
                  </w:r>
                </w:p>
              </w:tc>
              <w:tc>
                <w:tcPr>
                  <w:tcW w:w="956" w:type="dxa"/>
                  <w:tcBorders>
                    <w:bottom w:val="single" w:color="auto" w:sz="4" w:space="0"/>
                  </w:tcBorders>
                  <w:vAlign w:val="center"/>
                </w:tcPr>
                <w:p>
                  <w:pPr>
                    <w:spacing w:line="240" w:lineRule="auto"/>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1</w:t>
                  </w:r>
                </w:p>
              </w:tc>
              <w:tc>
                <w:tcPr>
                  <w:tcW w:w="956" w:type="dxa"/>
                  <w:vMerge w:val="restart"/>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 w:val="21"/>
                      <w:szCs w:val="21"/>
                      <w:lang w:val="en-US" w:eastAsia="zh-CN"/>
                    </w:rPr>
                    <w:t>55.68</w:t>
                  </w:r>
                </w:p>
              </w:tc>
              <w:tc>
                <w:tcPr>
                  <w:tcW w:w="2315" w:type="dxa"/>
                  <w:vMerge w:val="continue"/>
                  <w:vAlign w:val="center"/>
                </w:tcPr>
                <w:p>
                  <w:pPr>
                    <w:spacing w:line="240" w:lineRule="auto"/>
                    <w:jc w:val="center"/>
                    <w:rPr>
                      <w:rFonts w:hint="default" w:ascii="Times New Roman" w:hAnsi="Times New Roman" w:eastAsia="宋体" w:cs="Times New Roman"/>
                      <w:color w:val="auto"/>
                      <w:szCs w:val="21"/>
                      <w:highlight w:val="none"/>
                    </w:rPr>
                  </w:pPr>
                </w:p>
              </w:tc>
              <w:tc>
                <w:tcPr>
                  <w:tcW w:w="1192" w:type="dxa"/>
                  <w:vMerge w:val="continue"/>
                  <w:vAlign w:val="center"/>
                </w:tcPr>
                <w:p>
                  <w:pPr>
                    <w:spacing w:line="240" w:lineRule="auto"/>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956" w:type="dxa"/>
                  <w:vMerge w:val="continue"/>
                  <w:vAlign w:val="center"/>
                </w:tcPr>
                <w:p>
                  <w:pPr>
                    <w:spacing w:line="240" w:lineRule="auto"/>
                    <w:jc w:val="center"/>
                    <w:rPr>
                      <w:rFonts w:hint="default" w:ascii="Times New Roman" w:hAnsi="Times New Roman" w:eastAsia="宋体" w:cs="Times New Roman"/>
                      <w:color w:val="auto"/>
                      <w:szCs w:val="21"/>
                      <w:highlight w:val="none"/>
                    </w:rPr>
                  </w:pPr>
                </w:p>
              </w:tc>
              <w:tc>
                <w:tcPr>
                  <w:tcW w:w="1431" w:type="dxa"/>
                  <w:vMerge w:val="continue"/>
                  <w:vAlign w:val="center"/>
                </w:tcPr>
                <w:p>
                  <w:pPr>
                    <w:spacing w:line="240" w:lineRule="auto"/>
                    <w:jc w:val="center"/>
                    <w:rPr>
                      <w:rFonts w:hint="default" w:ascii="Times New Roman" w:hAnsi="Times New Roman" w:eastAsia="宋体" w:cs="Times New Roman"/>
                      <w:color w:val="auto"/>
                      <w:szCs w:val="21"/>
                      <w:highlight w:val="none"/>
                    </w:rPr>
                  </w:pPr>
                </w:p>
              </w:tc>
              <w:tc>
                <w:tcPr>
                  <w:tcW w:w="983" w:type="dxa"/>
                  <w:tcBorders>
                    <w:bottom w:val="single" w:color="auto" w:sz="4" w:space="0"/>
                  </w:tcBorders>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0</w:t>
                  </w:r>
                </w:p>
              </w:tc>
              <w:tc>
                <w:tcPr>
                  <w:tcW w:w="956" w:type="dxa"/>
                  <w:tcBorders>
                    <w:bottom w:val="single" w:color="auto" w:sz="4" w:space="0"/>
                  </w:tcBorders>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956" w:type="dxa"/>
                  <w:vMerge w:val="continue"/>
                  <w:tcBorders>
                    <w:bottom w:val="single" w:color="auto"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2315" w:type="dxa"/>
                  <w:vAlign w:val="center"/>
                </w:tcPr>
                <w:p>
                  <w:pPr>
                    <w:spacing w:line="240" w:lineRule="auto"/>
                    <w:jc w:val="center"/>
                    <w:rPr>
                      <w:rFonts w:hint="default" w:ascii="Times New Roman" w:hAnsi="Times New Roman" w:eastAsia="宋体" w:cs="Times New Roman"/>
                      <w:color w:val="auto"/>
                      <w:szCs w:val="21"/>
                      <w:highlight w:val="none"/>
                    </w:rPr>
                  </w:pPr>
                </w:p>
              </w:tc>
              <w:tc>
                <w:tcPr>
                  <w:tcW w:w="1192" w:type="dxa"/>
                  <w:vAlign w:val="center"/>
                </w:tcPr>
                <w:p>
                  <w:pPr>
                    <w:spacing w:line="240" w:lineRule="auto"/>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56" w:type="dxa"/>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卸油、加油区</w:t>
                  </w:r>
                </w:p>
              </w:tc>
              <w:tc>
                <w:tcPr>
                  <w:tcW w:w="1431" w:type="dxa"/>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汽油</w:t>
                  </w:r>
                </w:p>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柴油</w:t>
                  </w:r>
                </w:p>
              </w:tc>
              <w:tc>
                <w:tcPr>
                  <w:tcW w:w="6402" w:type="dxa"/>
                  <w:gridSpan w:val="5"/>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卸油、加油均通过地下管道传输；</w:t>
                  </w:r>
                </w:p>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加油区设汽油、柴油加油机共</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台。</w:t>
                  </w:r>
                </w:p>
              </w:tc>
            </w:tr>
          </w:tbl>
          <w:p>
            <w:pPr>
              <w:tabs>
                <w:tab w:val="right" w:leader="dot" w:pos="8505"/>
              </w:tabs>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根据《建设项目环境影响风险评价技术导则》（HJ 169-2018），环境风险评价工作等级划分原则见表9-4。</w:t>
            </w:r>
          </w:p>
          <w:p>
            <w:pPr>
              <w:spacing w:line="240" w:lineRule="auto"/>
              <w:ind w:firstLine="48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表9-4 环境风险评价工作等级划分</w:t>
            </w:r>
          </w:p>
          <w:tbl>
            <w:tblPr>
              <w:tblStyle w:val="27"/>
              <w:tblW w:w="902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31"/>
              <w:gridCol w:w="1631"/>
              <w:gridCol w:w="1857"/>
              <w:gridCol w:w="2160"/>
              <w:gridCol w:w="16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1" w:type="dxa"/>
                  <w:tcBorders>
                    <w:top w:val="single" w:color="000000" w:sz="12" w:space="0"/>
                    <w:left w:val="nil"/>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环境风险潜势</w:t>
                  </w:r>
                </w:p>
              </w:tc>
              <w:tc>
                <w:tcPr>
                  <w:tcW w:w="1631" w:type="dxa"/>
                  <w:tcBorders>
                    <w:top w:val="single" w:color="000000" w:sz="12"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Ⅳ、Ⅳ</w:t>
                  </w:r>
                  <w:r>
                    <w:rPr>
                      <w:rFonts w:hint="default" w:ascii="Times New Roman" w:hAnsi="Times New Roman" w:eastAsia="宋体" w:cs="Times New Roman"/>
                      <w:b/>
                      <w:color w:val="auto"/>
                      <w:szCs w:val="21"/>
                      <w:highlight w:val="none"/>
                      <w:vertAlign w:val="superscript"/>
                    </w:rPr>
                    <w:t>+</w:t>
                  </w:r>
                </w:p>
              </w:tc>
              <w:tc>
                <w:tcPr>
                  <w:tcW w:w="1857" w:type="dxa"/>
                  <w:tcBorders>
                    <w:top w:val="single" w:color="000000" w:sz="12"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Ⅲ</w:t>
                  </w:r>
                </w:p>
              </w:tc>
              <w:tc>
                <w:tcPr>
                  <w:tcW w:w="2160" w:type="dxa"/>
                  <w:tcBorders>
                    <w:top w:val="single" w:color="000000" w:sz="12"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Ⅱ</w:t>
                  </w:r>
                </w:p>
              </w:tc>
              <w:tc>
                <w:tcPr>
                  <w:tcW w:w="1647" w:type="dxa"/>
                  <w:tcBorders>
                    <w:top w:val="single" w:color="000000" w:sz="12" w:space="0"/>
                    <w:left w:val="single" w:color="000000" w:sz="4" w:space="0"/>
                    <w:bottom w:val="single" w:color="000000" w:sz="4" w:space="0"/>
                    <w:right w:val="nil"/>
                  </w:tcBorders>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1" w:type="dxa"/>
                  <w:tcBorders>
                    <w:top w:val="single" w:color="000000" w:sz="4" w:space="0"/>
                    <w:left w:val="nil"/>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评价工作等级</w:t>
                  </w:r>
                </w:p>
              </w:tc>
              <w:tc>
                <w:tcPr>
                  <w:tcW w:w="163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w:t>
                  </w:r>
                </w:p>
              </w:tc>
              <w:tc>
                <w:tcPr>
                  <w:tcW w:w="185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p>
              </w:tc>
              <w:tc>
                <w:tcPr>
                  <w:tcW w:w="2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p>
              </w:tc>
              <w:tc>
                <w:tcPr>
                  <w:tcW w:w="1647" w:type="dxa"/>
                  <w:tcBorders>
                    <w:top w:val="single" w:color="000000" w:sz="4" w:space="0"/>
                    <w:left w:val="single" w:color="000000" w:sz="4" w:space="0"/>
                    <w:bottom w:val="single" w:color="000000" w:sz="4" w:space="0"/>
                    <w:right w:val="nil"/>
                  </w:tcBorders>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简单分析</w:t>
                  </w:r>
                  <w:r>
                    <w:rPr>
                      <w:rFonts w:hint="default" w:ascii="Times New Roman" w:hAnsi="Times New Roman" w:eastAsia="宋体" w:cs="Times New Roman"/>
                      <w:color w:val="auto"/>
                      <w:szCs w:val="21"/>
                      <w:highlight w:val="none"/>
                      <w:vertAlign w:val="superscript"/>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026" w:type="dxa"/>
                  <w:gridSpan w:val="5"/>
                  <w:tcBorders>
                    <w:top w:val="single" w:color="000000" w:sz="4" w:space="0"/>
                    <w:left w:val="nil"/>
                    <w:bottom w:val="single" w:color="000000" w:sz="12" w:space="0"/>
                    <w:right w:val="nil"/>
                  </w:tcBorders>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a是相对于详细评价工作内容而言，在描述危险物质、环境影响途径、环境危害后果、风险防范措施等方面给出的定型说明</w:t>
                  </w:r>
                </w:p>
              </w:tc>
            </w:tr>
          </w:tbl>
          <w:p>
            <w:pPr>
              <w:widowControl/>
              <w:tabs>
                <w:tab w:val="left" w:leader="middleDot" w:pos="0"/>
              </w:tabs>
              <w:adjustRightInd w:val="0"/>
              <w:snapToGrid w:val="0"/>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油类物质临界量为2500t，经计算Q=（</w:t>
            </w:r>
            <w:r>
              <w:rPr>
                <w:rFonts w:hint="eastAsia" w:ascii="Times New Roman" w:hAnsi="Times New Roman" w:eastAsia="宋体" w:cs="Times New Roman"/>
                <w:color w:val="auto"/>
                <w:kern w:val="0"/>
                <w:sz w:val="24"/>
                <w:szCs w:val="24"/>
                <w:highlight w:val="none"/>
                <w:lang w:val="en-US" w:eastAsia="zh-CN"/>
              </w:rPr>
              <w:t>35.52</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55.68</w:t>
            </w:r>
            <w:r>
              <w:rPr>
                <w:rFonts w:hint="default" w:ascii="Times New Roman" w:hAnsi="Times New Roman" w:eastAsia="宋体" w:cs="Times New Roman"/>
                <w:color w:val="auto"/>
                <w:kern w:val="0"/>
                <w:sz w:val="24"/>
                <w:szCs w:val="24"/>
                <w:highlight w:val="none"/>
              </w:rPr>
              <w:t>）/2500=</w:t>
            </w:r>
            <w:r>
              <w:rPr>
                <w:rFonts w:hint="default"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kern w:val="0"/>
                <w:sz w:val="24"/>
                <w:szCs w:val="24"/>
                <w:highlight w:val="none"/>
              </w:rPr>
              <w:t>/2500=0.0</w:t>
            </w:r>
            <w:r>
              <w:rPr>
                <w:rFonts w:hint="default" w:ascii="Times New Roman" w:hAnsi="Times New Roman" w:eastAsia="宋体" w:cs="Times New Roman"/>
                <w:color w:val="auto"/>
                <w:kern w:val="0"/>
                <w:sz w:val="24"/>
                <w:szCs w:val="24"/>
                <w:highlight w:val="none"/>
                <w:lang w:val="en-US" w:eastAsia="zh-CN"/>
              </w:rPr>
              <w:t>6156</w:t>
            </w:r>
            <w:r>
              <w:rPr>
                <w:rFonts w:hint="default" w:ascii="Times New Roman" w:hAnsi="Times New Roman" w:eastAsia="宋体" w:cs="Times New Roman"/>
                <w:color w:val="auto"/>
                <w:kern w:val="0"/>
                <w:sz w:val="24"/>
                <w:szCs w:val="24"/>
                <w:highlight w:val="none"/>
              </w:rPr>
              <w:t>＜1，环境风险潜势为Ⅰ，因此本项目仅需要进行简单分析。</w:t>
            </w:r>
          </w:p>
          <w:p>
            <w:pPr>
              <w:ind w:firstLine="559" w:firstLineChars="23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（二）环境敏感目标概况</w:t>
            </w:r>
          </w:p>
          <w:p>
            <w:pPr>
              <w:ind w:firstLine="460" w:firstLineChars="19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环境风险保护目标为：以</w:t>
            </w:r>
            <w:r>
              <w:rPr>
                <w:rFonts w:hint="default" w:ascii="Times New Roman" w:hAnsi="Times New Roman" w:eastAsia="宋体" w:cs="Times New Roman"/>
                <w:color w:val="auto"/>
                <w:sz w:val="24"/>
                <w:szCs w:val="24"/>
                <w:highlight w:val="none"/>
              </w:rPr>
              <w:t>本项目地埋式油罐为中心6km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的圆形区域（调查半径1.4km）</w:t>
            </w:r>
            <w:r>
              <w:rPr>
                <w:rFonts w:hint="default" w:ascii="Times New Roman" w:hAnsi="Times New Roman" w:eastAsia="宋体" w:cs="Times New Roman"/>
                <w:color w:val="auto"/>
                <w:sz w:val="24"/>
                <w:szCs w:val="24"/>
                <w:highlight w:val="none"/>
                <w:lang w:val="en-US" w:eastAsia="zh-CN"/>
              </w:rPr>
              <w:t>的地下水环境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为中心，边长5km的矩形区域的</w:t>
            </w:r>
            <w:r>
              <w:rPr>
                <w:rFonts w:hint="default" w:ascii="Times New Roman" w:hAnsi="Times New Roman" w:eastAsia="宋体" w:cs="Times New Roman"/>
                <w:color w:val="auto"/>
                <w:sz w:val="24"/>
                <w:szCs w:val="24"/>
                <w:lang w:val="en-US" w:eastAsia="zh-CN"/>
              </w:rPr>
              <w:t>大气环境保护目标</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其中包括，</w:t>
            </w:r>
            <w:r>
              <w:rPr>
                <w:rFonts w:hint="default" w:ascii="Times New Roman" w:hAnsi="Times New Roman" w:eastAsia="宋体" w:cs="Times New Roman"/>
                <w:color w:val="auto"/>
                <w:sz w:val="24"/>
                <w:szCs w:val="24"/>
                <w:highlight w:val="none"/>
                <w:lang w:val="en-US" w:eastAsia="zh-CN"/>
              </w:rPr>
              <w:t>桦树村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双兴村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朱家村</w:t>
            </w:r>
            <w:r>
              <w:rPr>
                <w:rFonts w:hint="eastAsia" w:ascii="Times New Roman" w:hAnsi="Times New Roman" w:eastAsia="宋体" w:cs="Times New Roman"/>
                <w:color w:val="auto"/>
                <w:sz w:val="24"/>
                <w:szCs w:val="24"/>
                <w:lang w:val="en-US" w:eastAsia="zh-CN"/>
              </w:rPr>
              <w:t>）。</w:t>
            </w:r>
          </w:p>
          <w:p>
            <w:pPr>
              <w:ind w:firstLine="559" w:firstLineChars="23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（三）环境风险识别</w:t>
            </w:r>
          </w:p>
          <w:p>
            <w:pPr>
              <w:ind w:firstLine="460" w:firstLineChars="19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t>本项目危险物质主要为储罐中的汽油和</w:t>
            </w:r>
            <w:r>
              <w:rPr>
                <w:rFonts w:hint="default" w:ascii="Times New Roman" w:hAnsi="Times New Roman" w:eastAsia="宋体" w:cs="Times New Roman"/>
                <w:color w:val="auto"/>
                <w:sz w:val="24"/>
                <w:szCs w:val="24"/>
                <w:highlight w:val="none"/>
              </w:rPr>
              <w:t>柴油，站区建有</w:t>
            </w:r>
            <w:r>
              <w:rPr>
                <w:rFonts w:hint="default" w:ascii="Times New Roman" w:hAnsi="Times New Roman" w:eastAsia="宋体" w:cs="Times New Roman"/>
                <w:color w:val="auto"/>
                <w:sz w:val="24"/>
                <w:szCs w:val="24"/>
              </w:rPr>
              <w:t>双层防渗埋地油罐</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个（其中，</w:t>
            </w:r>
            <w:r>
              <w:rPr>
                <w:rFonts w:hint="default" w:ascii="Times New Roman" w:hAnsi="Times New Roman" w:eastAsia="宋体" w:cs="Times New Roman"/>
                <w:color w:val="auto"/>
              </w:rPr>
              <w:t>双层钢制汽油罐</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；双层钢制柴油罐</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占地面积</w:t>
            </w:r>
            <w:r>
              <w:rPr>
                <w:rFonts w:hint="eastAsia" w:ascii="Times New Roman" w:hAnsi="Times New Roman" w:eastAsia="宋体" w:cs="Times New Roman"/>
                <w:color w:val="auto"/>
                <w:sz w:val="24"/>
                <w:szCs w:val="24"/>
                <w:highlight w:val="none"/>
                <w:lang w:val="en-US" w:eastAsia="zh-CN"/>
              </w:rPr>
              <w:t>145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，均位于</w:t>
            </w:r>
            <w:r>
              <w:rPr>
                <w:rFonts w:hint="default" w:ascii="Times New Roman" w:hAnsi="Times New Roman" w:eastAsia="宋体" w:cs="Times New Roman"/>
                <w:bCs/>
                <w:color w:val="auto"/>
                <w:sz w:val="24"/>
                <w:szCs w:val="24"/>
              </w:rPr>
              <w:t>站区</w:t>
            </w:r>
            <w:r>
              <w:rPr>
                <w:rFonts w:hint="eastAsia" w:ascii="Times New Roman" w:hAnsi="Times New Roman" w:eastAsia="宋体" w:cs="Times New Roman"/>
                <w:bCs/>
                <w:color w:val="auto"/>
                <w:sz w:val="24"/>
                <w:szCs w:val="24"/>
                <w:lang w:val="en-US" w:eastAsia="zh-CN"/>
              </w:rPr>
              <w:t>西</w:t>
            </w:r>
            <w:r>
              <w:rPr>
                <w:rFonts w:hint="default" w:ascii="Times New Roman" w:hAnsi="Times New Roman" w:eastAsia="宋体" w:cs="Times New Roman"/>
                <w:color w:val="auto"/>
                <w:sz w:val="24"/>
                <w:szCs w:val="24"/>
                <w:lang w:val="en-US" w:eastAsia="zh-CN"/>
              </w:rPr>
              <w:t>侧</w:t>
            </w:r>
            <w:r>
              <w:rPr>
                <w:rFonts w:hint="default" w:ascii="Times New Roman" w:hAnsi="Times New Roman" w:eastAsia="宋体" w:cs="Times New Roman"/>
                <w:color w:val="auto"/>
                <w:sz w:val="24"/>
                <w:szCs w:val="24"/>
                <w:highlight w:val="none"/>
              </w:rPr>
              <w:t>，为地埋式储罐。</w:t>
            </w:r>
          </w:p>
          <w:p>
            <w:pPr>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于燃料油的燃、爆性，存在泄漏、爆炸、火灾等风险，主要原因是管线缺陷，焊缝开裂，基础工程不合格，管道腐蚀及违规操作、管理不善、自然灾害等。一旦发生泄漏、爆炸、火灾等风险，将对大气和地下水造成影响。</w:t>
            </w:r>
          </w:p>
          <w:p>
            <w:pPr>
              <w:ind w:firstLine="559" w:firstLineChars="23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（四）环境风险分析</w:t>
            </w:r>
          </w:p>
          <w:p>
            <w:pPr>
              <w:numPr>
                <w:ilvl w:val="0"/>
                <w:numId w:val="7"/>
              </w:num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对地下水的污染</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油罐和输油管线的泄漏或渗漏对地下水的污染较为严重，地下水一旦遭到成品油的污染，将使地下水产生严重异味，并具有较强的致畸致癌性，根本无法饮用。又由于这种渗漏必然穿过较厚的土壤层，使土壤层中吸附的燃料油还会随着地表水的下渗对土壤层的冲刷作用补充到地下水，这样即便污染源得到及时控制，地下水要完全恢复也需几十年甚至上百年的时间。</w:t>
            </w:r>
          </w:p>
          <w:p>
            <w:pPr>
              <w:numPr>
                <w:ilvl w:val="0"/>
                <w:numId w:val="7"/>
              </w:num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对大气环境的污染</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根据国内外的研究，对于突发性的事故溢油，油品溢出后在地面呈不规则的面源分布，影响油品挥发速度的主要因素为油品蒸汽压、现场风速、油品溢出面积、油品蒸汽分子平均重度。</w:t>
            </w:r>
            <w:r>
              <w:rPr>
                <w:rFonts w:hint="default" w:ascii="Times New Roman" w:hAnsi="Times New Roman" w:eastAsia="宋体" w:cs="Times New Roman"/>
                <w:color w:val="auto"/>
                <w:spacing w:val="6"/>
                <w:highlight w:val="none"/>
              </w:rPr>
              <w:t>项目采用地埋式储油罐工艺，</w:t>
            </w:r>
            <w:r>
              <w:rPr>
                <w:rFonts w:hint="default" w:ascii="Times New Roman" w:hAnsi="Times New Roman" w:eastAsia="宋体" w:cs="Times New Roman"/>
                <w:color w:val="auto"/>
                <w:highlight w:val="none"/>
              </w:rPr>
              <w:t>加油站一旦发生渗漏与溢出事故时，由于安装了漏油在线监测系统，可及时发现储油罐渗漏，油品渗漏量较小，再由于受储油罐罐基的保护，渗漏出的成品油将积聚在储油区。储油区表面采用了混凝土硬化，较为密闭，油品将主要通过储油区通气管及人孔井非密封处挥发，不会造成大面积的扩散，对大气环境影响较小。</w:t>
            </w:r>
          </w:p>
          <w:p>
            <w:pPr>
              <w:ind w:firstLine="559" w:firstLineChars="23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（五）风险防范措施及应急要求</w:t>
            </w:r>
          </w:p>
          <w:p>
            <w:pPr>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1、风险防范措施</w:t>
            </w:r>
          </w:p>
          <w:p>
            <w:pPr>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为降低风险概率，其设计和施工要严格执行《汽车加油加气站设计与施工规范》（GB50156-2012）（2014年修订版）的各项规定，为增大对自然灾害的防范能力，应按地震裂度八度设防，提高储油基础结构的抗震强度，确保储油罐和输油管线在一般的自然灾害下不发生泄漏。</w:t>
            </w:r>
          </w:p>
          <w:p>
            <w:pPr>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（2）厂区总平面布置应符合防范事故的要求，各设备、管道间应设置安全防护距离和防火间距，有应急救援设施及救援通道、应急疏散及避难所。</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（3）提高员工素质。增强安全意识。建立严格的安全管理制度，杜绝违章动火、吸烟等现象，按规定配备劳动防护用品经常性地向职工进行安全和健康防护方面的教育。</w:t>
            </w:r>
          </w:p>
          <w:p>
            <w:pPr>
              <w:ind w:firstLine="460" w:firstLineChars="19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（4）加油站内各类设备选用安全可靠设备，站内设备和管道应经过防腐处理。加油站设置</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只</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kg手提式干粉灭火器</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只</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rPr>
              <w:t>二氧化碳灭火器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配置灭火毯</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块，沙子</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（5）在站内可能聚集汽油的位置，设置可燃气体监测报警器和连锁切断系统，可燃气体检测器和报警器的选用和安装，应符合国家现行标准《石油化工可燃气体和有毒气体检测报警设计</w:t>
            </w:r>
            <w:r>
              <w:rPr>
                <w:rFonts w:hint="eastAsia" w:ascii="Times New Roman" w:hAnsi="Times New Roman" w:eastAsia="宋体" w:cs="Times New Roman"/>
                <w:color w:val="auto"/>
                <w:highlight w:val="none"/>
                <w:lang w:val="en-US" w:eastAsia="zh-CN"/>
              </w:rPr>
              <w:t>标准</w:t>
            </w:r>
            <w:r>
              <w:rPr>
                <w:rFonts w:hint="default" w:ascii="Times New Roman" w:hAnsi="Times New Roman" w:eastAsia="宋体" w:cs="Times New Roman"/>
                <w:color w:val="auto"/>
                <w:highlight w:val="none"/>
              </w:rPr>
              <w:t>》（GB</w:t>
            </w:r>
            <w:r>
              <w:rPr>
                <w:rFonts w:hint="eastAsia" w:ascii="Times New Roman" w:hAnsi="Times New Roman" w:eastAsia="宋体" w:cs="Times New Roman"/>
                <w:color w:val="auto"/>
                <w:highlight w:val="none"/>
                <w:lang w:val="en-US" w:eastAsia="zh-CN"/>
              </w:rPr>
              <w:t>/T50493</w:t>
            </w:r>
            <w:r>
              <w:rPr>
                <w:rFonts w:hint="default" w:ascii="Times New Roman" w:hAnsi="Times New Roman" w:eastAsia="宋体" w:cs="Times New Roman"/>
                <w:color w:val="auto"/>
                <w:highlight w:val="none"/>
              </w:rPr>
              <w:t>-20</w:t>
            </w:r>
            <w:r>
              <w:rPr>
                <w:rFonts w:hint="eastAsia"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）的有关规定。</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（6）加油的汽油罐车卸车场地，应设罐车卸车时用的防静电接地装置，并宜设置能检测跨接线及监视接地装置状态的静电接地仪；使用密闭加油技术，卸油时必须采用密闭卸油。</w:t>
            </w:r>
          </w:p>
          <w:p>
            <w:pPr>
              <w:ind w:firstLine="460" w:firstLineChars="19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（7）罐区内爆炸危险区域内的电气设备选型、安装、电力线路敷设等，应符合现行国家标准《</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"http://www.baidu.com/link?url=pETywKeE3vD3baZZPSHa2OubbResCCJL5O51_2uUP_PamRNBINnyLMdUL_X7wDMH" \t "https://www.baidu.com/_blank"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爆炸危险环境电力装置设计规范</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》（GB 50058-2014）的规定。</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（8）埋地油罐与露出地面的工艺管道相互做电气连接并接地。</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（9）加油机的油泵、流量计、计数器、照明灯和各种管路，应防火、防爆、紧固严密、不渗不漏、不误动。</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（10）设置禁止性提示公告，严禁在加油站内使用手机、对讲机等通许设施，严禁在加油站内吸烟。</w:t>
            </w:r>
          </w:p>
          <w:p>
            <w:pPr>
              <w:ind w:firstLine="480" w:firstLineChars="200"/>
              <w:rPr>
                <w:rFonts w:hint="default" w:ascii="Times New Roman" w:hAnsi="Times New Roman" w:eastAsia="宋体" w:cs="Times New Roman"/>
                <w:color w:val="auto"/>
                <w:highlight w:val="none"/>
              </w:rPr>
            </w:pPr>
            <w:bookmarkStart w:id="294" w:name="_Toc133044283"/>
            <w:bookmarkStart w:id="295" w:name="_Toc133000454"/>
            <w:bookmarkStart w:id="296" w:name="_Toc133001081"/>
            <w:r>
              <w:rPr>
                <w:rFonts w:hint="default" w:ascii="Times New Roman" w:hAnsi="Times New Roman" w:eastAsia="宋体" w:cs="Times New Roman"/>
                <w:color w:val="auto"/>
                <w:highlight w:val="none"/>
              </w:rPr>
              <w:t>2、油品泄漏事故应急措施</w:t>
            </w:r>
            <w:bookmarkEnd w:id="294"/>
            <w:bookmarkEnd w:id="295"/>
            <w:bookmarkEnd w:id="296"/>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（1）通知消防队，监护泄漏区域，防止引起火灾、爆炸。</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（2）确定泄漏源的位置，采取相应措施以尽量控制、减少原油的泄漏量。</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（3）停止输油作业，然后关闭所有阀门。</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（4）组织抢修队进行抢修。</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（5）对泄漏出的原油及时进行清理。</w:t>
            </w:r>
          </w:p>
          <w:p>
            <w:pPr>
              <w:ind w:firstLine="480" w:firstLineChars="200"/>
              <w:rPr>
                <w:rFonts w:hint="default" w:ascii="Times New Roman" w:hAnsi="Times New Roman" w:eastAsia="宋体" w:cs="Times New Roman"/>
                <w:color w:val="auto"/>
                <w:highlight w:val="none"/>
              </w:rPr>
            </w:pPr>
            <w:bookmarkStart w:id="297" w:name="_Toc133000456"/>
            <w:bookmarkStart w:id="298" w:name="_Toc132097903"/>
            <w:bookmarkStart w:id="299" w:name="_Toc133001083"/>
            <w:bookmarkStart w:id="300" w:name="_Toc132096902"/>
            <w:bookmarkStart w:id="301" w:name="_Toc132268970"/>
            <w:bookmarkStart w:id="302" w:name="_Toc133044285"/>
            <w:r>
              <w:rPr>
                <w:rFonts w:hint="default" w:ascii="Times New Roman" w:hAnsi="Times New Roman" w:eastAsia="宋体" w:cs="Times New Roman"/>
                <w:color w:val="auto"/>
                <w:highlight w:val="none"/>
              </w:rPr>
              <w:t>3、事故应急预案的建立</w:t>
            </w:r>
            <w:bookmarkEnd w:id="297"/>
            <w:bookmarkEnd w:id="298"/>
            <w:bookmarkEnd w:id="299"/>
            <w:bookmarkEnd w:id="300"/>
            <w:bookmarkEnd w:id="301"/>
            <w:bookmarkEnd w:id="302"/>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于自然灾害或人为原因，当事故灾害不可避免的时候，有效的应急救援行动是唯一可以抵御事故灾害蔓延和减小灾害后果的有力措施。所以，如果在事故灾害发生前建立完善的应急救援系统，可在灾害发生时采取及时有效的应急救援行动，可以最大限度的拯救生命、保护财产、保护环境。事故救援计划应包括以下内容：</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①应急救援系统的建立和组成：</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②应急救援计划的制定；</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③应急培训和演习；</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④应急救援行动；</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⑤现场清除与净化；</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⑥系统的恢复和善后处理。</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事故应急预案应包括以下几个方面：</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①停电时的应急预案；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②易燃易爆物料（大量）泄漏时的应急预案；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③发生火灾时的应急预案；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④发生爆炸时的应急预案；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⑤发生人员中毒时的应急预案；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⑥发生人员烧伤时的应急预案；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⑦生产操作出现严重触电、高温烫伤伤害和严重机械伤害时的应急预案；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⑧生产操作控制出现异常情况时的应急预案；</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⑨特殊气象条件和自然火灾时的应急预案。</w:t>
            </w:r>
          </w:p>
          <w:p>
            <w:pPr>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（六）分析结论</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在严格落实应急措施后，可将风险发生的概率和影响后果降到最低限度。一旦发生事故，及时采取应急措施，可将对大气和地下水的影响降到最低限度，其风险水平可以被接受。</w:t>
            </w:r>
          </w:p>
          <w:p>
            <w:pPr>
              <w:ind w:firstLine="48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表9-</w:t>
            </w:r>
            <w:r>
              <w:rPr>
                <w:rFonts w:hint="default" w:ascii="Times New Roman" w:hAnsi="Times New Roman" w:eastAsia="宋体" w:cs="Times New Roman"/>
                <w:b/>
                <w:color w:val="auto"/>
                <w:highlight w:val="none"/>
                <w:lang w:val="en-US" w:eastAsia="zh-CN"/>
              </w:rPr>
              <w:t>5</w:t>
            </w:r>
            <w:r>
              <w:rPr>
                <w:rFonts w:hint="default" w:ascii="Times New Roman" w:hAnsi="Times New Roman" w:eastAsia="宋体" w:cs="Times New Roman"/>
                <w:b/>
                <w:color w:val="auto"/>
                <w:highlight w:val="none"/>
              </w:rPr>
              <w:t xml:space="preserve"> 建设项目环境风险简单分析内容表</w:t>
            </w:r>
          </w:p>
          <w:tbl>
            <w:tblPr>
              <w:tblStyle w:val="27"/>
              <w:tblW w:w="874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81"/>
              <w:gridCol w:w="1477"/>
              <w:gridCol w:w="1529"/>
              <w:gridCol w:w="1291"/>
              <w:gridCol w:w="1416"/>
              <w:gridCol w:w="125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5" w:hRule="atLeast"/>
                <w:jc w:val="center"/>
              </w:trPr>
              <w:tc>
                <w:tcPr>
                  <w:tcW w:w="17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6967" w:type="dxa"/>
                  <w:gridSpan w:val="5"/>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lang w:eastAsia="zh-CN"/>
                    </w:rPr>
                    <w:t>中国石油天然气股份有限公司黑龙江佳木斯同江经营部第三加油站</w:t>
                  </w:r>
                  <w:r>
                    <w:rPr>
                      <w:rFonts w:hint="default" w:ascii="Times New Roman" w:hAnsi="Times New Roman" w:eastAsia="宋体" w:cs="Times New Roman"/>
                      <w:bCs/>
                      <w:color w:val="auto"/>
                      <w:sz w:val="21"/>
                      <w:szCs w:val="21"/>
                      <w:lang w:eastAsia="zh-CN"/>
                    </w:rPr>
                    <w:t>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8" w:hRule="atLeast"/>
                <w:jc w:val="center"/>
              </w:trPr>
              <w:tc>
                <w:tcPr>
                  <w:tcW w:w="17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1477"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（黑龙江）省</w:t>
                  </w:r>
                </w:p>
              </w:tc>
              <w:tc>
                <w:tcPr>
                  <w:tcW w:w="152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佳木斯</w:t>
                  </w:r>
                  <w:r>
                    <w:rPr>
                      <w:rFonts w:hint="default" w:ascii="Times New Roman" w:hAnsi="Times New Roman" w:eastAsia="宋体" w:cs="Times New Roman"/>
                      <w:color w:val="auto"/>
                      <w:sz w:val="21"/>
                      <w:szCs w:val="21"/>
                      <w:highlight w:val="none"/>
                    </w:rPr>
                    <w:t>）市</w:t>
                  </w:r>
                </w:p>
              </w:tc>
              <w:tc>
                <w:tcPr>
                  <w:tcW w:w="129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同江</w:t>
                  </w:r>
                  <w:r>
                    <w:rPr>
                      <w:rFonts w:hint="default" w:ascii="Times New Roman" w:hAnsi="Times New Roman" w:eastAsia="宋体" w:cs="Times New Roman"/>
                      <w:color w:val="auto"/>
                      <w:sz w:val="21"/>
                      <w:szCs w:val="21"/>
                      <w:highlight w:val="none"/>
                    </w:rPr>
                    <w:t>）区</w:t>
                  </w:r>
                </w:p>
              </w:tc>
              <w:tc>
                <w:tcPr>
                  <w:tcW w:w="1416"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（/）镇</w:t>
                  </w:r>
                </w:p>
              </w:tc>
              <w:tc>
                <w:tcPr>
                  <w:tcW w:w="1254"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 w:hRule="atLeast"/>
                <w:jc w:val="center"/>
              </w:trPr>
              <w:tc>
                <w:tcPr>
                  <w:tcW w:w="17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1477"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529" w:type="dxa"/>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132.556293</w:t>
                  </w:r>
                </w:p>
              </w:tc>
              <w:tc>
                <w:tcPr>
                  <w:tcW w:w="129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2670" w:type="dxa"/>
                  <w:gridSpan w:val="2"/>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47.647884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3" w:hRule="atLeast"/>
                <w:jc w:val="center"/>
              </w:trPr>
              <w:tc>
                <w:tcPr>
                  <w:tcW w:w="17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6967" w:type="dxa"/>
                  <w:gridSpan w:val="5"/>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本项目危险物质主要为储罐中的汽油和柴油，站区建有</w:t>
                  </w:r>
                  <w:r>
                    <w:rPr>
                      <w:rFonts w:hint="default" w:ascii="Times New Roman" w:hAnsi="Times New Roman" w:eastAsia="宋体" w:cs="Times New Roman"/>
                      <w:color w:val="auto"/>
                      <w:sz w:val="21"/>
                      <w:szCs w:val="21"/>
                    </w:rPr>
                    <w:t>双层钢制汽油罐</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；双层钢制柴油罐</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highlight w:val="none"/>
                    </w:rPr>
                    <w:t>，均位于站区</w:t>
                  </w: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lang w:val="en-US" w:eastAsia="zh-CN"/>
                    </w:rPr>
                    <w:t>侧</w:t>
                  </w:r>
                  <w:r>
                    <w:rPr>
                      <w:rFonts w:hint="default" w:ascii="Times New Roman" w:hAnsi="Times New Roman" w:eastAsia="宋体" w:cs="Times New Roman"/>
                      <w:color w:val="auto"/>
                      <w:sz w:val="21"/>
                      <w:szCs w:val="21"/>
                      <w:highlight w:val="none"/>
                    </w:rPr>
                    <w:t>储罐区内，为地埋式储罐。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99" w:hRule="atLeast"/>
                <w:jc w:val="center"/>
              </w:trPr>
              <w:tc>
                <w:tcPr>
                  <w:tcW w:w="17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（大气、地表水、地下水等）</w:t>
                  </w:r>
                </w:p>
              </w:tc>
              <w:tc>
                <w:tcPr>
                  <w:tcW w:w="6967" w:type="dxa"/>
                  <w:gridSpan w:val="5"/>
                  <w:vAlign w:val="center"/>
                </w:tcPr>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地下水：储油罐和输油管线的泄漏或渗漏对地下水的污染较为严重，地下水一旦遭到成品油的污染，将使地下水产生严重异味，并具有较强的致畸致癌性，根本无法饮用。又由于这种渗漏必然穿过较厚的土壤层，使土壤层中吸附的燃料油还会随着地表水的下渗对土壤层的冲刷作用补充到地下水，这样即便污染源得到及时控制，地下水要完全恢复也需几十年甚至上百年的时间。</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大气：根据国内外的研究，对于突发性的事故溢油，油品溢出后在地面呈不规则的面源分布，影响油品挥发速度的主要因素为油品蒸汽压、现场风速、油品溢出面积、油品蒸汽分子平均重度。项目采用地埋式储油罐工艺，加油站一旦发生渗漏与溢出事故时，由于安装了漏油在线监测系统，可及时发现储油罐渗漏，油品渗漏量较小，再由于受储油罐罐基的保护，渗漏出的成品油将积聚在储油区。储油区表面采用了混凝土硬化，较为密闭，油品将主要通过储油区通气管及人孔井非密封处挥发，不会造成大面积的扩散，对大气环境影响较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93" w:hRule="atLeast"/>
                <w:jc w:val="center"/>
              </w:trPr>
              <w:tc>
                <w:tcPr>
                  <w:tcW w:w="1781"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6967" w:type="dxa"/>
                  <w:gridSpan w:val="5"/>
                  <w:vAlign w:val="center"/>
                </w:tcPr>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为降低风险概率，其设计和施工要严格执行《汽车加油加气站设计与施工规范》（GB50156-2012）（2014年修订版）的各项规定，为增大对自然灾害的防范能力，应按地震裂度八度设防，提高储油基础结构的抗震强度，确保储油罐和输油管线在一般的自然灾害下不发生泄漏。</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（2）厂区总平面布置应符合防范事故的要求，各设备、管道间应设置安全防护距离和防火间距，有应急救援设施及救援通道、应急疏散及避难所。</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（3）提高员工素质。增强安全意识。建立严格的安全管理制度，杜绝违章动火、吸烟等现象，按规定配备劳动防护用品经常性地向职工进行安全和健康防护方面的教育。</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（4）加油站内各类设备选用安全可靠设备，站内设备和管道应经过防腐处理。加油站设置</w:t>
                  </w:r>
                  <w:r>
                    <w:rPr>
                      <w:rFonts w:hint="eastAsia"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只</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kg手提式干粉灭火器</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只</w:t>
                  </w:r>
                  <w:r>
                    <w:rPr>
                      <w:rFonts w:hint="eastAsia"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z w:val="21"/>
                      <w:szCs w:val="21"/>
                    </w:rPr>
                    <w:t>二氧化碳灭火器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rPr>
                    <w:t>配置灭火毯</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块，沙子</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p>
                  <w:pPr>
                    <w:spacing w:line="240" w:lineRule="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（5）在站内可能聚集汽油的位置，设置可燃气体监测报警器和连锁切断系统，可燃气体检测器和报警器的选用和安装，应符合国家现行标准</w:t>
                  </w:r>
                  <w:r>
                    <w:rPr>
                      <w:rFonts w:hint="default" w:ascii="Times New Roman" w:hAnsi="Times New Roman" w:eastAsia="宋体" w:cs="Times New Roman"/>
                      <w:color w:val="auto"/>
                      <w:sz w:val="21"/>
                      <w:szCs w:val="21"/>
                      <w:highlight w:val="none"/>
                    </w:rPr>
                    <w:t>《石油化工可燃气体和有毒气体检测报警设计</w:t>
                  </w:r>
                  <w:r>
                    <w:rPr>
                      <w:rFonts w:hint="eastAsia"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》（GB</w:t>
                  </w:r>
                  <w:r>
                    <w:rPr>
                      <w:rFonts w:hint="eastAsia" w:ascii="Times New Roman" w:hAnsi="Times New Roman" w:eastAsia="宋体" w:cs="Times New Roman"/>
                      <w:color w:val="auto"/>
                      <w:sz w:val="21"/>
                      <w:szCs w:val="21"/>
                      <w:highlight w:val="none"/>
                      <w:lang w:val="en-US" w:eastAsia="zh-CN"/>
                    </w:rPr>
                    <w:t>/T50493</w:t>
                  </w:r>
                  <w:r>
                    <w:rPr>
                      <w:rFonts w:hint="default"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pacing w:val="-2"/>
                      <w:sz w:val="21"/>
                      <w:szCs w:val="21"/>
                      <w:highlight w:val="none"/>
                    </w:rPr>
                    <w:t>的有关规定。</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（6）加油的汽油罐车卸车场地，应设罐车卸车时用的防静电接地装置，并宜设置能检测跨接线及监视接地装置状态的静电接地仪；使用密闭加油技术，卸油时必须采用密闭卸油。</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（7）罐区内爆炸危险区域内的电气设备选型、安装、电力线路敷设等，应符合现行国家标准《爆炸和火灾危险环境电力装置设计规范》（GB 50058-2014）的规定。</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（8）埋地油罐与露出地面的工艺管道相互做电气连接并接地。</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（9）加油机的油泵、流量计、计数器、照明灯和各种管路，应防火、防爆、</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紧固严密、不渗不漏、不误动。</w:t>
                  </w:r>
                </w:p>
                <w:p>
                  <w:p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（10）设置禁止性提示公告，严禁在加油站内使用手机、对讲机等通许设施，严禁在加油站内吸烟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81" w:hRule="atLeast"/>
                <w:jc w:val="center"/>
              </w:trPr>
              <w:tc>
                <w:tcPr>
                  <w:tcW w:w="8748" w:type="dxa"/>
                  <w:gridSpan w:val="6"/>
                  <w:vAlign w:val="center"/>
                </w:tcPr>
                <w:p>
                  <w:pP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填表说明（列出项目相关信息及评价说明）</w:t>
                  </w:r>
                </w:p>
              </w:tc>
            </w:tr>
          </w:tbl>
          <w:p>
            <w:pPr>
              <w:pStyle w:val="34"/>
              <w:rPr>
                <w:rFonts w:hint="default" w:ascii="Times New Roman" w:hAnsi="Times New Roman" w:eastAsia="宋体" w:cs="Times New Roman"/>
                <w:color w:val="FF0000"/>
                <w:highlight w:val="none"/>
              </w:rPr>
            </w:pPr>
          </w:p>
        </w:tc>
      </w:tr>
    </w:tbl>
    <w:p>
      <w:pPr>
        <w:pStyle w:val="3"/>
        <w:spacing w:before="0" w:after="0" w:line="413" w:lineRule="auto"/>
        <w:rPr>
          <w:rFonts w:hint="default" w:ascii="Times New Roman" w:hAnsi="Times New Roman" w:eastAsia="宋体" w:cs="Times New Roman"/>
          <w:color w:val="FF0000"/>
          <w:highlight w:val="none"/>
        </w:rPr>
        <w:sectPr>
          <w:pgSz w:w="11906" w:h="16838"/>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bookmarkStart w:id="303" w:name="_Toc17649"/>
    </w:p>
    <w:p>
      <w:pPr>
        <w:pStyle w:val="3"/>
        <w:spacing w:before="0" w:after="0" w:line="413"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十、结论与</w:t>
      </w:r>
      <w:bookmarkStart w:id="304" w:name="_Toc251921961"/>
      <w:r>
        <w:rPr>
          <w:rFonts w:hint="default" w:ascii="Times New Roman" w:hAnsi="Times New Roman" w:eastAsia="宋体" w:cs="Times New Roman"/>
          <w:color w:val="auto"/>
          <w:highlight w:val="none"/>
        </w:rPr>
        <w:t>建议</w:t>
      </w:r>
      <w:bookmarkEnd w:id="303"/>
    </w:p>
    <w:tbl>
      <w:tblPr>
        <w:tblStyle w:val="27"/>
        <w:tblW w:w="9108"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10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1902" w:hRule="atLeast"/>
          <w:jc w:val="center"/>
        </w:trPr>
        <w:tc>
          <w:tcPr>
            <w:tcW w:w="9108" w:type="dxa"/>
          </w:tcPr>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一、</w:t>
            </w:r>
            <w:bookmarkEnd w:id="304"/>
            <w:r>
              <w:rPr>
                <w:rFonts w:hint="default" w:ascii="Times New Roman" w:hAnsi="Times New Roman" w:eastAsia="宋体" w:cs="Times New Roman"/>
                <w:b/>
                <w:color w:val="auto"/>
                <w:highlight w:val="none"/>
              </w:rPr>
              <w:t>产业政策符合性分析结论</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加油站建设项目不属于《产业结构调整指导目录（201</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年本）》中的“限制类”和“淘汰类”项目，属于“允许类”项目，符合国家产业政策要求。</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二、环境质量现状评价结论</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1、环境空气现状</w:t>
            </w:r>
          </w:p>
          <w:p>
            <w:pPr>
              <w:spacing w:line="360" w:lineRule="auto"/>
              <w:ind w:firstLine="480" w:firstLineChars="200"/>
              <w:rPr>
                <w:rFonts w:hint="default" w:ascii="Times New Roman" w:hAnsi="Times New Roman" w:eastAsia="宋体" w:cs="Times New Roman"/>
                <w:color w:val="auto"/>
                <w:highlight w:val="none"/>
              </w:rPr>
            </w:pPr>
            <w:r>
              <w:rPr>
                <w:rFonts w:hint="eastAsia" w:ascii="Times New Roman" w:hAnsi="Times New Roman" w:eastAsia="宋体" w:cs="Times New Roman"/>
                <w:bCs/>
                <w:color w:val="auto"/>
                <w:kern w:val="2"/>
                <w:sz w:val="24"/>
                <w:szCs w:val="24"/>
                <w:lang w:val="en-US" w:eastAsia="zh-CN" w:bidi="ar-SA"/>
              </w:rPr>
              <w:t>本项目位于同江市开发区平安大道南、市政搅拌站西侧。按照《环境影响评价技术导则 大气环境》（HJ2.2-2018）中相关规定要求，本次空气环境质量现状达标情况的判定，是根据佳木斯市环境监测站 2018 年环境空气逐日监测数据，按照 HJ663 中各评价项目的年评价指标进行区域环境空气质量达标情况判断。佳木斯市2018年SO</w:t>
            </w:r>
            <w:r>
              <w:rPr>
                <w:rFonts w:hint="eastAsia" w:ascii="Times New Roman" w:hAnsi="Times New Roman" w:eastAsia="宋体" w:cs="Times New Roman"/>
                <w:bCs/>
                <w:color w:val="auto"/>
                <w:kern w:val="2"/>
                <w:sz w:val="24"/>
                <w:szCs w:val="24"/>
                <w:vertAlign w:val="subscript"/>
                <w:lang w:val="en-US" w:eastAsia="zh-CN" w:bidi="ar-SA"/>
              </w:rPr>
              <w:t>2</w:t>
            </w:r>
            <w:r>
              <w:rPr>
                <w:rFonts w:hint="eastAsia" w:ascii="Times New Roman" w:hAnsi="Times New Roman" w:eastAsia="宋体" w:cs="Times New Roman"/>
                <w:bCs/>
                <w:color w:val="auto"/>
                <w:kern w:val="2"/>
                <w:sz w:val="24"/>
                <w:szCs w:val="24"/>
                <w:lang w:val="en-US" w:eastAsia="zh-CN" w:bidi="ar-SA"/>
              </w:rPr>
              <w:t>、NO</w:t>
            </w:r>
            <w:r>
              <w:rPr>
                <w:rFonts w:hint="eastAsia" w:ascii="Times New Roman" w:hAnsi="Times New Roman" w:eastAsia="宋体" w:cs="Times New Roman"/>
                <w:bCs/>
                <w:color w:val="auto"/>
                <w:kern w:val="2"/>
                <w:sz w:val="24"/>
                <w:szCs w:val="24"/>
                <w:vertAlign w:val="subscript"/>
                <w:lang w:val="en-US" w:eastAsia="zh-CN" w:bidi="ar-SA"/>
              </w:rPr>
              <w:t>2</w:t>
            </w:r>
            <w:r>
              <w:rPr>
                <w:rFonts w:hint="eastAsia" w:ascii="Times New Roman" w:hAnsi="Times New Roman" w:eastAsia="宋体" w:cs="Times New Roman"/>
                <w:bCs/>
                <w:color w:val="auto"/>
                <w:kern w:val="2"/>
                <w:sz w:val="24"/>
                <w:szCs w:val="24"/>
                <w:lang w:val="en-US" w:eastAsia="zh-CN" w:bidi="ar-SA"/>
              </w:rPr>
              <w:t>、PM</w:t>
            </w:r>
            <w:r>
              <w:rPr>
                <w:rFonts w:hint="eastAsia" w:ascii="Times New Roman" w:hAnsi="Times New Roman" w:eastAsia="宋体" w:cs="Times New Roman"/>
                <w:bCs/>
                <w:color w:val="auto"/>
                <w:kern w:val="2"/>
                <w:sz w:val="24"/>
                <w:szCs w:val="24"/>
                <w:vertAlign w:val="subscript"/>
                <w:lang w:val="en-US" w:eastAsia="zh-CN" w:bidi="ar-SA"/>
              </w:rPr>
              <w:t>10</w:t>
            </w:r>
            <w:r>
              <w:rPr>
                <w:rFonts w:hint="eastAsia" w:ascii="Times New Roman" w:hAnsi="Times New Roman" w:eastAsia="宋体" w:cs="Times New Roman"/>
                <w:bCs/>
                <w:color w:val="auto"/>
                <w:kern w:val="2"/>
                <w:sz w:val="24"/>
                <w:szCs w:val="24"/>
                <w:lang w:val="en-US" w:eastAsia="zh-CN" w:bidi="ar-SA"/>
              </w:rPr>
              <w:t>、PM</w:t>
            </w:r>
            <w:r>
              <w:rPr>
                <w:rFonts w:hint="eastAsia" w:ascii="Times New Roman" w:hAnsi="Times New Roman" w:eastAsia="宋体" w:cs="Times New Roman"/>
                <w:bCs/>
                <w:color w:val="auto"/>
                <w:kern w:val="2"/>
                <w:sz w:val="24"/>
                <w:szCs w:val="24"/>
                <w:vertAlign w:val="subscript"/>
                <w:lang w:val="en-US" w:eastAsia="zh-CN" w:bidi="ar-SA"/>
              </w:rPr>
              <w:t>2.5</w:t>
            </w:r>
            <w:r>
              <w:rPr>
                <w:rFonts w:hint="eastAsia" w:ascii="Times New Roman" w:hAnsi="Times New Roman" w:eastAsia="宋体" w:cs="Times New Roman"/>
                <w:bCs/>
                <w:color w:val="auto"/>
                <w:kern w:val="2"/>
                <w:sz w:val="24"/>
                <w:szCs w:val="24"/>
                <w:lang w:val="en-US" w:eastAsia="zh-CN" w:bidi="ar-SA"/>
              </w:rPr>
              <w:t>年均浓度分别为8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、22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、47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、29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 xml:space="preserve"> ；CO 24小时平均第 95 百 分位数为 1.1mg/m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，O</w:t>
            </w:r>
            <w:r>
              <w:rPr>
                <w:rFonts w:hint="eastAsia" w:ascii="Times New Roman" w:hAnsi="Times New Roman" w:eastAsia="宋体" w:cs="Times New Roman"/>
                <w:bCs/>
                <w:color w:val="auto"/>
                <w:kern w:val="2"/>
                <w:sz w:val="24"/>
                <w:szCs w:val="24"/>
                <w:vertAlign w:val="subscript"/>
                <w:lang w:val="en-US" w:eastAsia="zh-CN" w:bidi="ar-SA"/>
              </w:rPr>
              <w:t>3</w:t>
            </w:r>
            <w:r>
              <w:rPr>
                <w:rFonts w:hint="eastAsia" w:ascii="Times New Roman" w:hAnsi="Times New Roman" w:eastAsia="宋体" w:cs="Times New Roman"/>
                <w:bCs/>
                <w:color w:val="auto"/>
                <w:kern w:val="2"/>
                <w:sz w:val="24"/>
                <w:szCs w:val="24"/>
                <w:lang w:val="en-US" w:eastAsia="zh-CN" w:bidi="ar-SA"/>
              </w:rPr>
              <w:t>日最大8小时平均第90百分位数为121 ug/m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；各污染物平均浓度能够满足《环境空气质量标准》（GB3095-2012）二级标准要求，可确定项目所在区域为达标区</w:t>
            </w:r>
            <w:r>
              <w:rPr>
                <w:rFonts w:hint="default" w:ascii="Times New Roman" w:hAnsi="Times New Roman" w:eastAsia="宋体" w:cs="Times New Roman"/>
                <w:color w:val="auto"/>
                <w:highlight w:val="none"/>
              </w:rPr>
              <w:t>。</w:t>
            </w:r>
          </w:p>
          <w:p>
            <w:pPr>
              <w:spacing w:line="360" w:lineRule="auto"/>
              <w:ind w:firstLine="480" w:firstLineChars="200"/>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bCs/>
                <w:color w:val="auto"/>
                <w:sz w:val="24"/>
                <w:szCs w:val="24"/>
              </w:rPr>
              <w:t>黑龙江省星科环境监测有限公司</w:t>
            </w:r>
            <w:r>
              <w:rPr>
                <w:rFonts w:hint="default" w:ascii="Times New Roman" w:hAnsi="Times New Roman" w:eastAsia="宋体" w:cs="Times New Roman"/>
                <w:color w:val="auto"/>
                <w:sz w:val="24"/>
                <w:szCs w:val="24"/>
              </w:rPr>
              <w:t>20</w:t>
            </w:r>
            <w:r>
              <w:rPr>
                <w:rFonts w:hint="eastAsia" w:ascii="Times New Roman" w:cs="Times New Roman"/>
                <w:color w:val="auto"/>
                <w:sz w:val="24"/>
                <w:szCs w:val="24"/>
                <w:lang w:val="en-US" w:eastAsia="zh-CN"/>
              </w:rPr>
              <w:t>20</w:t>
            </w:r>
            <w:r>
              <w:rPr>
                <w:rFonts w:hint="default" w:ascii="Times New Roman" w:hAnsi="Times New Roman" w:eastAsia="宋体" w:cs="Times New Roman"/>
                <w:color w:val="auto"/>
                <w:sz w:val="24"/>
                <w:szCs w:val="24"/>
              </w:rPr>
              <w:t>年0</w:t>
            </w:r>
            <w:r>
              <w:rPr>
                <w:rFonts w:hint="eastAsia" w:ascii="Times New Roman" w:cs="Times New Roman"/>
                <w:color w:val="auto"/>
                <w:sz w:val="24"/>
                <w:szCs w:val="24"/>
                <w:lang w:val="en-US" w:eastAsia="zh-CN"/>
              </w:rPr>
              <w:t>5</w:t>
            </w:r>
            <w:r>
              <w:rPr>
                <w:rFonts w:hint="default" w:ascii="Times New Roman" w:hAnsi="Times New Roman" w:eastAsia="宋体" w:cs="Times New Roman"/>
                <w:color w:val="auto"/>
                <w:sz w:val="24"/>
                <w:szCs w:val="24"/>
              </w:rPr>
              <w:t>月1日-20</w:t>
            </w:r>
            <w:r>
              <w:rPr>
                <w:rFonts w:hint="eastAsia" w:ascii="Times New Roman" w:cs="Times New Roman"/>
                <w:color w:val="auto"/>
                <w:sz w:val="24"/>
                <w:szCs w:val="24"/>
                <w:lang w:val="en-US" w:eastAsia="zh-CN"/>
              </w:rPr>
              <w:t>20</w:t>
            </w:r>
            <w:r>
              <w:rPr>
                <w:rFonts w:hint="default" w:ascii="Times New Roman" w:hAnsi="Times New Roman" w:eastAsia="宋体" w:cs="Times New Roman"/>
                <w:color w:val="auto"/>
                <w:sz w:val="24"/>
                <w:szCs w:val="24"/>
              </w:rPr>
              <w:t>年0</w:t>
            </w:r>
            <w:r>
              <w:rPr>
                <w:rFonts w:hint="eastAsia" w:ascii="Times New Roman"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ascii="Times New Roman" w:cs="Times New Roman"/>
                <w:color w:val="auto"/>
                <w:sz w:val="24"/>
                <w:szCs w:val="24"/>
                <w:lang w:val="en-US" w:eastAsia="zh-CN"/>
              </w:rPr>
              <w:t>7</w:t>
            </w:r>
            <w:r>
              <w:rPr>
                <w:rFonts w:hint="default" w:ascii="Times New Roman" w:hAnsi="Times New Roman" w:eastAsia="宋体" w:cs="Times New Roman"/>
                <w:color w:val="auto"/>
                <w:sz w:val="24"/>
                <w:szCs w:val="24"/>
              </w:rPr>
              <w:t>日对加油站区域环境内监测结果，本项目厂址和下风向的非甲烷总烃浓度均低于检出限浓度，非甲烷总烃浓度满足《环境空气质量 非甲烷总烃限值》(DB13/1577-2012)中二级标准浓度限值要求</w:t>
            </w:r>
            <w:r>
              <w:rPr>
                <w:rFonts w:hint="default" w:ascii="Times New Roman" w:hAnsi="Times New Roman" w:eastAsia="宋体" w:cs="Times New Roman"/>
                <w:color w:val="auto"/>
                <w:kern w:val="0"/>
                <w:highlight w:val="none"/>
                <w:lang w:bidi="ar"/>
              </w:rPr>
              <w:t>。</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2、水环境现状</w:t>
            </w:r>
          </w:p>
          <w:p>
            <w:pPr>
              <w:pStyle w:val="61"/>
              <w:adjustRightInd w:val="0"/>
              <w:snapToGrid w:val="0"/>
              <w:ind w:firstLine="56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本项目参考</w:t>
            </w:r>
            <w:r>
              <w:rPr>
                <w:rFonts w:hint="eastAsia" w:ascii="Times New Roman" w:hAnsi="Times New Roman" w:eastAsia="宋体" w:cs="Times New Roman"/>
                <w:bCs/>
                <w:color w:val="auto"/>
                <w:kern w:val="2"/>
                <w:sz w:val="24"/>
                <w:szCs w:val="24"/>
                <w:lang w:val="en-US" w:eastAsia="zh-CN" w:bidi="ar-SA"/>
              </w:rPr>
              <w:t>《佳木斯海事局同江海事工作船码头工程修复工程项目》环评报告中地表水监测数据。</w:t>
            </w:r>
          </w:p>
          <w:p>
            <w:pPr>
              <w:spacing w:line="520" w:lineRule="exact"/>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根据监测数据可知，</w:t>
            </w:r>
            <w:r>
              <w:rPr>
                <w:rFonts w:hint="default" w:ascii="Times New Roman" w:hAnsi="Times New Roman" w:eastAsia="宋体" w:cs="Times New Roman"/>
                <w:bCs/>
                <w:color w:val="auto"/>
                <w:kern w:val="2"/>
                <w:sz w:val="24"/>
                <w:szCs w:val="24"/>
                <w:lang w:val="en-US" w:eastAsia="zh-CN" w:bidi="ar-SA"/>
              </w:rPr>
              <w:t>松花江3个监测断面，各监测因子指标均满足《地表水环境质量标准》(GB3838-2002)中</w:t>
            </w:r>
            <w:r>
              <w:rPr>
                <w:rFonts w:hint="eastAsia" w:ascii="Times New Roman" w:hAnsi="Times New Roman" w:eastAsia="宋体" w:cs="Times New Roman"/>
                <w:bCs/>
                <w:color w:val="auto"/>
                <w:kern w:val="2"/>
                <w:sz w:val="24"/>
                <w:szCs w:val="24"/>
                <w:lang w:val="en-US" w:eastAsia="zh-CN" w:bidi="ar-SA"/>
              </w:rPr>
              <w:t>Ⅲ</w:t>
            </w:r>
            <w:r>
              <w:rPr>
                <w:rFonts w:hint="default" w:ascii="Times New Roman" w:hAnsi="Times New Roman" w:eastAsia="宋体" w:cs="Times New Roman"/>
                <w:bCs/>
                <w:color w:val="auto"/>
                <w:kern w:val="2"/>
                <w:sz w:val="24"/>
                <w:szCs w:val="24"/>
                <w:lang w:val="en-US" w:eastAsia="zh-CN" w:bidi="ar-SA"/>
              </w:rPr>
              <w:t>类标准要求。</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3、声环境状况</w:t>
            </w:r>
          </w:p>
          <w:p>
            <w:pPr>
              <w:spacing w:line="520" w:lineRule="exact"/>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本项目所在区域为商业、工业混合区，工业混杂，故该区域环境噪声执行2类区域标准。项目周边无其他工业企业，区域噪声值可以满足《声环境质量标准》（GB3096 -2008）中的2类标准要求</w:t>
            </w:r>
            <w:r>
              <w:rPr>
                <w:rFonts w:hint="default" w:ascii="Times New Roman" w:hAnsi="Times New Roman" w:eastAsia="宋体" w:cs="Times New Roman"/>
                <w:bCs/>
                <w:color w:val="auto"/>
                <w:kern w:val="2"/>
                <w:sz w:val="24"/>
                <w:szCs w:val="24"/>
                <w:lang w:val="en-US" w:eastAsia="zh-CN" w:bidi="ar-SA"/>
              </w:rPr>
              <w:t>。</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地下水现状评价结论</w:t>
            </w:r>
          </w:p>
          <w:p>
            <w:pPr>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黑龙江省星科环境监测有限公司</w:t>
            </w:r>
            <w:r>
              <w:rPr>
                <w:rFonts w:hint="default" w:ascii="Times New Roman" w:hAnsi="Times New Roman" w:eastAsia="宋体" w:cs="Times New Roman"/>
                <w:color w:val="auto"/>
                <w:sz w:val="24"/>
                <w:szCs w:val="24"/>
              </w:rPr>
              <w:t>于2019年0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u w:val="none" w:color="000000"/>
              </w:rPr>
              <w:t>现场监测</w:t>
            </w:r>
            <w:r>
              <w:rPr>
                <w:rFonts w:hint="default" w:ascii="Times New Roman" w:hAnsi="Times New Roman" w:eastAsia="宋体" w:cs="Times New Roman"/>
                <w:color w:val="auto"/>
                <w:sz w:val="24"/>
                <w:szCs w:val="24"/>
              </w:rPr>
              <w:t>，通过选取八大离子：钾、钠、钙、镁、CO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、HCO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、Cl</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；基本水质因子：pH值（无量纲）、氨氮、硝酸盐（氮）、亚硝酸盐（氮）、挥发酚、氰化物、砷、汞、铬（六价）、总硬度、铅、氟化物、镉、铁、锰、溶解性总固体、高锰酸盐指数、总大肠菌群（MPN</w:t>
            </w:r>
            <w:r>
              <w:rPr>
                <w:rFonts w:hint="default" w:ascii="Times New Roman" w:hAnsi="Times New Roman" w:eastAsia="宋体" w:cs="Times New Roman"/>
                <w:color w:val="auto"/>
                <w:sz w:val="24"/>
                <w:szCs w:val="24"/>
                <w:vertAlign w:val="superscript"/>
              </w:rPr>
              <w:t>b</w:t>
            </w:r>
            <w:r>
              <w:rPr>
                <w:rFonts w:hint="default" w:ascii="Times New Roman" w:hAnsi="Times New Roman" w:eastAsia="宋体" w:cs="Times New Roman"/>
                <w:color w:val="auto"/>
                <w:sz w:val="24"/>
                <w:szCs w:val="24"/>
              </w:rPr>
              <w:t>/100mL））、硫酸盐、氯化物；特征因子：石油类等因子的分析，结果表明，评价区域地下水水质因子和特征因子均符合《地下水质量标准》（GB/T14848-2017）</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ROMAN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III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类标准，石油类符合</w:t>
            </w:r>
            <w:r>
              <w:rPr>
                <w:rFonts w:hint="default" w:ascii="Times New Roman" w:hAnsi="Times New Roman" w:eastAsia="宋体" w:cs="Times New Roman"/>
                <w:bCs/>
                <w:color w:val="auto"/>
                <w:sz w:val="24"/>
                <w:szCs w:val="24"/>
              </w:rPr>
              <w:t>《生活饮用水卫生标准》（GB5749-2006）附录A生活饮用水水质参考指标及限值</w:t>
            </w:r>
            <w:r>
              <w:rPr>
                <w:rFonts w:hint="default" w:ascii="Times New Roman" w:hAnsi="Times New Roman" w:eastAsia="宋体" w:cs="Times New Roman"/>
                <w:color w:val="auto"/>
                <w:sz w:val="24"/>
                <w:szCs w:val="24"/>
              </w:rPr>
              <w:t>。</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三、总量控制结论</w:t>
            </w:r>
          </w:p>
          <w:p>
            <w:pPr>
              <w:spacing w:line="440" w:lineRule="exact"/>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本项目总量控制指标如下：</w:t>
            </w:r>
          </w:p>
          <w:p>
            <w:pPr>
              <w:spacing w:line="440" w:lineRule="exact"/>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预测排放总量</w:t>
            </w:r>
          </w:p>
          <w:p>
            <w:pPr>
              <w:spacing w:line="440" w:lineRule="exact"/>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挥发性有机物（VOCs）：</w:t>
            </w: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color w:val="auto"/>
                <w:kern w:val="0"/>
                <w:sz w:val="24"/>
                <w:szCs w:val="24"/>
                <w:highlight w:val="none"/>
              </w:rPr>
              <w:t>t/a；</w:t>
            </w:r>
          </w:p>
          <w:p>
            <w:pPr>
              <w:spacing w:line="440" w:lineRule="exact"/>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核</w:t>
            </w:r>
            <w:r>
              <w:rPr>
                <w:rFonts w:hint="default" w:ascii="Times New Roman" w:hAnsi="Times New Roman" w:eastAsia="宋体" w:cs="Times New Roman"/>
                <w:color w:val="auto"/>
                <w:kern w:val="0"/>
                <w:sz w:val="24"/>
                <w:szCs w:val="24"/>
                <w:highlight w:val="none"/>
                <w:lang w:val="en-US" w:eastAsia="zh-CN"/>
              </w:rPr>
              <w:t>算</w:t>
            </w:r>
            <w:r>
              <w:rPr>
                <w:rFonts w:hint="default" w:ascii="Times New Roman" w:hAnsi="Times New Roman" w:eastAsia="宋体" w:cs="Times New Roman"/>
                <w:color w:val="auto"/>
                <w:kern w:val="0"/>
                <w:sz w:val="24"/>
                <w:szCs w:val="24"/>
                <w:highlight w:val="none"/>
              </w:rPr>
              <w:t>排放总量</w:t>
            </w:r>
          </w:p>
          <w:p>
            <w:pPr>
              <w:spacing w:line="44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挥发性有机物（VOCs）：</w:t>
            </w:r>
            <w:r>
              <w:rPr>
                <w:rFonts w:hint="eastAsia" w:ascii="Times New Roman" w:hAnsi="Times New Roman" w:eastAsia="宋体" w:cs="Times New Roman"/>
                <w:color w:val="auto"/>
                <w:kern w:val="2"/>
                <w:sz w:val="24"/>
                <w:szCs w:val="24"/>
                <w:lang w:val="en-US" w:eastAsia="zh-CN"/>
              </w:rPr>
              <w:t>4.141</w:t>
            </w:r>
            <w:r>
              <w:rPr>
                <w:rFonts w:hint="default"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color w:val="auto"/>
                <w:kern w:val="0"/>
                <w:sz w:val="24"/>
                <w:szCs w:val="24"/>
                <w:highlight w:val="none"/>
              </w:rPr>
              <w:t>t/a；</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四、环境影响分析结论</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1、施工期环境影响分析结论</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施工期的环境影响主要为大气扬尘、机械车辆噪声等的影响，由于本项目的施工量不大，而且这种影响影响是短期的、暂时的，施工结束后噪声环境影响就会消失。因此不会对环境产生较大的影响。</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2、营运期环境影响分析结论</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（1）大气环境</w:t>
            </w:r>
          </w:p>
          <w:p>
            <w:pPr>
              <w:pStyle w:val="34"/>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t>本项目的非甲烷总烃的排放属于无组织排放，不涉及有组织废气排放，因此只进行非甲烷总烃废气的无组织排放分析。本项目非甲烷总烃排放量为</w:t>
            </w:r>
            <w:r>
              <w:rPr>
                <w:rFonts w:hint="eastAsia" w:ascii="Times New Roman" w:cs="Times New Roman"/>
                <w:color w:val="auto"/>
                <w:kern w:val="2"/>
                <w:sz w:val="24"/>
                <w:szCs w:val="24"/>
                <w:lang w:val="en-US" w:eastAsia="zh-CN"/>
              </w:rPr>
              <w:t>4.141</w:t>
            </w:r>
            <w:r>
              <w:rPr>
                <w:rFonts w:hint="default"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color w:val="auto"/>
                <w:highlight w:val="none"/>
              </w:rPr>
              <w:t>t/a，应用AERSCREEN估算模型进行预测，厂界外最</w:t>
            </w:r>
            <w:r>
              <w:rPr>
                <w:rFonts w:hint="default" w:ascii="Times New Roman" w:hAnsi="Times New Roman" w:eastAsia="宋体" w:cs="Times New Roman"/>
                <w:color w:val="auto"/>
                <w:sz w:val="24"/>
                <w:szCs w:val="24"/>
                <w:highlight w:val="none"/>
              </w:rPr>
              <w:t>大浓度为</w:t>
            </w:r>
            <w:r>
              <w:rPr>
                <w:rFonts w:hint="default" w:ascii="Times New Roman" w:hAnsi="Times New Roman" w:eastAsia="宋体" w:cs="Times New Roman"/>
                <w:color w:val="auto"/>
                <w:sz w:val="24"/>
                <w:szCs w:val="24"/>
                <w:highlight w:val="none"/>
                <w:lang w:val="en-US" w:eastAsia="zh-CN"/>
              </w:rPr>
              <w:t>0.18422</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sz w:val="24"/>
                <w:szCs w:val="24"/>
                <w:highlight w:val="none"/>
              </w:rPr>
              <w:t>，加油站站界浓度能满足《大气污染物综合排放标准》（GB16297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1996）表2中的非甲烷总烃的无组织排放周界外浓度最高点4.0mg/m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Cs w:val="24"/>
              </w:rPr>
              <w:t>无组织非甲烷总烃厂房外监控点处1h平均浓度值和厂房外监控点处任意一次浓度值同时满足《挥发性有机物无组织排放控制标准》（GB37822-2019)表A.1厂区内VOC</w:t>
            </w:r>
            <w:r>
              <w:rPr>
                <w:rFonts w:hint="default" w:ascii="Times New Roman" w:hAnsi="Times New Roman" w:eastAsia="宋体" w:cs="Times New Roman"/>
                <w:color w:val="auto"/>
                <w:szCs w:val="24"/>
                <w:vertAlign w:val="subscript"/>
              </w:rPr>
              <w:t>S</w:t>
            </w:r>
            <w:r>
              <w:rPr>
                <w:rFonts w:hint="default" w:ascii="Times New Roman" w:hAnsi="Times New Roman" w:eastAsia="宋体" w:cs="Times New Roman"/>
                <w:color w:val="auto"/>
                <w:szCs w:val="24"/>
              </w:rPr>
              <w:t>无组织排放限值要求</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 w:val="24"/>
                <w:szCs w:val="24"/>
                <w:highlight w:val="none"/>
              </w:rPr>
              <w:t>对周围环境影响较小。</w:t>
            </w:r>
          </w:p>
          <w:p>
            <w:pPr>
              <w:pStyle w:val="34"/>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（2）声环境</w:t>
            </w:r>
          </w:p>
          <w:p>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加油站北侧</w:t>
            </w:r>
            <w:r>
              <w:rPr>
                <w:rFonts w:hint="default" w:ascii="Times New Roman" w:hAnsi="Times New Roman" w:eastAsia="宋体" w:cs="Times New Roman"/>
                <w:color w:val="auto"/>
                <w:highlight w:val="none"/>
                <w:lang w:val="en-US" w:eastAsia="zh-CN"/>
              </w:rPr>
              <w:t>、西侧、南</w:t>
            </w:r>
            <w:r>
              <w:rPr>
                <w:rFonts w:hint="default" w:ascii="Times New Roman" w:hAnsi="Times New Roman" w:eastAsia="宋体" w:cs="Times New Roman"/>
                <w:color w:val="auto"/>
                <w:highlight w:val="none"/>
              </w:rPr>
              <w:t>侧站界噪声符合《工业企业厂界环境噪声排放标准》（GB12348-2008）</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类标准要求，加油站</w:t>
            </w:r>
            <w:r>
              <w:rPr>
                <w:rFonts w:hint="default" w:ascii="Times New Roman" w:hAnsi="Times New Roman" w:eastAsia="宋体" w:cs="Times New Roman"/>
                <w:color w:val="auto"/>
                <w:highlight w:val="none"/>
                <w:lang w:val="en-US" w:eastAsia="zh-CN"/>
              </w:rPr>
              <w:t>东侧</w:t>
            </w:r>
            <w:r>
              <w:rPr>
                <w:rFonts w:hint="default" w:ascii="Times New Roman" w:hAnsi="Times New Roman" w:eastAsia="宋体" w:cs="Times New Roman"/>
                <w:color w:val="auto"/>
                <w:highlight w:val="none"/>
              </w:rPr>
              <w:t>站界噪声符合《工业企业厂界环境噪声排放标准》（GB12348-2008）4类标准要求，项目对周围声环境影响可接受。</w:t>
            </w:r>
          </w:p>
          <w:p>
            <w:pPr>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（3）水环境</w:t>
            </w:r>
          </w:p>
          <w:p>
            <w:pPr>
              <w:snapToGri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kern w:val="2"/>
                <w:sz w:val="24"/>
                <w:szCs w:val="24"/>
                <w:lang w:val="en-US" w:eastAsia="zh-CN" w:bidi="ar-SA"/>
              </w:rPr>
              <w:t>生活污水经过防渗化粪池预处理后经过排水管网，进入同江市城市污水处理厂处理达标后排放松花江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对地表水影响较小</w:t>
            </w:r>
            <w:r>
              <w:rPr>
                <w:rFonts w:hint="default" w:ascii="Times New Roman" w:hAnsi="Times New Roman" w:eastAsia="宋体" w:cs="Times New Roman"/>
                <w:bCs/>
                <w:color w:val="auto"/>
                <w:highlight w:val="none"/>
              </w:rPr>
              <w:t>。</w:t>
            </w:r>
          </w:p>
          <w:p>
            <w:pPr>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（4）固体废物</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生活垃圾集中收集后由市政部门统一处理，加油站运营期间危险废物主要为油泥，油泥委托有资质的单位进行无害化处置</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固体废物经上述处理后，处置率100%，不会对周围居民区等环境敏感目标及周围环境产生不利影响。</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（5）地下水环境</w:t>
            </w:r>
          </w:p>
          <w:p>
            <w:pPr>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通过采取防渗等地下水防治措施，能够有效防止对地下水环境的影响。</w:t>
            </w:r>
          </w:p>
          <w:p>
            <w:pPr>
              <w:spacing w:line="440" w:lineRule="exact"/>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本项目在切实落实本报告表所提污染防治措施的前提下，项目产生的废气污染物、废水污染物、噪声和固体废物都能达标排放，不改变加油站周围环境质量现状，各类污染物对外环境影响很小。</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五、环保投资</w:t>
            </w:r>
          </w:p>
          <w:p>
            <w:pPr>
              <w:spacing w:line="440" w:lineRule="exact"/>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本项目环保投资估</w:t>
            </w:r>
            <w:r>
              <w:rPr>
                <w:rFonts w:hint="default" w:ascii="Times New Roman" w:hAnsi="Times New Roman" w:eastAsia="宋体" w:cs="Times New Roman"/>
                <w:color w:val="auto"/>
                <w:kern w:val="0"/>
                <w:sz w:val="24"/>
                <w:szCs w:val="24"/>
                <w:highlight w:val="none"/>
              </w:rPr>
              <w:t>算</w:t>
            </w:r>
            <w:r>
              <w:rPr>
                <w:rFonts w:hint="default" w:ascii="Times New Roman" w:hAnsi="Times New Roman" w:eastAsia="宋体" w:cs="Times New Roman"/>
                <w:color w:val="auto"/>
                <w:sz w:val="24"/>
                <w:szCs w:val="24"/>
                <w:lang w:val="en-US" w:eastAsia="zh-CN"/>
              </w:rPr>
              <w:t>20.5</w:t>
            </w:r>
            <w:r>
              <w:rPr>
                <w:rFonts w:hint="default" w:ascii="Times New Roman" w:hAnsi="Times New Roman" w:eastAsia="宋体" w:cs="Times New Roman"/>
                <w:color w:val="auto"/>
                <w:kern w:val="0"/>
                <w:sz w:val="24"/>
                <w:szCs w:val="24"/>
                <w:highlight w:val="none"/>
              </w:rPr>
              <w:t>万元，占总投资</w:t>
            </w:r>
            <w:r>
              <w:rPr>
                <w:rFonts w:hint="default" w:ascii="Times New Roman" w:hAnsi="Times New Roman" w:eastAsia="宋体" w:cs="Times New Roman"/>
                <w:color w:val="auto"/>
                <w:kern w:val="0"/>
                <w:highlight w:val="none"/>
              </w:rPr>
              <w:t>比例的</w:t>
            </w:r>
            <w:r>
              <w:rPr>
                <w:rFonts w:hint="eastAsia" w:ascii="Times New Roman" w:hAnsi="Times New Roman" w:eastAsia="宋体" w:cs="Times New Roman"/>
                <w:color w:val="auto"/>
                <w:kern w:val="0"/>
                <w:highlight w:val="none"/>
                <w:lang w:val="en-US" w:eastAsia="zh-CN"/>
              </w:rPr>
              <w:t>3.13%</w:t>
            </w:r>
            <w:r>
              <w:rPr>
                <w:rFonts w:hint="default" w:ascii="Times New Roman" w:hAnsi="Times New Roman" w:eastAsia="宋体" w:cs="Times New Roman"/>
                <w:color w:val="auto"/>
                <w:kern w:val="0"/>
                <w:highlight w:val="none"/>
              </w:rPr>
              <w:t>。</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六、总结论</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所述，本项目的建设符合国家产业政策，在全面落实本报告表所提各项污染防治措施的前提下，各类污染物将得到及时处理，并达标排放，对外环境的影响较小，可为现有环境所接受。因此，本项目的建设是可行的。</w:t>
            </w:r>
          </w:p>
          <w:p>
            <w:pPr>
              <w:spacing w:line="440" w:lineRule="exact"/>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七、建议</w:t>
            </w:r>
          </w:p>
          <w:p>
            <w:pPr>
              <w:spacing w:line="44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实现生产目标与环境效益的统一，环境管理应与生产管理紧密结合。在本项目的实施过程中及投产后，该厂的环境管理部门要依法执行环境保护设施与主体工程同时设计、同时施工、同时投产使用的“三同时”制度，将工程的环境管理纳入加油站整个环境管理计划当中，认真贯彻清洁生产原则，协调好发展生产与保护环境的关系，并搞好本项目建设。</w:t>
            </w:r>
          </w:p>
          <w:p>
            <w:pPr>
              <w:rPr>
                <w:rFonts w:hint="default" w:ascii="Times New Roman" w:hAnsi="Times New Roman" w:eastAsia="宋体" w:cs="Times New Roman"/>
                <w:color w:val="FF0000"/>
                <w:sz w:val="28"/>
                <w:szCs w:val="28"/>
                <w:highlight w:val="none"/>
              </w:rPr>
            </w:pPr>
          </w:p>
          <w:p>
            <w:pPr>
              <w:rPr>
                <w:rFonts w:hint="default" w:ascii="Times New Roman" w:hAnsi="Times New Roman" w:eastAsia="宋体" w:cs="Times New Roman"/>
                <w:color w:val="FF0000"/>
                <w:sz w:val="28"/>
                <w:szCs w:val="28"/>
                <w:highlight w:val="none"/>
              </w:rPr>
            </w:pPr>
          </w:p>
        </w:tc>
      </w:tr>
    </w:tbl>
    <w:p>
      <w:pPr>
        <w:rPr>
          <w:rFonts w:hint="default" w:ascii="Times New Roman" w:hAnsi="Times New Roman" w:eastAsia="宋体" w:cs="Times New Roman"/>
          <w:color w:val="FF0000"/>
          <w:highlight w:val="none"/>
        </w:rPr>
        <w:sectPr>
          <w:pgSz w:w="11906" w:h="16838"/>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jc w:val="center"/>
        <w:rPr>
          <w:rFonts w:hint="default" w:ascii="Times New Roman" w:hAnsi="Times New Roman" w:eastAsia="宋体" w:cs="Times New Roman"/>
          <w:color w:val="FF0000"/>
        </w:rPr>
      </w:pPr>
      <w:r>
        <w:rPr>
          <w:rFonts w:hint="eastAsia" w:ascii="Times New Roman" w:hAnsi="Times New Roman" w:eastAsia="宋体" w:cs="Times New Roman"/>
          <w:b/>
          <w:color w:val="FF0000"/>
          <w:szCs w:val="21"/>
          <w:lang w:eastAsia="zh-CN"/>
        </w:rPr>
        <w:drawing>
          <wp:anchor distT="0" distB="0" distL="114300" distR="114300" simplePos="0" relativeHeight="1416058880" behindDoc="0" locked="0" layoutInCell="1" allowOverlap="1">
            <wp:simplePos x="0" y="0"/>
            <wp:positionH relativeFrom="column">
              <wp:posOffset>6670040</wp:posOffset>
            </wp:positionH>
            <wp:positionV relativeFrom="paragraph">
              <wp:posOffset>62230</wp:posOffset>
            </wp:positionV>
            <wp:extent cx="1038225" cy="1095375"/>
            <wp:effectExtent l="0" t="0" r="9525" b="9525"/>
            <wp:wrapNone/>
            <wp:docPr id="9" name="图片 9" descr="158987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871825(1)"/>
                    <pic:cNvPicPr>
                      <a:picLocks noChangeAspect="1"/>
                    </pic:cNvPicPr>
                  </pic:nvPicPr>
                  <pic:blipFill>
                    <a:blip r:embed="rId10"/>
                    <a:stretch>
                      <a:fillRect/>
                    </a:stretch>
                  </pic:blipFill>
                  <pic:spPr>
                    <a:xfrm>
                      <a:off x="0" y="0"/>
                      <a:ext cx="1038225" cy="1095375"/>
                    </a:xfrm>
                    <a:prstGeom prst="rect">
                      <a:avLst/>
                    </a:prstGeom>
                  </pic:spPr>
                </pic:pic>
              </a:graphicData>
            </a:graphic>
          </wp:anchor>
        </w:drawing>
      </w:r>
      <w:r>
        <w:rPr>
          <w:rFonts w:hint="default" w:ascii="Times New Roman" w:hAnsi="Times New Roman" w:eastAsia="宋体" w:cs="Times New Roman"/>
          <w:color w:val="FF0000"/>
          <w:sz w:val="24"/>
        </w:rPr>
        <mc:AlternateContent>
          <mc:Choice Requires="wps">
            <w:drawing>
              <wp:anchor distT="0" distB="0" distL="114300" distR="114300" simplePos="0" relativeHeight="2580453376" behindDoc="0" locked="0" layoutInCell="1" allowOverlap="1">
                <wp:simplePos x="0" y="0"/>
                <wp:positionH relativeFrom="column">
                  <wp:posOffset>4909820</wp:posOffset>
                </wp:positionH>
                <wp:positionV relativeFrom="paragraph">
                  <wp:posOffset>1846580</wp:posOffset>
                </wp:positionV>
                <wp:extent cx="742950" cy="335280"/>
                <wp:effectExtent l="447040" t="6350" r="10160" b="191770"/>
                <wp:wrapNone/>
                <wp:docPr id="92" name="矩形标注 92"/>
                <wp:cNvGraphicFramePr/>
                <a:graphic xmlns:a="http://schemas.openxmlformats.org/drawingml/2006/main">
                  <a:graphicData uri="http://schemas.microsoft.com/office/word/2010/wordprocessingShape">
                    <wps:wsp>
                      <wps:cNvSpPr/>
                      <wps:spPr>
                        <a:xfrm>
                          <a:off x="5822315" y="3926205"/>
                          <a:ext cx="742950" cy="335280"/>
                        </a:xfrm>
                        <a:prstGeom prst="wedgeRectCallout">
                          <a:avLst>
                            <a:gd name="adj1" fmla="val -104166"/>
                            <a:gd name="adj2" fmla="val 9672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6.6pt;margin-top:145.4pt;height:26.4pt;width:58.5pt;z-index:-1714513920;v-text-anchor:middle;mso-width-relative:page;mso-height-relative:page;" filled="f" stroked="t" coordsize="21600,21600" o:gfxdata="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q0zrzZAAAACwEAAA8AAAAAAAAAAQAgAAAAIgAAAGRycy9kb3ducmV2LnhtbFBLAQIUABQAAAAI&#10;AIdO4kB6H8WClwIAAPoEAAAOAAAAAAAAAAEAIAAAACgBAABkcnMvZTJvRG9jLnhtbFBLBQYAAAAA&#10;BgAGAFkBAAAxBgAAAAA=&#10;" adj="-11700,31693">
                <v:fill on="f" focussize="0,0"/>
                <v:stroke weight="1pt" color="#000000 [3213]" miterlimit="8" joinstyle="miter"/>
                <v:imagedata o:title=""/>
                <o:lock v:ext="edit" aspectratio="f"/>
                <v:textbox>
                  <w:txbxContent>
                    <w:p>
                      <w:pPr>
                        <w:jc w:val="both"/>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r>
        <w:drawing>
          <wp:inline distT="0" distB="0" distL="114300" distR="114300">
            <wp:extent cx="6577965" cy="4883785"/>
            <wp:effectExtent l="0" t="0" r="13335" b="1206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7"/>
                    <a:stretch>
                      <a:fillRect/>
                    </a:stretch>
                  </pic:blipFill>
                  <pic:spPr>
                    <a:xfrm>
                      <a:off x="0" y="0"/>
                      <a:ext cx="6577965" cy="4883785"/>
                    </a:xfrm>
                    <a:prstGeom prst="rect">
                      <a:avLst/>
                    </a:prstGeom>
                    <a:noFill/>
                    <a:ln>
                      <a:noFill/>
                    </a:ln>
                  </pic:spPr>
                </pic:pic>
              </a:graphicData>
            </a:graphic>
          </wp:inline>
        </w:drawing>
      </w:r>
      <w:r>
        <w:rPr>
          <w:rFonts w:hint="default" w:ascii="Times New Roman" w:hAnsi="Times New Roman" w:eastAsia="宋体" w:cs="Times New Roman"/>
          <w:color w:val="FF0000"/>
        </w:rPr>
        <w:t xml:space="preserve"> </w:t>
      </w:r>
    </w:p>
    <w:p>
      <w:pPr>
        <w:jc w:val="center"/>
        <w:rPr>
          <w:rFonts w:hint="eastAsia"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附图1建设项目地理位置图</w:t>
      </w:r>
    </w:p>
    <w:p>
      <w:pPr>
        <w:jc w:val="center"/>
        <w:rPr>
          <w:rFonts w:hint="default" w:ascii="Times New Roman" w:hAnsi="Times New Roman" w:eastAsia="宋体" w:cs="Times New Roman"/>
          <w:b/>
          <w:color w:val="FF0000"/>
          <w:szCs w:val="21"/>
        </w:rPr>
      </w:pPr>
      <w:r>
        <w:drawing>
          <wp:inline distT="0" distB="0" distL="114300" distR="114300">
            <wp:extent cx="6621780" cy="4702175"/>
            <wp:effectExtent l="0" t="0" r="7620" b="317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6621780" cy="4702175"/>
                    </a:xfrm>
                    <a:prstGeom prst="rect">
                      <a:avLst/>
                    </a:prstGeom>
                    <a:noFill/>
                    <a:ln>
                      <a:noFill/>
                    </a:ln>
                  </pic:spPr>
                </pic:pic>
              </a:graphicData>
            </a:graphic>
          </wp:inline>
        </w:drawing>
      </w:r>
    </w:p>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附图2平面布置图</w:t>
      </w:r>
    </w:p>
    <w:p>
      <w:pPr>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drawing>
          <wp:inline distT="0" distB="0" distL="114300" distR="114300">
            <wp:extent cx="2879725" cy="2160270"/>
            <wp:effectExtent l="0" t="0" r="15875" b="11430"/>
            <wp:docPr id="12" name="图片 12" descr="东"/>
            <wp:cNvGraphicFramePr/>
            <a:graphic xmlns:a="http://schemas.openxmlformats.org/drawingml/2006/main">
              <a:graphicData uri="http://schemas.openxmlformats.org/drawingml/2006/picture">
                <pic:pic xmlns:pic="http://schemas.openxmlformats.org/drawingml/2006/picture">
                  <pic:nvPicPr>
                    <pic:cNvPr id="12" name="图片 12" descr="东"/>
                    <pic:cNvPicPr/>
                  </pic:nvPicPr>
                  <pic:blipFill>
                    <a:blip r:embed="rId19"/>
                    <a:stretch>
                      <a:fillRect/>
                    </a:stretch>
                  </pic:blipFill>
                  <pic:spPr>
                    <a:xfrm>
                      <a:off x="0" y="0"/>
                      <a:ext cx="2879725" cy="2160270"/>
                    </a:xfrm>
                    <a:prstGeom prst="rect">
                      <a:avLst/>
                    </a:prstGeom>
                  </pic:spPr>
                </pic:pic>
              </a:graphicData>
            </a:graphic>
          </wp:inline>
        </w:drawing>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lang w:val="en-US" w:eastAsia="zh-CN"/>
        </w:rPr>
        <w:drawing>
          <wp:inline distT="0" distB="0" distL="114300" distR="114300">
            <wp:extent cx="2879725" cy="2160270"/>
            <wp:effectExtent l="0" t="0" r="15875" b="11430"/>
            <wp:docPr id="13" name="图片 13" descr="南"/>
            <wp:cNvGraphicFramePr/>
            <a:graphic xmlns:a="http://schemas.openxmlformats.org/drawingml/2006/main">
              <a:graphicData uri="http://schemas.openxmlformats.org/drawingml/2006/picture">
                <pic:pic xmlns:pic="http://schemas.openxmlformats.org/drawingml/2006/picture">
                  <pic:nvPicPr>
                    <pic:cNvPr id="13" name="图片 13" descr="南"/>
                    <pic:cNvPicPr/>
                  </pic:nvPicPr>
                  <pic:blipFill>
                    <a:blip r:embed="rId20"/>
                    <a:stretch>
                      <a:fillRect/>
                    </a:stretch>
                  </pic:blipFill>
                  <pic:spPr>
                    <a:xfrm>
                      <a:off x="0" y="0"/>
                      <a:ext cx="2879725" cy="2160270"/>
                    </a:xfrm>
                    <a:prstGeom prst="rect">
                      <a:avLst/>
                    </a:prstGeom>
                  </pic:spPr>
                </pic:pic>
              </a:graphicData>
            </a:graphic>
          </wp:inline>
        </w:drawing>
      </w:r>
    </w:p>
    <w:p>
      <w:pPr>
        <w:pStyle w:val="34"/>
        <w:numPr>
          <w:ilvl w:val="0"/>
          <w:numId w:val="0"/>
        </w:numPr>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color w:val="auto"/>
          <w:kern w:val="0"/>
          <w:lang w:val="en-US" w:eastAsia="zh-CN"/>
        </w:rPr>
        <w:t>东侧为</w:t>
      </w:r>
      <w:r>
        <w:rPr>
          <w:rFonts w:hint="eastAsia" w:ascii="Times New Roman" w:cs="Times New Roman"/>
          <w:color w:val="auto"/>
          <w:kern w:val="0"/>
          <w:lang w:val="en-US" w:eastAsia="zh-CN"/>
        </w:rPr>
        <w:t>农田</w:t>
      </w:r>
      <w:r>
        <w:rPr>
          <w:rFonts w:hint="default" w:ascii="Times New Roman" w:hAnsi="Times New Roman" w:eastAsia="宋体" w:cs="Times New Roman"/>
          <w:color w:val="auto"/>
          <w:kern w:val="0"/>
          <w:lang w:val="en-US" w:eastAsia="zh-CN"/>
        </w:rPr>
        <w:t xml:space="preserve">                       </w:t>
      </w:r>
      <w:r>
        <w:rPr>
          <w:rFonts w:hint="eastAsia" w:ascii="Times New Roman" w:cs="Times New Roman"/>
          <w:color w:val="auto"/>
          <w:kern w:val="0"/>
          <w:lang w:val="en-US" w:eastAsia="zh-CN"/>
        </w:rPr>
        <w:t xml:space="preserve">       </w:t>
      </w:r>
      <w:r>
        <w:rPr>
          <w:rFonts w:hint="default" w:ascii="Times New Roman" w:hAnsi="Times New Roman" w:eastAsia="宋体" w:cs="Times New Roman"/>
          <w:color w:val="auto"/>
          <w:sz w:val="24"/>
          <w:szCs w:val="24"/>
          <w:lang w:val="en-US" w:eastAsia="zh-CN"/>
        </w:rPr>
        <w:t>南侧</w:t>
      </w:r>
      <w:r>
        <w:rPr>
          <w:rFonts w:hint="eastAsia" w:ascii="Times New Roman" w:cs="Times New Roman"/>
          <w:color w:val="auto"/>
          <w:sz w:val="24"/>
          <w:szCs w:val="24"/>
          <w:lang w:val="en-US" w:eastAsia="zh-CN"/>
        </w:rPr>
        <w:t>为树林</w:t>
      </w:r>
    </w:p>
    <w:p>
      <w:pPr>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drawing>
          <wp:inline distT="0" distB="0" distL="114300" distR="114300">
            <wp:extent cx="2879725" cy="2160270"/>
            <wp:effectExtent l="0" t="0" r="15875" b="11430"/>
            <wp:docPr id="14" name="图片 14" descr="西"/>
            <wp:cNvGraphicFramePr/>
            <a:graphic xmlns:a="http://schemas.openxmlformats.org/drawingml/2006/main">
              <a:graphicData uri="http://schemas.openxmlformats.org/drawingml/2006/picture">
                <pic:pic xmlns:pic="http://schemas.openxmlformats.org/drawingml/2006/picture">
                  <pic:nvPicPr>
                    <pic:cNvPr id="14" name="图片 14" descr="西"/>
                    <pic:cNvPicPr/>
                  </pic:nvPicPr>
                  <pic:blipFill>
                    <a:blip r:embed="rId21"/>
                    <a:stretch>
                      <a:fillRect/>
                    </a:stretch>
                  </pic:blipFill>
                  <pic:spPr>
                    <a:xfrm>
                      <a:off x="0" y="0"/>
                      <a:ext cx="2879725" cy="2160270"/>
                    </a:xfrm>
                    <a:prstGeom prst="rect">
                      <a:avLst/>
                    </a:prstGeom>
                  </pic:spPr>
                </pic:pic>
              </a:graphicData>
            </a:graphic>
          </wp:inline>
        </w:drawing>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lang w:val="en-US" w:eastAsia="zh-CN"/>
        </w:rPr>
        <w:drawing>
          <wp:inline distT="0" distB="0" distL="114300" distR="114300">
            <wp:extent cx="2879725" cy="2160270"/>
            <wp:effectExtent l="0" t="0" r="15875" b="11430"/>
            <wp:docPr id="15" name="图片 15" descr="北"/>
            <wp:cNvGraphicFramePr/>
            <a:graphic xmlns:a="http://schemas.openxmlformats.org/drawingml/2006/main">
              <a:graphicData uri="http://schemas.openxmlformats.org/drawingml/2006/picture">
                <pic:pic xmlns:pic="http://schemas.openxmlformats.org/drawingml/2006/picture">
                  <pic:nvPicPr>
                    <pic:cNvPr id="15" name="图片 15" descr="北"/>
                    <pic:cNvPicPr/>
                  </pic:nvPicPr>
                  <pic:blipFill>
                    <a:blip r:embed="rId22"/>
                    <a:stretch>
                      <a:fillRect/>
                    </a:stretch>
                  </pic:blipFill>
                  <pic:spPr>
                    <a:xfrm>
                      <a:off x="0" y="0"/>
                      <a:ext cx="2879725" cy="2160270"/>
                    </a:xfrm>
                    <a:prstGeom prst="rect">
                      <a:avLst/>
                    </a:prstGeom>
                  </pic:spPr>
                </pic:pic>
              </a:graphicData>
            </a:graphic>
          </wp:inline>
        </w:drawing>
      </w:r>
    </w:p>
    <w:p>
      <w:pPr>
        <w:pStyle w:val="34"/>
        <w:jc w:val="center"/>
        <w:rPr>
          <w:rFonts w:hint="default" w:ascii="Times New Roman" w:hAnsi="Times New Roman" w:eastAsia="宋体" w:cs="Times New Roman"/>
          <w:color w:val="auto"/>
          <w:lang w:val="en-US" w:eastAsia="zh-CN"/>
        </w:rPr>
      </w:pPr>
      <w:r>
        <w:rPr>
          <w:rFonts w:hint="eastAsia" w:ascii="Times New Roman" w:cs="Times New Roman"/>
          <w:color w:val="auto"/>
          <w:kern w:val="0"/>
          <w:lang w:val="en-US" w:eastAsia="zh-CN"/>
        </w:rPr>
        <w:t xml:space="preserve">   </w:t>
      </w:r>
      <w:r>
        <w:rPr>
          <w:rFonts w:hint="default" w:ascii="Times New Roman" w:hAnsi="Times New Roman" w:eastAsia="宋体" w:cs="Times New Roman"/>
          <w:color w:val="auto"/>
          <w:kern w:val="0"/>
          <w:lang w:val="en-US" w:eastAsia="zh-CN"/>
        </w:rPr>
        <w:t>西侧为</w:t>
      </w:r>
      <w:r>
        <w:rPr>
          <w:rFonts w:hint="eastAsia" w:ascii="Times New Roman" w:cs="Times New Roman"/>
          <w:color w:val="auto"/>
          <w:kern w:val="0"/>
          <w:lang w:val="en-US" w:eastAsia="zh-CN"/>
        </w:rPr>
        <w:t>树林</w:t>
      </w:r>
      <w:r>
        <w:rPr>
          <w:rFonts w:hint="default" w:ascii="Times New Roman" w:hAnsi="Times New Roman" w:eastAsia="宋体" w:cs="Times New Roman"/>
          <w:color w:val="auto"/>
          <w:kern w:val="0"/>
          <w:lang w:val="en-US" w:eastAsia="zh-CN"/>
        </w:rPr>
        <w:t xml:space="preserve">                </w:t>
      </w:r>
      <w:r>
        <w:rPr>
          <w:rFonts w:hint="eastAsia" w:ascii="Times New Roman" w:cs="Times New Roman"/>
          <w:color w:val="auto"/>
          <w:kern w:val="0"/>
          <w:lang w:val="en-US" w:eastAsia="zh-CN"/>
        </w:rPr>
        <w:t xml:space="preserve">     </w:t>
      </w:r>
      <w:r>
        <w:rPr>
          <w:rFonts w:hint="default" w:ascii="Times New Roman" w:hAnsi="Times New Roman" w:eastAsia="宋体" w:cs="Times New Roman"/>
          <w:color w:val="auto"/>
          <w:kern w:val="0"/>
          <w:lang w:val="en-US" w:eastAsia="zh-CN"/>
        </w:rPr>
        <w:t xml:space="preserve">  北侧</w:t>
      </w:r>
      <w:r>
        <w:rPr>
          <w:rFonts w:hint="eastAsia" w:ascii="Times New Roman" w:cs="Times New Roman"/>
          <w:color w:val="auto"/>
          <w:kern w:val="0"/>
          <w:lang w:val="en-US" w:eastAsia="zh-CN"/>
        </w:rPr>
        <w:t>隔平安大道</w:t>
      </w:r>
      <w:r>
        <w:rPr>
          <w:rFonts w:hint="default" w:ascii="Times New Roman" w:hAnsi="Times New Roman" w:eastAsia="宋体" w:cs="Times New Roman"/>
          <w:color w:val="auto"/>
          <w:kern w:val="0"/>
          <w:lang w:val="en-US" w:eastAsia="zh-CN"/>
        </w:rPr>
        <w:t>为</w:t>
      </w:r>
      <w:r>
        <w:rPr>
          <w:rFonts w:hint="eastAsia" w:ascii="Times New Roman" w:cs="Times New Roman"/>
          <w:color w:val="auto"/>
          <w:kern w:val="0"/>
          <w:lang w:val="en-US" w:eastAsia="zh-CN"/>
        </w:rPr>
        <w:t>农田</w:t>
      </w:r>
    </w:p>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附图</w:t>
      </w:r>
      <w:r>
        <w:rPr>
          <w:rFonts w:hint="default"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项目区域现状图</w:t>
      </w:r>
    </w:p>
    <w:p>
      <w:pPr>
        <w:pStyle w:val="34"/>
        <w:rPr>
          <w:rFonts w:hint="default" w:ascii="Times New Roman" w:hAnsi="Times New Roman" w:eastAsia="宋体" w:cs="Times New Roman"/>
          <w:b/>
          <w:color w:val="FF0000"/>
          <w:szCs w:val="21"/>
        </w:rPr>
      </w:pPr>
    </w:p>
    <w:p>
      <w:pPr>
        <w:pStyle w:val="34"/>
        <w:rPr>
          <w:rFonts w:hint="default" w:ascii="Times New Roman" w:cs="Times New Roman"/>
          <w:b/>
          <w:color w:val="auto"/>
          <w:szCs w:val="21"/>
          <w:lang w:val="en-US" w:eastAsia="zh-CN"/>
        </w:rPr>
      </w:pPr>
      <w:r>
        <w:rPr>
          <w:rFonts w:hint="eastAsia" w:ascii="Times New Roman" w:cs="Times New Roman"/>
          <w:b/>
          <w:color w:val="auto"/>
          <w:szCs w:val="21"/>
          <w:lang w:val="en-US" w:eastAsia="zh-CN"/>
        </w:rPr>
        <w:t>附件1 营业执照</w:t>
      </w:r>
    </w:p>
    <w:p>
      <w:pPr>
        <w:jc w:val="center"/>
        <w:rPr>
          <w:rFonts w:hint="default"/>
          <w:lang w:val="en-US" w:eastAsia="zh-CN"/>
        </w:rPr>
        <w:sectPr>
          <w:pgSz w:w="16838" w:h="11906" w:orient="landscape"/>
          <w:pgMar w:top="1800"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7579360" cy="5041900"/>
            <wp:effectExtent l="0" t="0" r="2540" b="6350"/>
            <wp:docPr id="16" name="图片 1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营业执照"/>
                    <pic:cNvPicPr>
                      <a:picLocks noChangeAspect="1"/>
                    </pic:cNvPicPr>
                  </pic:nvPicPr>
                  <pic:blipFill>
                    <a:blip r:embed="rId23"/>
                    <a:stretch>
                      <a:fillRect/>
                    </a:stretch>
                  </pic:blipFill>
                  <pic:spPr>
                    <a:xfrm>
                      <a:off x="0" y="0"/>
                      <a:ext cx="7579360" cy="5041900"/>
                    </a:xfrm>
                    <a:prstGeom prst="rect">
                      <a:avLst/>
                    </a:prstGeom>
                  </pic:spPr>
                </pic:pic>
              </a:graphicData>
            </a:graphic>
          </wp:inline>
        </w:drawing>
      </w:r>
    </w:p>
    <w:p>
      <w:pPr>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 xml:space="preserve">附件2 </w:t>
      </w:r>
      <w:r>
        <w:rPr>
          <w:rFonts w:hint="default" w:ascii="Times New Roman" w:hAnsi="Times New Roman" w:eastAsia="宋体" w:cs="Times New Roman"/>
          <w:b/>
          <w:color w:val="auto"/>
          <w:szCs w:val="21"/>
        </w:rPr>
        <w:t>大气污染物计算说明</w:t>
      </w:r>
    </w:p>
    <w:p>
      <w:pPr>
        <w:ind w:left="72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大气污染物计算说明</w:t>
      </w:r>
    </w:p>
    <w:p>
      <w:pPr>
        <w:spacing w:line="500" w:lineRule="exact"/>
        <w:ind w:firstLine="480" w:firstLineChars="200"/>
        <w:rPr>
          <w:color w:val="auto"/>
          <w:sz w:val="24"/>
          <w:szCs w:val="24"/>
        </w:rPr>
      </w:pPr>
      <w:r>
        <w:rPr>
          <w:color w:val="auto"/>
          <w:sz w:val="24"/>
          <w:szCs w:val="24"/>
        </w:rPr>
        <w:t>本项目挥发性有机物VOCs产生量根据《大气挥发性有机物源排放清单编制技术指南(试行)》进行计算：</w:t>
      </w:r>
    </w:p>
    <w:p>
      <w:pPr>
        <w:spacing w:line="500" w:lineRule="exact"/>
        <w:ind w:firstLine="480" w:firstLineChars="200"/>
        <w:rPr>
          <w:color w:val="auto"/>
          <w:sz w:val="24"/>
          <w:szCs w:val="24"/>
        </w:rPr>
      </w:pPr>
      <w:r>
        <w:rPr>
          <w:color w:val="auto"/>
          <w:sz w:val="24"/>
          <w:szCs w:val="24"/>
        </w:rPr>
        <w:t>挥发性有机物年产生量=年销售量（kg）×3.243g/kg油品</w:t>
      </w:r>
    </w:p>
    <w:p>
      <w:pPr>
        <w:spacing w:line="360" w:lineRule="auto"/>
        <w:ind w:firstLine="480" w:firstLineChars="200"/>
        <w:rPr>
          <w:color w:val="auto"/>
          <w:sz w:val="24"/>
          <w:szCs w:val="24"/>
        </w:rPr>
      </w:pPr>
      <w:r>
        <w:rPr>
          <w:rFonts w:hint="eastAsia"/>
          <w:color w:val="auto"/>
          <w:sz w:val="24"/>
          <w:szCs w:val="24"/>
        </w:rPr>
        <w:t>本项目汽油挥发性有机物年产生量</w:t>
      </w:r>
      <w:r>
        <w:rPr>
          <w:color w:val="auto"/>
          <w:sz w:val="24"/>
          <w:szCs w:val="24"/>
        </w:rPr>
        <w:t>=</w:t>
      </w:r>
      <w:r>
        <w:rPr>
          <w:rFonts w:hint="eastAsia" w:ascii="Times New Roman" w:hAnsi="Times New Roman" w:cs="Times New Roman"/>
          <w:color w:val="auto"/>
          <w:sz w:val="24"/>
          <w:szCs w:val="24"/>
          <w:lang w:val="en-US" w:eastAsia="zh-CN"/>
        </w:rPr>
        <w:t>2000</w:t>
      </w:r>
      <w:r>
        <w:rPr>
          <w:rFonts w:hint="default" w:ascii="Times New Roman" w:hAnsi="Times New Roman" w:cs="Times New Roman"/>
          <w:color w:val="auto"/>
          <w:sz w:val="24"/>
          <w:szCs w:val="24"/>
          <w:lang w:val="en-US" w:eastAsia="zh-CN"/>
        </w:rPr>
        <w:t xml:space="preserve"> </w:t>
      </w:r>
      <w:r>
        <w:rPr>
          <w:color w:val="auto"/>
          <w:sz w:val="24"/>
          <w:szCs w:val="24"/>
        </w:rPr>
        <w:t>×1000kg/a×3.243g/kg=</w:t>
      </w:r>
      <w:r>
        <w:rPr>
          <w:rFonts w:hint="default" w:ascii="Times New Roman" w:hAnsi="Times New Roman" w:cs="Times New Roman"/>
          <w:color w:val="auto"/>
          <w:sz w:val="24"/>
          <w:szCs w:val="24"/>
          <w:lang w:val="en-US" w:eastAsia="zh-CN"/>
        </w:rPr>
        <w:t>6.486</w:t>
      </w:r>
      <w:r>
        <w:rPr>
          <w:color w:val="auto"/>
          <w:sz w:val="24"/>
          <w:szCs w:val="24"/>
        </w:rPr>
        <w:t>t/a</w:t>
      </w:r>
      <w:r>
        <w:rPr>
          <w:rFonts w:hint="eastAsia"/>
          <w:color w:val="auto"/>
          <w:sz w:val="24"/>
          <w:szCs w:val="24"/>
        </w:rPr>
        <w:t>；</w:t>
      </w:r>
    </w:p>
    <w:p>
      <w:pPr>
        <w:spacing w:line="360" w:lineRule="auto"/>
        <w:ind w:firstLine="480" w:firstLineChars="200"/>
        <w:rPr>
          <w:color w:val="auto"/>
          <w:sz w:val="24"/>
          <w:szCs w:val="24"/>
        </w:rPr>
      </w:pPr>
      <w:r>
        <w:rPr>
          <w:rFonts w:hint="eastAsia"/>
          <w:color w:val="auto"/>
          <w:sz w:val="24"/>
          <w:szCs w:val="24"/>
        </w:rPr>
        <w:t>本项目柴油挥发性有机物年产生量</w:t>
      </w:r>
      <w:r>
        <w:rPr>
          <w:color w:val="auto"/>
          <w:sz w:val="24"/>
          <w:szCs w:val="24"/>
        </w:rPr>
        <w:t>=</w:t>
      </w:r>
      <w:r>
        <w:rPr>
          <w:rFonts w:hint="eastAsia" w:ascii="Times New Roman" w:hAnsi="Times New Roman" w:cs="Times New Roman"/>
          <w:color w:val="auto"/>
          <w:sz w:val="24"/>
          <w:szCs w:val="24"/>
          <w:lang w:val="en-US" w:eastAsia="zh-CN"/>
        </w:rPr>
        <w:t>1000</w:t>
      </w:r>
      <w:r>
        <w:rPr>
          <w:color w:val="auto"/>
          <w:sz w:val="24"/>
          <w:szCs w:val="24"/>
        </w:rPr>
        <w:t>×1000kg/a×3.243g/kg=</w:t>
      </w:r>
      <w:r>
        <w:rPr>
          <w:rFonts w:hint="default" w:ascii="Times New Roman" w:hAnsi="Times New Roman" w:cs="Times New Roman"/>
          <w:color w:val="auto"/>
          <w:sz w:val="24"/>
          <w:szCs w:val="24"/>
        </w:rPr>
        <w:t>3.243</w:t>
      </w:r>
      <w:r>
        <w:rPr>
          <w:color w:val="auto"/>
          <w:sz w:val="24"/>
          <w:szCs w:val="24"/>
        </w:rPr>
        <w:t>t/a</w:t>
      </w:r>
      <w:r>
        <w:rPr>
          <w:rFonts w:hint="eastAsia"/>
          <w:color w:val="auto"/>
          <w:sz w:val="24"/>
          <w:szCs w:val="24"/>
        </w:rPr>
        <w:t>；</w:t>
      </w:r>
    </w:p>
    <w:p>
      <w:pPr>
        <w:spacing w:line="360" w:lineRule="auto"/>
        <w:ind w:firstLine="480" w:firstLineChars="200"/>
        <w:rPr>
          <w:color w:val="auto"/>
          <w:sz w:val="24"/>
          <w:szCs w:val="24"/>
        </w:rPr>
      </w:pPr>
      <w:r>
        <w:rPr>
          <w:rFonts w:hint="eastAsia"/>
          <w:color w:val="auto"/>
          <w:sz w:val="24"/>
          <w:szCs w:val="24"/>
        </w:rPr>
        <w:t>本项目汽油与柴油挥发性有机物年产生量</w:t>
      </w:r>
      <w:r>
        <w:rPr>
          <w:color w:val="auto"/>
          <w:sz w:val="24"/>
          <w:szCs w:val="24"/>
        </w:rPr>
        <w:t>=</w:t>
      </w:r>
      <w:r>
        <w:rPr>
          <w:rFonts w:hint="default" w:ascii="Times New Roman" w:hAnsi="Times New Roman" w:cs="Times New Roman"/>
          <w:color w:val="auto"/>
          <w:sz w:val="24"/>
          <w:szCs w:val="24"/>
          <w:lang w:val="en-US" w:eastAsia="zh-CN"/>
        </w:rPr>
        <w:t>9.729</w:t>
      </w:r>
      <w:r>
        <w:rPr>
          <w:color w:val="auto"/>
          <w:sz w:val="24"/>
          <w:szCs w:val="24"/>
        </w:rPr>
        <w:t>t/a</w:t>
      </w:r>
      <w:r>
        <w:rPr>
          <w:rFonts w:hint="eastAsia"/>
          <w:color w:val="auto"/>
          <w:sz w:val="24"/>
          <w:szCs w:val="24"/>
        </w:rPr>
        <w:t>。</w:t>
      </w:r>
    </w:p>
    <w:p>
      <w:pPr>
        <w:spacing w:line="500" w:lineRule="exact"/>
        <w:ind w:firstLine="482" w:firstLineChars="200"/>
        <w:rPr>
          <w:b/>
          <w:color w:val="auto"/>
          <w:sz w:val="24"/>
          <w:szCs w:val="24"/>
        </w:rPr>
      </w:pPr>
      <w:r>
        <w:rPr>
          <w:b/>
          <w:color w:val="auto"/>
          <w:sz w:val="24"/>
          <w:szCs w:val="24"/>
        </w:rPr>
        <w:t>拱顶罐小呼吸量：</w:t>
      </w:r>
    </w:p>
    <w:p>
      <w:pPr>
        <w:ind w:firstLine="480" w:firstLineChars="200"/>
        <w:jc w:val="center"/>
        <w:rPr>
          <w:color w:val="auto"/>
          <w:sz w:val="24"/>
          <w:szCs w:val="24"/>
        </w:rPr>
      </w:pPr>
      <w:r>
        <w:rPr>
          <w:color w:val="auto"/>
          <w:sz w:val="24"/>
          <w:szCs w:val="24"/>
        </w:rPr>
        <w:t>小呼吸产生量（m</w:t>
      </w:r>
      <w:r>
        <w:rPr>
          <w:color w:val="auto"/>
          <w:sz w:val="24"/>
          <w:szCs w:val="24"/>
          <w:vertAlign w:val="superscript"/>
        </w:rPr>
        <w:t>3</w:t>
      </w:r>
      <w:r>
        <w:rPr>
          <w:color w:val="auto"/>
          <w:sz w:val="24"/>
          <w:szCs w:val="24"/>
        </w:rPr>
        <w:t>/a）</w:t>
      </w:r>
      <w:r>
        <w:rPr>
          <w:rFonts w:ascii="Times New Roman" w:hAnsi="Times New Roman" w:eastAsia="华文中宋"/>
          <w:color w:val="auto"/>
          <w:position w:val="-32"/>
          <w:sz w:val="24"/>
          <w:szCs w:val="24"/>
        </w:rPr>
        <w:object>
          <v:shape id="_x0000_i1025" o:spt="75" alt="" type="#_x0000_t75" style="height:40.1pt;width:245.2pt;" o:ole="t" filled="f" o:preferrelative="t" stroked="f" coordsize="21600,21600">
            <v:path/>
            <v:fill on="f" focussize="0,0"/>
            <v:stroke on="f"/>
            <v:imagedata r:id="rId25" o:title=""/>
            <o:lock v:ext="edit" aspectratio="t"/>
            <w10:wrap type="none"/>
            <w10:anchorlock/>
          </v:shape>
          <o:OLEObject Type="Embed" ProgID="Equation.3" ShapeID="_x0000_i1025" DrawAspect="Content" ObjectID="_1468075725" r:id="rId24">
            <o:LockedField>false</o:LockedField>
          </o:OLEObject>
        </w:object>
      </w:r>
    </w:p>
    <w:p>
      <w:pPr>
        <w:spacing w:line="500" w:lineRule="exact"/>
        <w:ind w:firstLine="480" w:firstLineChars="200"/>
        <w:jc w:val="center"/>
        <w:rPr>
          <w:color w:val="auto"/>
          <w:sz w:val="24"/>
          <w:szCs w:val="24"/>
        </w:rPr>
      </w:pPr>
      <w:r>
        <w:rPr>
          <w:color w:val="auto"/>
          <w:sz w:val="24"/>
          <w:szCs w:val="24"/>
        </w:rPr>
        <w:t>（公式依据《石油库节能设计导则》）</w:t>
      </w:r>
    </w:p>
    <w:p>
      <w:pPr>
        <w:spacing w:line="500" w:lineRule="exact"/>
        <w:ind w:firstLine="480" w:firstLineChars="200"/>
        <w:jc w:val="left"/>
        <w:rPr>
          <w:color w:val="auto"/>
          <w:sz w:val="24"/>
          <w:szCs w:val="24"/>
        </w:rPr>
      </w:pPr>
      <w:r>
        <w:rPr>
          <w:color w:val="auto"/>
          <w:position w:val="-10"/>
          <w:sz w:val="24"/>
          <w:szCs w:val="24"/>
        </w:rPr>
        <w:object>
          <v:shape id="_x0000_i1026" o:spt="75" alt="" type="#_x0000_t75" style="height:17.55pt;width:17.55pt;" o:ole="t" filled="f" o:preferrelative="t" stroked="f" coordsize="21600,21600">
            <v:path/>
            <v:fill on="f" focussize="0,0"/>
            <v:stroke on="f"/>
            <v:imagedata r:id="rId27" o:title=""/>
            <o:lock v:ext="edit" aspectratio="t"/>
            <w10:wrap type="none"/>
            <w10:anchorlock/>
          </v:shape>
          <o:OLEObject Type="Embed" ProgID="Equations" ShapeID="_x0000_i1026" DrawAspect="Content" ObjectID="_1468075726" r:id="rId26">
            <o:LockedField>false</o:LockedField>
          </o:OLEObject>
        </w:object>
      </w:r>
      <w:r>
        <w:rPr>
          <w:color w:val="auto"/>
          <w:sz w:val="24"/>
          <w:szCs w:val="24"/>
        </w:rPr>
        <w:t>—拱顶罐年小呼吸损耗量(m</w:t>
      </w:r>
      <w:r>
        <w:rPr>
          <w:color w:val="auto"/>
          <w:sz w:val="24"/>
          <w:szCs w:val="24"/>
          <w:vertAlign w:val="superscript"/>
        </w:rPr>
        <w:t>3</w:t>
      </w:r>
      <w:r>
        <w:rPr>
          <w:color w:val="auto"/>
          <w:sz w:val="24"/>
          <w:szCs w:val="24"/>
        </w:rPr>
        <w:t>/a)；</w:t>
      </w:r>
    </w:p>
    <w:p>
      <w:pPr>
        <w:spacing w:line="500" w:lineRule="exact"/>
        <w:ind w:firstLine="480" w:firstLineChars="200"/>
        <w:jc w:val="left"/>
        <w:rPr>
          <w:color w:val="auto"/>
          <w:sz w:val="24"/>
          <w:szCs w:val="24"/>
        </w:rPr>
      </w:pPr>
      <w:r>
        <w:rPr>
          <w:color w:val="auto"/>
          <w:position w:val="-4"/>
          <w:sz w:val="24"/>
          <w:szCs w:val="24"/>
        </w:rPr>
        <w:object>
          <v:shape id="_x0000_i1027" o:spt="75" alt="" type="#_x0000_t75" style="height:12.5pt;width:12.5pt;" o:ole="t" filled="f" o:preferrelative="t" stroked="f" coordsize="21600,21600">
            <v:path/>
            <v:fill on="f" focussize="0,0"/>
            <v:stroke on="f"/>
            <v:imagedata r:id="rId29" o:title=""/>
            <o:lock v:ext="edit" aspectratio="t"/>
            <w10:wrap type="none"/>
            <w10:anchorlock/>
          </v:shape>
          <o:OLEObject Type="Embed" ProgID="Equations" ShapeID="_x0000_i1027" DrawAspect="Content" ObjectID="_1468075727" r:id="rId28">
            <o:LockedField>false</o:LockedField>
          </o:OLEObject>
        </w:object>
      </w:r>
      <w:r>
        <w:rPr>
          <w:color w:val="auto"/>
          <w:sz w:val="24"/>
          <w:szCs w:val="24"/>
        </w:rPr>
        <w:t>—油罐内油品本体温度下的蒸汽压（kPa）；</w:t>
      </w:r>
    </w:p>
    <w:p>
      <w:pPr>
        <w:spacing w:line="500" w:lineRule="exact"/>
        <w:ind w:firstLine="480" w:firstLineChars="200"/>
        <w:jc w:val="left"/>
        <w:rPr>
          <w:color w:val="auto"/>
          <w:sz w:val="24"/>
          <w:szCs w:val="24"/>
        </w:rPr>
      </w:pPr>
      <w:r>
        <w:rPr>
          <w:color w:val="auto"/>
          <w:position w:val="-10"/>
          <w:sz w:val="24"/>
          <w:szCs w:val="24"/>
        </w:rPr>
        <w:object>
          <v:shape id="_x0000_i1028" o:spt="75" alt="" type="#_x0000_t75" style="height:17.55pt;width:12.5pt;" o:ole="t" filled="f" o:preferrelative="t" stroked="f" coordsize="21600,21600">
            <v:path/>
            <v:fill on="f" focussize="0,0"/>
            <v:stroke on="f"/>
            <v:imagedata r:id="rId31" o:title=""/>
            <o:lock v:ext="edit" aspectratio="t"/>
            <w10:wrap type="none"/>
            <w10:anchorlock/>
          </v:shape>
          <o:OLEObject Type="Embed" ProgID="Equations" ShapeID="_x0000_i1028" DrawAspect="Content" ObjectID="_1468075728" r:id="rId30">
            <o:LockedField>false</o:LockedField>
          </o:OLEObject>
        </w:object>
      </w:r>
      <w:r>
        <w:rPr>
          <w:color w:val="auto"/>
          <w:sz w:val="24"/>
          <w:szCs w:val="24"/>
        </w:rPr>
        <w:t>—当地大气压（kPa）；</w:t>
      </w:r>
    </w:p>
    <w:p>
      <w:pPr>
        <w:spacing w:line="500" w:lineRule="exact"/>
        <w:ind w:firstLine="480" w:firstLineChars="200"/>
        <w:jc w:val="left"/>
        <w:rPr>
          <w:color w:val="auto"/>
          <w:sz w:val="24"/>
          <w:szCs w:val="24"/>
        </w:rPr>
      </w:pPr>
      <w:r>
        <w:rPr>
          <w:color w:val="auto"/>
          <w:position w:val="-4"/>
          <w:sz w:val="24"/>
          <w:szCs w:val="24"/>
        </w:rPr>
        <w:object>
          <v:shape id="_x0000_i1029" o:spt="75" alt="" type="#_x0000_t75" style="height:12.5pt;width:12.5pt;" o:ole="t" filled="f" o:preferrelative="t" stroked="f" coordsize="21600,21600">
            <v:path/>
            <v:fill on="f" focussize="0,0"/>
            <v:stroke on="f"/>
            <v:imagedata r:id="rId33" o:title=""/>
            <o:lock v:ext="edit" aspectratio="t"/>
            <w10:wrap type="none"/>
            <w10:anchorlock/>
          </v:shape>
          <o:OLEObject Type="Embed" ProgID="Equations" ShapeID="_x0000_i1029" DrawAspect="Content" ObjectID="_1468075729" r:id="rId32">
            <o:LockedField>false</o:LockedField>
          </o:OLEObject>
        </w:object>
      </w:r>
      <w:r>
        <w:rPr>
          <w:color w:val="auto"/>
          <w:sz w:val="24"/>
          <w:szCs w:val="24"/>
        </w:rPr>
        <w:t>—油罐内气体空间高度（m）；</w:t>
      </w:r>
    </w:p>
    <w:p>
      <w:pPr>
        <w:spacing w:line="500" w:lineRule="exact"/>
        <w:ind w:firstLine="480" w:firstLineChars="200"/>
        <w:jc w:val="left"/>
        <w:rPr>
          <w:color w:val="auto"/>
          <w:sz w:val="24"/>
          <w:szCs w:val="24"/>
        </w:rPr>
      </w:pPr>
      <w:r>
        <w:rPr>
          <w:color w:val="auto"/>
          <w:position w:val="-4"/>
          <w:sz w:val="24"/>
          <w:szCs w:val="24"/>
        </w:rPr>
        <w:object>
          <v:shape id="_x0000_i1030" o:spt="75" alt="" type="#_x0000_t75" style="height:12.5pt;width:20.65pt;" o:ole="t" filled="f" o:preferrelative="t" stroked="f" coordsize="21600,21600">
            <v:path/>
            <v:fill on="f" focussize="0,0"/>
            <v:stroke on="f"/>
            <v:imagedata r:id="rId35" o:title=""/>
            <o:lock v:ext="edit" aspectratio="t"/>
            <w10:wrap type="none"/>
            <w10:anchorlock/>
          </v:shape>
          <o:OLEObject Type="Embed" ProgID="Equations" ShapeID="_x0000_i1030" DrawAspect="Content" ObjectID="_1468075730" r:id="rId34">
            <o:LockedField>false</o:LockedField>
          </o:OLEObject>
        </w:object>
      </w:r>
      <w:r>
        <w:rPr>
          <w:color w:val="auto"/>
          <w:sz w:val="24"/>
          <w:szCs w:val="24"/>
        </w:rPr>
        <w:t>—大气温度的平均日温差（</w:t>
      </w:r>
      <w:r>
        <w:rPr>
          <w:rFonts w:ascii="宋体"/>
          <w:color w:val="auto"/>
          <w:sz w:val="24"/>
          <w:szCs w:val="24"/>
          <w:shd w:val="clear" w:color="auto" w:fill="FFFFFF"/>
        </w:rPr>
        <w:t>℃</w:t>
      </w:r>
      <w:r>
        <w:rPr>
          <w:color w:val="auto"/>
          <w:sz w:val="24"/>
          <w:szCs w:val="24"/>
        </w:rPr>
        <w:t>）；</w:t>
      </w:r>
    </w:p>
    <w:p>
      <w:pPr>
        <w:spacing w:line="500" w:lineRule="exact"/>
        <w:ind w:firstLine="480" w:firstLineChars="200"/>
        <w:jc w:val="left"/>
        <w:rPr>
          <w:color w:val="auto"/>
          <w:sz w:val="24"/>
          <w:szCs w:val="24"/>
        </w:rPr>
      </w:pPr>
      <w:r>
        <w:rPr>
          <w:color w:val="auto"/>
          <w:position w:val="-10"/>
          <w:sz w:val="24"/>
          <w:szCs w:val="24"/>
        </w:rPr>
        <w:object>
          <v:shape id="_x0000_i1031" o:spt="75" alt="" type="#_x0000_t75" style="height:17.55pt;width:14.4pt;" o:ole="t" filled="f" o:preferrelative="t" stroked="f" coordsize="21600,21600">
            <v:path/>
            <v:fill on="f" focussize="0,0"/>
            <v:stroke on="f"/>
            <v:imagedata r:id="rId37" o:title=""/>
            <o:lock v:ext="edit" aspectratio="t"/>
            <w10:wrap type="none"/>
            <w10:anchorlock/>
          </v:shape>
          <o:OLEObject Type="Embed" ProgID="Equations" ShapeID="_x0000_i1031" DrawAspect="Content" ObjectID="_1468075731" r:id="rId36">
            <o:LockedField>false</o:LockedField>
          </o:OLEObject>
        </w:object>
      </w:r>
      <w:r>
        <w:rPr>
          <w:color w:val="auto"/>
          <w:sz w:val="24"/>
          <w:szCs w:val="24"/>
        </w:rPr>
        <w:t>—涂料系数；</w:t>
      </w:r>
    </w:p>
    <w:p>
      <w:pPr>
        <w:spacing w:line="500" w:lineRule="exact"/>
        <w:ind w:firstLine="480" w:firstLineChars="200"/>
        <w:jc w:val="left"/>
        <w:rPr>
          <w:color w:val="auto"/>
          <w:sz w:val="24"/>
          <w:szCs w:val="24"/>
        </w:rPr>
      </w:pPr>
      <w:r>
        <w:rPr>
          <w:color w:val="auto"/>
          <w:position w:val="-14"/>
          <w:sz w:val="24"/>
          <w:szCs w:val="24"/>
        </w:rPr>
        <w:object>
          <v:shape id="_x0000_i1032" o:spt="75" alt="" type="#_x0000_t75" style="height:20.65pt;width:20.65pt;" o:ole="t" filled="f" o:preferrelative="t" stroked="f" coordsize="21600,21600">
            <v:path/>
            <v:fill on="f" focussize="0,0"/>
            <v:stroke on="f"/>
            <v:imagedata r:id="rId39" o:title=""/>
            <o:lock v:ext="edit" aspectratio="t"/>
            <w10:wrap type="none"/>
            <w10:anchorlock/>
          </v:shape>
          <o:OLEObject Type="Embed" ProgID="Equations" ShapeID="_x0000_i1032" DrawAspect="Content" ObjectID="_1468075732" r:id="rId38">
            <o:LockedField>false</o:LockedField>
          </o:OLEObject>
        </w:object>
      </w:r>
      <w:r>
        <w:rPr>
          <w:color w:val="auto"/>
          <w:sz w:val="24"/>
          <w:szCs w:val="24"/>
        </w:rPr>
        <w:t>—单位换算系数；</w:t>
      </w:r>
    </w:p>
    <w:p>
      <w:pPr>
        <w:spacing w:line="500" w:lineRule="exact"/>
        <w:ind w:firstLine="480" w:firstLineChars="200"/>
        <w:jc w:val="left"/>
        <w:rPr>
          <w:color w:val="auto"/>
          <w:sz w:val="24"/>
          <w:szCs w:val="24"/>
        </w:rPr>
      </w:pPr>
      <w:r>
        <w:rPr>
          <w:color w:val="auto"/>
          <w:position w:val="-10"/>
          <w:sz w:val="24"/>
          <w:szCs w:val="24"/>
        </w:rPr>
        <w:object>
          <v:shape id="_x0000_i1033" o:spt="75" alt="" type="#_x0000_t75" style="height:17.55pt;width:14.4pt;" o:ole="t" filled="f" o:preferrelative="t" stroked="f" coordsize="21600,21600">
            <v:path/>
            <v:fill on="f" focussize="0,0"/>
            <v:stroke on="f"/>
            <v:imagedata r:id="rId41" o:title=""/>
            <o:lock v:ext="edit" aspectratio="t"/>
            <w10:wrap type="none"/>
            <w10:anchorlock/>
          </v:shape>
          <o:OLEObject Type="Embed" ProgID="Equations" ShapeID="_x0000_i1033" DrawAspect="Content" ObjectID="_1468075733" r:id="rId40">
            <o:LockedField>false</o:LockedField>
          </o:OLEObject>
        </w:object>
      </w:r>
      <w:r>
        <w:rPr>
          <w:color w:val="auto"/>
          <w:sz w:val="24"/>
          <w:szCs w:val="24"/>
        </w:rPr>
        <w:t>—油品系数；</w:t>
      </w:r>
    </w:p>
    <w:p>
      <w:pPr>
        <w:spacing w:line="500" w:lineRule="exact"/>
        <w:ind w:firstLine="480" w:firstLineChars="200"/>
        <w:jc w:val="left"/>
        <w:rPr>
          <w:color w:val="auto"/>
          <w:sz w:val="24"/>
          <w:szCs w:val="24"/>
        </w:rPr>
      </w:pPr>
      <w:r>
        <w:rPr>
          <w:color w:val="auto"/>
          <w:position w:val="-4"/>
          <w:sz w:val="24"/>
          <w:szCs w:val="24"/>
        </w:rPr>
        <w:object>
          <v:shape id="_x0000_i1034" o:spt="75" alt="" type="#_x0000_t75" style="height:12.5pt;width:12.5pt;" o:ole="t" filled="f" o:preferrelative="t" stroked="f" coordsize="21600,21600">
            <v:path/>
            <v:fill on="f" focussize="0,0"/>
            <v:stroke on="f"/>
            <v:imagedata r:id="rId43" o:title=""/>
            <o:lock v:ext="edit" aspectratio="t"/>
            <w10:wrap type="none"/>
            <w10:anchorlock/>
          </v:shape>
          <o:OLEObject Type="Embed" ProgID="Equations" ShapeID="_x0000_i1034" DrawAspect="Content" ObjectID="_1468075734" r:id="rId42">
            <o:LockedField>false</o:LockedField>
          </o:OLEObject>
        </w:object>
      </w:r>
      <w:r>
        <w:rPr>
          <w:color w:val="auto"/>
          <w:sz w:val="24"/>
          <w:szCs w:val="24"/>
        </w:rPr>
        <w:t>—油罐直径(m)。</w:t>
      </w:r>
    </w:p>
    <w:p>
      <w:pPr>
        <w:ind w:firstLine="480" w:firstLineChars="200"/>
        <w:rPr>
          <w:color w:val="auto"/>
          <w:sz w:val="24"/>
          <w:szCs w:val="24"/>
        </w:rPr>
      </w:pPr>
      <w:r>
        <w:rPr>
          <w:color w:val="auto"/>
          <w:sz w:val="24"/>
          <w:szCs w:val="24"/>
        </w:rPr>
        <w:t>单个油罐小呼吸挥发性有机物产生量 (m</w:t>
      </w:r>
      <w:r>
        <w:rPr>
          <w:color w:val="auto"/>
          <w:sz w:val="24"/>
          <w:szCs w:val="24"/>
          <w:vertAlign w:val="superscript"/>
        </w:rPr>
        <w:t>3</w:t>
      </w:r>
      <w:r>
        <w:rPr>
          <w:color w:val="auto"/>
          <w:sz w:val="24"/>
          <w:szCs w:val="24"/>
        </w:rPr>
        <w:t>/a) =</w:t>
      </w:r>
    </w:p>
    <w:p>
      <w:pPr>
        <w:ind w:firstLine="480" w:firstLineChars="200"/>
        <w:rPr>
          <w:color w:val="auto"/>
          <w:sz w:val="24"/>
        </w:rPr>
      </w:pPr>
      <w:r>
        <w:rPr>
          <w:color w:val="auto"/>
          <w:sz w:val="24"/>
        </w:rPr>
        <w:t>(0.024×3.05×1×</w:t>
      </w:r>
      <w:r>
        <w:rPr>
          <w:color w:val="auto"/>
          <w:position w:val="-28"/>
          <w:sz w:val="24"/>
        </w:rPr>
        <w:object>
          <v:shape id="_x0000_i1035" o:spt="75" alt="" type="#_x0000_t75" style="height:36.95pt;width:100.8pt;" o:ole="t" filled="f" o:preferrelative="t" stroked="f" coordsize="21600,21600">
            <v:path/>
            <v:fill on="f" focussize="0,0"/>
            <v:stroke on="f"/>
            <v:imagedata r:id="rId45" o:title=""/>
            <o:lock v:ext="edit" aspectratio="t"/>
            <w10:wrap type="none"/>
            <w10:anchorlock/>
          </v:shape>
          <o:OLEObject Type="Embed" ProgID="Equations" ShapeID="_x0000_i1035" DrawAspect="Content" ObjectID="_1468075735" r:id="rId44">
            <o:LockedField>false</o:LockedField>
          </o:OLEObject>
        </w:object>
      </w:r>
      <w:r>
        <w:rPr>
          <w:color w:val="auto"/>
          <w:sz w:val="24"/>
        </w:rPr>
        <w:t>×2.59</w:t>
      </w:r>
      <w:r>
        <w:rPr>
          <w:color w:val="auto"/>
          <w:sz w:val="24"/>
          <w:vertAlign w:val="superscript"/>
        </w:rPr>
        <w:t>1.73</w:t>
      </w:r>
      <w:r>
        <w:rPr>
          <w:color w:val="auto"/>
          <w:sz w:val="24"/>
        </w:rPr>
        <w:t>×1</w:t>
      </w:r>
      <w:r>
        <w:rPr>
          <w:color w:val="auto"/>
          <w:sz w:val="24"/>
          <w:vertAlign w:val="superscript"/>
        </w:rPr>
        <w:t>0.51</w:t>
      </w:r>
      <w:r>
        <w:rPr>
          <w:color w:val="auto"/>
          <w:sz w:val="24"/>
        </w:rPr>
        <w:t>×10</w:t>
      </w:r>
      <w:r>
        <w:rPr>
          <w:color w:val="auto"/>
          <w:sz w:val="24"/>
          <w:vertAlign w:val="superscript"/>
        </w:rPr>
        <w:t>0.5</w:t>
      </w:r>
      <w:r>
        <w:rPr>
          <w:color w:val="auto"/>
          <w:sz w:val="24"/>
        </w:rPr>
        <w:t>×1.2×0.28)m</w:t>
      </w:r>
      <w:r>
        <w:rPr>
          <w:color w:val="auto"/>
          <w:sz w:val="24"/>
          <w:vertAlign w:val="superscript"/>
        </w:rPr>
        <w:t>3</w:t>
      </w:r>
      <w:r>
        <w:rPr>
          <w:color w:val="auto"/>
          <w:sz w:val="24"/>
        </w:rPr>
        <w:t>/a=0.19 m</w:t>
      </w:r>
      <w:r>
        <w:rPr>
          <w:color w:val="auto"/>
          <w:sz w:val="24"/>
          <w:vertAlign w:val="superscript"/>
        </w:rPr>
        <w:t>3</w:t>
      </w:r>
      <w:r>
        <w:rPr>
          <w:color w:val="auto"/>
          <w:sz w:val="24"/>
        </w:rPr>
        <w:t>/a</w:t>
      </w:r>
    </w:p>
    <w:p>
      <w:pPr>
        <w:spacing w:line="500" w:lineRule="exact"/>
        <w:ind w:firstLine="480" w:firstLineChars="200"/>
        <w:rPr>
          <w:rFonts w:hint="eastAsia" w:ascii="Times New Roman" w:hAnsi="Times New Roman"/>
          <w:color w:val="auto"/>
          <w:kern w:val="2"/>
          <w:sz w:val="24"/>
          <w:szCs w:val="24"/>
        </w:rPr>
      </w:pPr>
      <w:r>
        <w:rPr>
          <w:color w:val="auto"/>
          <w:sz w:val="24"/>
          <w:szCs w:val="24"/>
        </w:rPr>
        <w:t>单个油罐小呼吸挥发性有机物产生量(t/a)=</w:t>
      </w:r>
      <w:r>
        <w:rPr>
          <w:color w:val="auto"/>
          <w:sz w:val="24"/>
        </w:rPr>
        <w:t>0.19m</w:t>
      </w:r>
      <w:r>
        <w:rPr>
          <w:color w:val="auto"/>
          <w:sz w:val="24"/>
          <w:vertAlign w:val="superscript"/>
        </w:rPr>
        <w:t>3</w:t>
      </w:r>
      <w:r>
        <w:rPr>
          <w:color w:val="auto"/>
          <w:sz w:val="24"/>
        </w:rPr>
        <w:t>/a</w:t>
      </w:r>
      <w:r>
        <w:rPr>
          <w:rFonts w:ascii="Times New Roman" w:hAnsi="Times New Roman"/>
          <w:color w:val="auto"/>
          <w:kern w:val="2"/>
          <w:sz w:val="24"/>
          <w:szCs w:val="24"/>
        </w:rPr>
        <w:t>×</w:t>
      </w:r>
      <w:r>
        <w:rPr>
          <w:rFonts w:hint="eastAsia" w:ascii="Times New Roman" w:hAnsi="Times New Roman"/>
          <w:color w:val="auto"/>
          <w:kern w:val="2"/>
          <w:sz w:val="24"/>
          <w:szCs w:val="24"/>
        </w:rPr>
        <w:t>汽油密度</w:t>
      </w:r>
      <w:r>
        <w:rPr>
          <w:rFonts w:ascii="Times New Roman" w:hAnsi="Times New Roman"/>
          <w:color w:val="auto"/>
          <w:kern w:val="2"/>
          <w:sz w:val="24"/>
          <w:szCs w:val="24"/>
        </w:rPr>
        <w:t>=</w:t>
      </w:r>
      <w:r>
        <w:rPr>
          <w:color w:val="auto"/>
          <w:sz w:val="24"/>
        </w:rPr>
        <w:t>0.19m</w:t>
      </w:r>
      <w:r>
        <w:rPr>
          <w:color w:val="auto"/>
          <w:sz w:val="24"/>
          <w:vertAlign w:val="superscript"/>
        </w:rPr>
        <w:t>3</w:t>
      </w:r>
      <w:r>
        <w:rPr>
          <w:color w:val="auto"/>
          <w:sz w:val="24"/>
        </w:rPr>
        <w:t>/a×730kg/m</w:t>
      </w:r>
      <w:r>
        <w:rPr>
          <w:color w:val="auto"/>
          <w:sz w:val="24"/>
          <w:vertAlign w:val="superscript"/>
        </w:rPr>
        <w:t>3</w:t>
      </w:r>
      <w:r>
        <w:rPr>
          <w:color w:val="auto"/>
          <w:sz w:val="24"/>
        </w:rPr>
        <w:t>=138.7kg/a=0.1387t/a</w:t>
      </w:r>
      <w:r>
        <w:rPr>
          <w:rFonts w:hint="eastAsia"/>
          <w:color w:val="auto"/>
          <w:sz w:val="24"/>
          <w:lang w:eastAsia="zh-CN"/>
        </w:rPr>
        <w:t>。</w:t>
      </w:r>
    </w:p>
    <w:p>
      <w:pPr>
        <w:spacing w:line="500" w:lineRule="exact"/>
        <w:ind w:firstLine="480" w:firstLineChars="200"/>
        <w:rPr>
          <w:color w:val="auto"/>
          <w:sz w:val="24"/>
        </w:rPr>
      </w:pPr>
      <w:r>
        <w:rPr>
          <w:color w:val="auto"/>
          <w:sz w:val="24"/>
        </w:rPr>
        <w:t>由于本项目汽油储罐有</w:t>
      </w:r>
      <w:r>
        <w:rPr>
          <w:rFonts w:hint="eastAsia"/>
          <w:color w:val="auto"/>
          <w:sz w:val="24"/>
          <w:lang w:val="en-US" w:eastAsia="zh-CN"/>
        </w:rPr>
        <w:t>2</w:t>
      </w:r>
      <w:r>
        <w:rPr>
          <w:color w:val="auto"/>
          <w:sz w:val="24"/>
        </w:rPr>
        <w:t>个，因此本项目小呼吸挥发性有机物产生量为0.1387t/a ×</w:t>
      </w:r>
      <w:r>
        <w:rPr>
          <w:rFonts w:hint="eastAsia"/>
          <w:color w:val="auto"/>
          <w:sz w:val="24"/>
          <w:lang w:val="en-US" w:eastAsia="zh-CN"/>
        </w:rPr>
        <w:t>2</w:t>
      </w:r>
      <w:r>
        <w:rPr>
          <w:color w:val="auto"/>
          <w:sz w:val="24"/>
        </w:rPr>
        <w:t>=</w:t>
      </w:r>
      <w:r>
        <w:rPr>
          <w:rFonts w:hint="eastAsia"/>
          <w:color w:val="auto"/>
          <w:sz w:val="24"/>
          <w:lang w:eastAsia="zh-CN"/>
        </w:rPr>
        <w:t>0.277</w:t>
      </w:r>
      <w:r>
        <w:rPr>
          <w:color w:val="auto"/>
          <w:sz w:val="24"/>
        </w:rPr>
        <w:t>t/a</w:t>
      </w:r>
      <w:r>
        <w:rPr>
          <w:rFonts w:hint="eastAsia"/>
          <w:color w:val="auto"/>
          <w:sz w:val="24"/>
          <w:lang w:eastAsia="zh-CN"/>
        </w:rPr>
        <w:t>。</w:t>
      </w:r>
    </w:p>
    <w:p>
      <w:pPr>
        <w:spacing w:line="50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汽油加油作业及大呼吸</w:t>
      </w:r>
    </w:p>
    <w:p>
      <w:pPr>
        <w:pStyle w:val="56"/>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汽油加油作业及大呼吸产生量=汽油挥发性有机物年产生量-汽油小呼吸产生量=（</w:t>
      </w:r>
      <w:r>
        <w:rPr>
          <w:rFonts w:hint="default" w:ascii="Times New Roman" w:hAnsi="Times New Roman" w:cs="Times New Roman"/>
          <w:color w:val="auto"/>
          <w:sz w:val="24"/>
          <w:szCs w:val="24"/>
          <w:lang w:val="en-US" w:eastAsia="zh-CN"/>
        </w:rPr>
        <w:t>6.486</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sz w:val="24"/>
          <w:lang w:eastAsia="zh-CN"/>
        </w:rPr>
        <w:t>0.277</w:t>
      </w:r>
      <w:r>
        <w:rPr>
          <w:rFonts w:hint="default" w:ascii="Times New Roman" w:hAnsi="Times New Roman" w:eastAsia="宋体" w:cs="Times New Roman"/>
          <w:color w:val="auto"/>
          <w:kern w:val="2"/>
          <w:sz w:val="24"/>
          <w:szCs w:val="24"/>
          <w:lang w:val="en-US" w:eastAsia="zh-CN" w:bidi="ar-SA"/>
        </w:rPr>
        <w:t>)t/a=6.</w:t>
      </w:r>
      <w:r>
        <w:rPr>
          <w:rFonts w:hint="eastAsia" w:ascii="Times New Roman" w:hAnsi="Times New Roman" w:eastAsia="宋体" w:cs="Times New Roman"/>
          <w:color w:val="auto"/>
          <w:kern w:val="2"/>
          <w:sz w:val="24"/>
          <w:szCs w:val="24"/>
          <w:lang w:val="en-US" w:eastAsia="zh-CN" w:bidi="ar-SA"/>
        </w:rPr>
        <w:t>209</w:t>
      </w:r>
      <w:r>
        <w:rPr>
          <w:rFonts w:hint="default" w:ascii="Times New Roman" w:hAnsi="Times New Roman" w:eastAsia="宋体" w:cs="Times New Roman"/>
          <w:color w:val="auto"/>
          <w:kern w:val="2"/>
          <w:sz w:val="24"/>
          <w:szCs w:val="24"/>
          <w:lang w:val="en-US" w:eastAsia="zh-CN" w:bidi="ar-SA"/>
        </w:rPr>
        <w:t>‬t/a</w:t>
      </w:r>
    </w:p>
    <w:p>
      <w:pPr>
        <w:spacing w:line="500" w:lineRule="exact"/>
        <w:ind w:firstLine="482" w:firstLineChars="200"/>
        <w:rPr>
          <w:b/>
          <w:color w:val="auto"/>
          <w:sz w:val="24"/>
          <w:szCs w:val="24"/>
        </w:rPr>
      </w:pPr>
      <w:r>
        <w:rPr>
          <w:b/>
          <w:color w:val="auto"/>
          <w:sz w:val="24"/>
          <w:szCs w:val="24"/>
        </w:rPr>
        <w:t>2、排放量</w:t>
      </w:r>
    </w:p>
    <w:p>
      <w:pPr>
        <w:spacing w:line="500" w:lineRule="exact"/>
        <w:ind w:firstLine="482" w:firstLineChars="200"/>
        <w:rPr>
          <w:rFonts w:hint="default" w:ascii="Times New Roman" w:hAnsi="Times New Roman" w:cs="Times New Roman"/>
          <w:color w:val="auto"/>
          <w:sz w:val="24"/>
          <w:szCs w:val="24"/>
        </w:rPr>
      </w:pPr>
      <w:r>
        <w:rPr>
          <w:b/>
          <w:color w:val="auto"/>
          <w:sz w:val="24"/>
          <w:szCs w:val="24"/>
        </w:rPr>
        <w:t>汽油加</w:t>
      </w:r>
      <w:r>
        <w:rPr>
          <w:rFonts w:hint="default" w:ascii="Times New Roman" w:hAnsi="Times New Roman" w:cs="Times New Roman"/>
          <w:b/>
          <w:color w:val="auto"/>
          <w:sz w:val="24"/>
          <w:szCs w:val="24"/>
        </w:rPr>
        <w:t>油作业及大呼吸排放量=</w:t>
      </w:r>
      <w:r>
        <w:rPr>
          <w:rFonts w:hint="default" w:ascii="Times New Roman" w:hAnsi="Times New Roman" w:cs="Times New Roman"/>
          <w:color w:val="auto"/>
          <w:sz w:val="24"/>
          <w:szCs w:val="24"/>
        </w:rPr>
        <w:t>汽油加油作业及大呼吸产生量×(1-油气回收效率)=</w:t>
      </w:r>
      <w:r>
        <w:rPr>
          <w:rFonts w:hint="default" w:ascii="Times New Roman" w:hAnsi="Times New Roman" w:cs="Times New Roman"/>
          <w:color w:val="auto"/>
          <w:sz w:val="24"/>
          <w:szCs w:val="24"/>
          <w:lang w:eastAsia="zh-CN"/>
        </w:rPr>
        <w:t>6.209</w:t>
      </w:r>
      <w:r>
        <w:rPr>
          <w:rFonts w:hint="default" w:ascii="Times New Roman" w:hAnsi="Times New Roman" w:cs="Times New Roman"/>
          <w:color w:val="auto"/>
          <w:kern w:val="2"/>
          <w:sz w:val="24"/>
          <w:szCs w:val="24"/>
        </w:rPr>
        <w:t>t/a×（1-90%）=0.</w:t>
      </w:r>
      <w:r>
        <w:rPr>
          <w:rFonts w:hint="eastAsia" w:ascii="Times New Roman" w:hAnsi="Times New Roman" w:cs="Times New Roman"/>
          <w:color w:val="auto"/>
          <w:kern w:val="2"/>
          <w:sz w:val="24"/>
          <w:szCs w:val="24"/>
          <w:lang w:val="en-US" w:eastAsia="zh-CN"/>
        </w:rPr>
        <w:t>621</w:t>
      </w:r>
      <w:r>
        <w:rPr>
          <w:rFonts w:hint="default" w:ascii="Times New Roman" w:hAnsi="Times New Roman" w:cs="Times New Roman"/>
          <w:color w:val="auto"/>
          <w:kern w:val="2"/>
          <w:sz w:val="24"/>
          <w:szCs w:val="24"/>
        </w:rPr>
        <w:t>t/a；</w:t>
      </w:r>
    </w:p>
    <w:p>
      <w:pPr>
        <w:spacing w:line="500" w:lineRule="exact"/>
        <w:ind w:firstLine="482" w:firstLineChars="200"/>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rPr>
        <w:t>汽油储罐小呼吸挥发性有机物排放量</w:t>
      </w:r>
      <w:r>
        <w:rPr>
          <w:rFonts w:hint="default" w:ascii="Times New Roman" w:hAnsi="Times New Roman" w:cs="Times New Roman"/>
          <w:color w:val="auto"/>
          <w:kern w:val="2"/>
          <w:sz w:val="24"/>
          <w:szCs w:val="24"/>
        </w:rPr>
        <w:t>=</w:t>
      </w:r>
      <w:r>
        <w:rPr>
          <w:rFonts w:hint="default" w:ascii="Times New Roman" w:hAnsi="Times New Roman" w:cs="Times New Roman"/>
          <w:color w:val="auto"/>
          <w:sz w:val="24"/>
        </w:rPr>
        <w:t>汽油储罐小呼吸挥发性有机物产生量=</w:t>
      </w:r>
      <w:r>
        <w:rPr>
          <w:rFonts w:hint="eastAsia"/>
          <w:color w:val="auto"/>
          <w:sz w:val="24"/>
          <w:lang w:eastAsia="zh-CN"/>
        </w:rPr>
        <w:t>0.277</w:t>
      </w:r>
      <w:r>
        <w:rPr>
          <w:rFonts w:hint="default" w:ascii="Times New Roman" w:hAnsi="Times New Roman" w:cs="Times New Roman"/>
          <w:color w:val="auto"/>
          <w:sz w:val="24"/>
        </w:rPr>
        <w:t>t/a</w:t>
      </w:r>
      <w:r>
        <w:rPr>
          <w:rFonts w:hint="default" w:ascii="Times New Roman" w:hAnsi="Times New Roman" w:cs="Times New Roman"/>
          <w:color w:val="auto"/>
          <w:kern w:val="2"/>
          <w:sz w:val="24"/>
          <w:szCs w:val="24"/>
        </w:rPr>
        <w:t>；</w:t>
      </w:r>
    </w:p>
    <w:p>
      <w:pPr>
        <w:pStyle w:val="56"/>
        <w:widowControl w:val="0"/>
        <w:spacing w:before="0" w:beforeAutospacing="0" w:after="0" w:afterAutospacing="0" w:line="360" w:lineRule="auto"/>
        <w:ind w:firstLine="482" w:firstLineChars="200"/>
        <w:jc w:val="both"/>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rPr>
        <w:t>柴油挥发性有机物排放量</w:t>
      </w:r>
      <w:r>
        <w:rPr>
          <w:rFonts w:hint="default" w:ascii="Times New Roman" w:hAnsi="Times New Roman" w:cs="Times New Roman"/>
          <w:color w:val="auto"/>
          <w:kern w:val="2"/>
          <w:sz w:val="24"/>
          <w:szCs w:val="24"/>
        </w:rPr>
        <w:t>=柴油挥发性有机物产生量=</w:t>
      </w:r>
      <w:r>
        <w:rPr>
          <w:rFonts w:hint="default" w:ascii="Times New Roman" w:hAnsi="Times New Roman" w:cs="Times New Roman"/>
          <w:color w:val="auto"/>
          <w:sz w:val="24"/>
          <w:szCs w:val="24"/>
        </w:rPr>
        <w:t>3.243</w:t>
      </w:r>
      <w:r>
        <w:rPr>
          <w:rFonts w:hint="default" w:ascii="Times New Roman" w:hAnsi="Times New Roman" w:cs="Times New Roman"/>
          <w:color w:val="auto"/>
          <w:sz w:val="24"/>
        </w:rPr>
        <w:t>t/a</w:t>
      </w:r>
      <w:r>
        <w:rPr>
          <w:rFonts w:hint="default" w:ascii="Times New Roman" w:hAnsi="Times New Roman" w:cs="Times New Roman"/>
          <w:color w:val="auto"/>
          <w:kern w:val="2"/>
          <w:sz w:val="24"/>
          <w:szCs w:val="24"/>
        </w:rPr>
        <w:t>；</w:t>
      </w:r>
    </w:p>
    <w:p>
      <w:pPr>
        <w:tabs>
          <w:tab w:val="left" w:pos="3467"/>
        </w:tabs>
        <w:spacing w:line="500" w:lineRule="exact"/>
        <w:ind w:firstLine="482" w:firstLineChars="200"/>
        <w:jc w:val="left"/>
        <w:textAlignment w:val="center"/>
        <w:rPr>
          <w:rFonts w:hint="eastAsia" w:ascii="Times New Roman" w:hAnsi="Times New Roman"/>
          <w:color w:val="auto"/>
          <w:kern w:val="2"/>
          <w:sz w:val="24"/>
          <w:szCs w:val="24"/>
        </w:rPr>
      </w:pPr>
      <w:r>
        <w:rPr>
          <w:rFonts w:hint="eastAsia" w:ascii="Times New Roman" w:hAnsi="Times New Roman"/>
          <w:b/>
          <w:bCs/>
          <w:color w:val="auto"/>
          <w:kern w:val="2"/>
          <w:sz w:val="24"/>
          <w:szCs w:val="24"/>
        </w:rPr>
        <w:t>本项目总排放量</w:t>
      </w:r>
      <w:r>
        <w:rPr>
          <w:rFonts w:ascii="Times New Roman" w:hAnsi="Times New Roman"/>
          <w:color w:val="auto"/>
          <w:kern w:val="2"/>
          <w:sz w:val="24"/>
          <w:szCs w:val="24"/>
        </w:rPr>
        <w:t>=</w:t>
      </w:r>
      <w:r>
        <w:rPr>
          <w:rFonts w:hint="eastAsia" w:ascii="Times New Roman" w:hAnsi="Times New Roman"/>
          <w:color w:val="auto"/>
          <w:kern w:val="2"/>
          <w:sz w:val="24"/>
          <w:szCs w:val="24"/>
        </w:rPr>
        <w:t>汽油加油作业及大呼吸排放量</w:t>
      </w:r>
      <w:r>
        <w:rPr>
          <w:rFonts w:ascii="Times New Roman" w:hAnsi="Times New Roman"/>
          <w:color w:val="auto"/>
          <w:kern w:val="2"/>
          <w:sz w:val="24"/>
          <w:szCs w:val="24"/>
        </w:rPr>
        <w:t>+</w:t>
      </w:r>
      <w:r>
        <w:rPr>
          <w:rFonts w:hint="eastAsia" w:ascii="Times New Roman" w:hAnsi="Times New Roman"/>
          <w:color w:val="auto"/>
          <w:kern w:val="2"/>
          <w:sz w:val="24"/>
          <w:szCs w:val="24"/>
        </w:rPr>
        <w:t>汽油储罐小呼吸挥发性有机物排放量</w:t>
      </w:r>
      <w:r>
        <w:rPr>
          <w:rFonts w:ascii="Times New Roman" w:hAnsi="Times New Roman"/>
          <w:color w:val="auto"/>
          <w:kern w:val="2"/>
          <w:sz w:val="24"/>
          <w:szCs w:val="24"/>
        </w:rPr>
        <w:t>+</w:t>
      </w:r>
      <w:r>
        <w:rPr>
          <w:rFonts w:hint="eastAsia" w:ascii="Times New Roman" w:hAnsi="Times New Roman"/>
          <w:color w:val="auto"/>
          <w:kern w:val="2"/>
          <w:sz w:val="24"/>
          <w:szCs w:val="24"/>
        </w:rPr>
        <w:t>柴油挥发性有机物排放量</w:t>
      </w:r>
      <w:r>
        <w:rPr>
          <w:rFonts w:ascii="Times New Roman" w:hAnsi="Times New Roman"/>
          <w:color w:val="auto"/>
          <w:kern w:val="2"/>
          <w:sz w:val="24"/>
          <w:szCs w:val="24"/>
        </w:rPr>
        <w:t>=</w:t>
      </w:r>
      <w:r>
        <w:rPr>
          <w:rFonts w:hint="eastAsia" w:ascii="Times New Roman" w:hAnsi="Times New Roman"/>
          <w:color w:val="auto"/>
          <w:kern w:val="2"/>
          <w:sz w:val="24"/>
          <w:szCs w:val="24"/>
        </w:rPr>
        <w:t>（</w:t>
      </w:r>
      <w:r>
        <w:rPr>
          <w:rFonts w:hint="eastAsia" w:ascii="Times New Roman" w:hAnsi="Times New Roman"/>
          <w:color w:val="auto"/>
          <w:kern w:val="2"/>
          <w:sz w:val="24"/>
          <w:szCs w:val="24"/>
          <w:lang w:eastAsia="zh-CN"/>
        </w:rPr>
        <w:t>0.621</w:t>
      </w:r>
      <w:r>
        <w:rPr>
          <w:rFonts w:ascii="Times New Roman" w:hAnsi="Times New Roman"/>
          <w:color w:val="auto"/>
          <w:kern w:val="2"/>
          <w:sz w:val="24"/>
          <w:szCs w:val="24"/>
        </w:rPr>
        <w:t>+</w:t>
      </w:r>
      <w:r>
        <w:rPr>
          <w:rFonts w:hint="eastAsia"/>
          <w:color w:val="auto"/>
          <w:sz w:val="24"/>
          <w:lang w:eastAsia="zh-CN"/>
        </w:rPr>
        <w:t>0.277</w:t>
      </w:r>
      <w:r>
        <w:rPr>
          <w:rFonts w:ascii="Times New Roman" w:hAnsi="Times New Roman"/>
          <w:color w:val="auto"/>
          <w:kern w:val="2"/>
          <w:sz w:val="24"/>
          <w:szCs w:val="24"/>
        </w:rPr>
        <w:t>+</w:t>
      </w:r>
      <w:r>
        <w:rPr>
          <w:rFonts w:hint="default" w:ascii="Times New Roman" w:hAnsi="Times New Roman" w:cs="Times New Roman"/>
          <w:color w:val="auto"/>
          <w:sz w:val="24"/>
          <w:szCs w:val="24"/>
        </w:rPr>
        <w:t>3.243</w:t>
      </w:r>
      <w:r>
        <w:rPr>
          <w:rFonts w:hint="eastAsia" w:ascii="Times New Roman" w:hAnsi="Times New Roman"/>
          <w:color w:val="auto"/>
          <w:kern w:val="2"/>
          <w:sz w:val="24"/>
          <w:szCs w:val="24"/>
        </w:rPr>
        <w:t>）</w:t>
      </w:r>
      <w:r>
        <w:rPr>
          <w:rFonts w:ascii="Times New Roman" w:hAnsi="Times New Roman"/>
          <w:color w:val="auto"/>
          <w:kern w:val="2"/>
          <w:sz w:val="24"/>
          <w:szCs w:val="24"/>
        </w:rPr>
        <w:t>t/a=</w:t>
      </w:r>
      <w:r>
        <w:rPr>
          <w:rFonts w:hint="eastAsia"/>
          <w:color w:val="auto"/>
          <w:kern w:val="2"/>
          <w:sz w:val="24"/>
          <w:szCs w:val="24"/>
          <w:lang w:val="en-US" w:eastAsia="zh-CN"/>
        </w:rPr>
        <w:t>4.141</w:t>
      </w:r>
      <w:r>
        <w:rPr>
          <w:rFonts w:ascii="Times New Roman" w:hAnsi="Times New Roman"/>
          <w:color w:val="auto"/>
          <w:kern w:val="2"/>
          <w:sz w:val="24"/>
          <w:szCs w:val="24"/>
        </w:rPr>
        <w:t>t/a</w:t>
      </w:r>
      <w:r>
        <w:rPr>
          <w:rFonts w:hint="eastAsia" w:ascii="Times New Roman" w:hAnsi="Times New Roman"/>
          <w:color w:val="auto"/>
          <w:kern w:val="2"/>
          <w:sz w:val="24"/>
          <w:szCs w:val="24"/>
        </w:rPr>
        <w:t>。</w:t>
      </w:r>
    </w:p>
    <w:p>
      <w:pPr>
        <w:tabs>
          <w:tab w:val="left" w:pos="3467"/>
        </w:tabs>
        <w:spacing w:line="500" w:lineRule="exact"/>
        <w:ind w:firstLine="422" w:firstLineChars="200"/>
        <w:jc w:val="center"/>
        <w:textAlignment w:val="center"/>
        <w:rPr>
          <w:b/>
          <w:color w:val="auto"/>
          <w:sz w:val="21"/>
          <w:szCs w:val="21"/>
        </w:rPr>
      </w:pPr>
      <w:r>
        <w:rPr>
          <w:b/>
          <w:color w:val="auto"/>
          <w:sz w:val="21"/>
          <w:szCs w:val="21"/>
        </w:rPr>
        <w:t>表1  本项目挥发性有机物产生、排放情况一览表（t/a）</w:t>
      </w:r>
    </w:p>
    <w:tbl>
      <w:tblPr>
        <w:tblStyle w:val="27"/>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730"/>
        <w:gridCol w:w="3640"/>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损失原因</w:t>
            </w:r>
          </w:p>
        </w:tc>
        <w:tc>
          <w:tcPr>
            <w:tcW w:w="1730" w:type="dxa"/>
            <w:vAlign w:val="center"/>
          </w:tcPr>
          <w:p>
            <w:pPr>
              <w:spacing w:line="240" w:lineRule="auto"/>
              <w:ind w:firstLine="210" w:firstLineChars="10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3640"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c>
          <w:tcPr>
            <w:tcW w:w="1388"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汽油小呼吸损失</w:t>
            </w:r>
          </w:p>
        </w:tc>
        <w:tc>
          <w:tcPr>
            <w:tcW w:w="1730" w:type="dxa"/>
            <w:vAlign w:val="center"/>
          </w:tcPr>
          <w:p>
            <w:pPr>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0.277</w:t>
            </w:r>
          </w:p>
        </w:tc>
        <w:tc>
          <w:tcPr>
            <w:tcW w:w="3640" w:type="dxa"/>
            <w:vAlign w:val="center"/>
          </w:tcPr>
          <w:p>
            <w:pPr>
              <w:tabs>
                <w:tab w:val="center" w:pos="1764"/>
              </w:tabs>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8" w:type="dxa"/>
            <w:vAlign w:val="center"/>
          </w:tcPr>
          <w:p>
            <w:pPr>
              <w:spacing w:line="240" w:lineRule="auto"/>
              <w:jc w:val="center"/>
              <w:textAlignment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0.277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汽油加油作业及大呼吸损失</w:t>
            </w:r>
          </w:p>
        </w:tc>
        <w:tc>
          <w:tcPr>
            <w:tcW w:w="1730" w:type="dxa"/>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rPr>
              <w:t>6.</w:t>
            </w:r>
            <w:r>
              <w:rPr>
                <w:rFonts w:hint="eastAsia" w:ascii="Times New Roman" w:hAnsi="Times New Roman" w:cs="Times New Roman"/>
                <w:color w:val="auto"/>
                <w:kern w:val="2"/>
                <w:sz w:val="21"/>
                <w:szCs w:val="21"/>
                <w:lang w:val="en-US" w:eastAsia="zh-CN"/>
              </w:rPr>
              <w:t>209</w:t>
            </w:r>
          </w:p>
        </w:tc>
        <w:tc>
          <w:tcPr>
            <w:tcW w:w="3640"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油气收集及回收系统，回收率90%</w:t>
            </w:r>
          </w:p>
        </w:tc>
        <w:tc>
          <w:tcPr>
            <w:tcW w:w="1388" w:type="dxa"/>
            <w:vAlign w:val="center"/>
          </w:tcPr>
          <w:p>
            <w:pPr>
              <w:spacing w:line="240" w:lineRule="auto"/>
              <w:jc w:val="center"/>
              <w:textAlignment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kern w:val="2"/>
                <w:sz w:val="21"/>
                <w:szCs w:val="21"/>
                <w:lang w:eastAsia="zh-CN"/>
              </w:rPr>
              <w:t>0.621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柴油损失</w:t>
            </w:r>
          </w:p>
        </w:tc>
        <w:tc>
          <w:tcPr>
            <w:tcW w:w="1730" w:type="dxa"/>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3.243</w:t>
            </w:r>
          </w:p>
        </w:tc>
        <w:tc>
          <w:tcPr>
            <w:tcW w:w="3640"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8" w:type="dxa"/>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3.243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4"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730" w:type="dxa"/>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9.729‬</w:t>
            </w:r>
          </w:p>
        </w:tc>
        <w:tc>
          <w:tcPr>
            <w:tcW w:w="3640" w:type="dxa"/>
            <w:vAlign w:val="center"/>
          </w:tcPr>
          <w:p>
            <w:pPr>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8" w:type="dxa"/>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rPr>
              <w:t>4.141</w:t>
            </w:r>
            <w:r>
              <w:rPr>
                <w:rFonts w:hint="default" w:ascii="Times New Roman" w:hAnsi="Times New Roman" w:cs="Times New Roman"/>
                <w:color w:val="auto"/>
                <w:kern w:val="2"/>
                <w:sz w:val="21"/>
                <w:szCs w:val="21"/>
                <w:lang w:val="en-US" w:eastAsia="zh-CN"/>
              </w:rPr>
              <w:t>‬</w:t>
            </w:r>
          </w:p>
        </w:tc>
      </w:tr>
    </w:tbl>
    <w:p>
      <w:pPr>
        <w:jc w:val="left"/>
        <w:rPr>
          <w:rFonts w:hint="default" w:ascii="Times New Roman" w:hAnsi="Times New Roman" w:eastAsia="宋体" w:cs="Times New Roman"/>
          <w:b/>
          <w:color w:val="FF0000"/>
          <w:szCs w:val="21"/>
          <w:lang w:val="en-US" w:eastAsia="zh-CN"/>
        </w:rPr>
      </w:pPr>
    </w:p>
    <w:p>
      <w:pPr>
        <w:pStyle w:val="34"/>
        <w:rPr>
          <w:rFonts w:hint="default" w:ascii="Times New Roman" w:hAnsi="Times New Roman" w:eastAsia="宋体" w:cs="Times New Roman"/>
          <w:b/>
          <w:color w:val="FF0000"/>
          <w:szCs w:val="21"/>
          <w:lang w:val="en-US" w:eastAsia="zh-CN"/>
        </w:rPr>
      </w:pPr>
    </w:p>
    <w:p>
      <w:pPr>
        <w:pStyle w:val="34"/>
        <w:rPr>
          <w:rFonts w:hint="default" w:ascii="Times New Roman" w:hAnsi="Times New Roman" w:eastAsia="宋体" w:cs="Times New Roman"/>
          <w:b/>
          <w:color w:val="FF0000"/>
          <w:szCs w:val="21"/>
          <w:lang w:val="en-US" w:eastAsia="zh-CN"/>
        </w:rPr>
      </w:pPr>
    </w:p>
    <w:p>
      <w:pPr>
        <w:pStyle w:val="34"/>
        <w:rPr>
          <w:rFonts w:hint="default" w:ascii="Times New Roman" w:hAnsi="Times New Roman" w:eastAsia="宋体" w:cs="Times New Roman"/>
          <w:b/>
          <w:color w:val="FF0000"/>
          <w:szCs w:val="21"/>
          <w:lang w:val="en-US" w:eastAsia="zh-CN"/>
        </w:rPr>
      </w:pPr>
    </w:p>
    <w:p>
      <w:pPr>
        <w:pStyle w:val="34"/>
        <w:rPr>
          <w:rFonts w:hint="default" w:ascii="Times New Roman" w:hAnsi="Times New Roman" w:eastAsia="宋体" w:cs="Times New Roman"/>
          <w:b/>
          <w:color w:val="FF0000"/>
          <w:szCs w:val="21"/>
          <w:lang w:val="en-US" w:eastAsia="zh-CN"/>
        </w:rPr>
      </w:pPr>
    </w:p>
    <w:p>
      <w:pPr>
        <w:pStyle w:val="34"/>
        <w:rPr>
          <w:rFonts w:hint="default" w:ascii="Times New Roman" w:hAnsi="Times New Roman" w:eastAsia="宋体" w:cs="Times New Roman"/>
          <w:b/>
          <w:color w:val="FF0000"/>
          <w:szCs w:val="21"/>
          <w:lang w:val="en-US" w:eastAsia="zh-CN"/>
        </w:rPr>
      </w:pPr>
    </w:p>
    <w:p>
      <w:pPr>
        <w:pStyle w:val="34"/>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auto"/>
          <w:szCs w:val="21"/>
          <w:lang w:val="en-US"/>
        </w:rPr>
      </w:pPr>
      <w:r>
        <w:rPr>
          <w:rFonts w:hint="default" w:ascii="Times New Roman" w:hAnsi="Times New Roman" w:eastAsia="宋体" w:cs="Times New Roman"/>
          <w:b/>
          <w:color w:val="auto"/>
          <w:szCs w:val="21"/>
          <w:lang w:val="en-US" w:eastAsia="zh-CN"/>
        </w:rPr>
        <w:t>附件</w:t>
      </w:r>
      <w:r>
        <w:rPr>
          <w:rFonts w:hint="eastAsia"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lang w:val="en-US" w:eastAsia="zh-CN"/>
        </w:rPr>
        <w:t xml:space="preserve"> </w:t>
      </w:r>
      <w:r>
        <w:rPr>
          <w:rFonts w:hint="eastAsia" w:ascii="Times New Roman" w:hAnsi="Times New Roman" w:eastAsia="宋体" w:cs="Times New Roman"/>
          <w:b/>
          <w:color w:val="auto"/>
          <w:szCs w:val="21"/>
          <w:lang w:val="en-US" w:eastAsia="zh-CN"/>
        </w:rPr>
        <w:t>土地文件</w:t>
      </w:r>
    </w:p>
    <w:p>
      <w:pPr>
        <w:rPr>
          <w:rFonts w:hint="default" w:ascii="Times New Roman" w:hAnsi="Times New Roman" w:eastAsia="宋体" w:cs="Times New Roman"/>
          <w:color w:val="FF0000"/>
          <w:lang w:eastAsia="zh-CN"/>
        </w:rPr>
      </w:pPr>
      <w:r>
        <w:drawing>
          <wp:inline distT="0" distB="0" distL="114300" distR="114300">
            <wp:extent cx="5400040" cy="8279765"/>
            <wp:effectExtent l="0" t="0" r="10160" b="6985"/>
            <wp:docPr id="88" name="图片 18"/>
            <wp:cNvGraphicFramePr/>
            <a:graphic xmlns:a="http://schemas.openxmlformats.org/drawingml/2006/main">
              <a:graphicData uri="http://schemas.openxmlformats.org/drawingml/2006/picture">
                <pic:pic xmlns:pic="http://schemas.openxmlformats.org/drawingml/2006/picture">
                  <pic:nvPicPr>
                    <pic:cNvPr id="88" name="图片 18"/>
                    <pic:cNvPicPr/>
                  </pic:nvPicPr>
                  <pic:blipFill>
                    <a:blip r:embed="rId46"/>
                    <a:stretch>
                      <a:fillRect/>
                    </a:stretch>
                  </pic:blipFill>
                  <pic:spPr>
                    <a:xfrm>
                      <a:off x="0" y="0"/>
                      <a:ext cx="5400040" cy="8279765"/>
                    </a:xfrm>
                    <a:prstGeom prst="rect">
                      <a:avLst/>
                    </a:prstGeom>
                    <a:noFill/>
                    <a:ln>
                      <a:noFill/>
                    </a:ln>
                  </pic:spPr>
                </pic:pic>
              </a:graphicData>
            </a:graphic>
          </wp:inline>
        </w:drawing>
      </w:r>
    </w:p>
    <w:p>
      <w:pPr>
        <w:pStyle w:val="34"/>
        <w:rPr>
          <w:rFonts w:hint="default" w:ascii="Times New Roman" w:hAnsi="Times New Roman" w:eastAsia="宋体" w:cs="Times New Roman"/>
          <w:color w:val="FF0000"/>
          <w:lang w:eastAsia="zh-CN"/>
        </w:rPr>
      </w:pPr>
      <w:r>
        <w:drawing>
          <wp:inline distT="0" distB="0" distL="114300" distR="114300">
            <wp:extent cx="5400040" cy="8279765"/>
            <wp:effectExtent l="0" t="0" r="10160" b="6985"/>
            <wp:docPr id="89" name="图片 19"/>
            <wp:cNvGraphicFramePr/>
            <a:graphic xmlns:a="http://schemas.openxmlformats.org/drawingml/2006/main">
              <a:graphicData uri="http://schemas.openxmlformats.org/drawingml/2006/picture">
                <pic:pic xmlns:pic="http://schemas.openxmlformats.org/drawingml/2006/picture">
                  <pic:nvPicPr>
                    <pic:cNvPr id="89" name="图片 19"/>
                    <pic:cNvPicPr/>
                  </pic:nvPicPr>
                  <pic:blipFill>
                    <a:blip r:embed="rId47"/>
                    <a:stretch>
                      <a:fillRect/>
                    </a:stretch>
                  </pic:blipFill>
                  <pic:spPr>
                    <a:xfrm>
                      <a:off x="0" y="0"/>
                      <a:ext cx="5400040" cy="8279765"/>
                    </a:xfrm>
                    <a:prstGeom prst="rect">
                      <a:avLst/>
                    </a:prstGeom>
                    <a:noFill/>
                    <a:ln>
                      <a:noFill/>
                    </a:ln>
                  </pic:spPr>
                </pic:pic>
              </a:graphicData>
            </a:graphic>
          </wp:inline>
        </w:drawing>
      </w:r>
    </w:p>
    <w:p>
      <w:pPr>
        <w:pStyle w:val="34"/>
        <w:rPr>
          <w:rFonts w:hint="default" w:ascii="Times New Roman" w:hAnsi="Times New Roman" w:eastAsia="宋体" w:cs="Times New Roman"/>
          <w:color w:val="FF0000"/>
          <w:lang w:eastAsia="zh-CN"/>
        </w:rPr>
      </w:pPr>
    </w:p>
    <w:p>
      <w:pPr>
        <w:pStyle w:val="34"/>
        <w:rPr>
          <w:rFonts w:hint="default" w:ascii="Times New Roman" w:hAnsi="Times New Roman" w:eastAsia="宋体" w:cs="Times New Roman"/>
          <w:color w:val="FF0000"/>
          <w:lang w:eastAsia="zh-CN"/>
        </w:rPr>
      </w:pPr>
    </w:p>
    <w:p>
      <w:pPr>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附件</w:t>
      </w:r>
      <w:r>
        <w:rPr>
          <w:rFonts w:hint="eastAsia" w:ascii="Times New Roman" w:hAnsi="Times New Roman" w:eastAsia="宋体" w:cs="Times New Roman"/>
          <w:b/>
          <w:color w:val="auto"/>
          <w:szCs w:val="21"/>
          <w:lang w:val="en-US" w:eastAsia="zh-CN"/>
        </w:rPr>
        <w:t>4</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大气环境影响评价自查表</w:t>
      </w:r>
    </w:p>
    <w:p>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eastAsia="宋体" w:cs="Times New Roman"/>
          <w:color w:val="auto"/>
          <w:lang w:val="en-US"/>
        </w:rPr>
      </w:pPr>
      <w:r>
        <w:rPr>
          <w:rFonts w:hint="default" w:ascii="Times New Roman" w:hAnsi="Times New Roman" w:eastAsia="宋体" w:cs="Times New Roman"/>
          <w:bCs/>
          <w:color w:val="auto"/>
          <w:kern w:val="2"/>
          <w:sz w:val="24"/>
          <w:szCs w:val="24"/>
          <w:lang w:val="en-US" w:eastAsia="zh-CN" w:bidi="ar"/>
        </w:rPr>
        <w:t>大气环境影响评价自查表</w:t>
      </w:r>
    </w:p>
    <w:tbl>
      <w:tblPr>
        <w:tblStyle w:val="27"/>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1066"/>
        <w:gridCol w:w="914"/>
        <w:gridCol w:w="101"/>
        <w:gridCol w:w="535"/>
        <w:gridCol w:w="157"/>
        <w:gridCol w:w="135"/>
        <w:gridCol w:w="144"/>
        <w:gridCol w:w="85"/>
        <w:gridCol w:w="586"/>
        <w:gridCol w:w="159"/>
        <w:gridCol w:w="580"/>
        <w:gridCol w:w="292"/>
        <w:gridCol w:w="289"/>
        <w:gridCol w:w="160"/>
        <w:gridCol w:w="107"/>
        <w:gridCol w:w="74"/>
        <w:gridCol w:w="455"/>
        <w:gridCol w:w="155"/>
        <w:gridCol w:w="248"/>
        <w:gridCol w:w="185"/>
        <w:gridCol w:w="99"/>
        <w:gridCol w:w="105"/>
        <w:gridCol w:w="279"/>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trPr>
        <w:tc>
          <w:tcPr>
            <w:tcW w:w="1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工作内容</w:t>
            </w:r>
          </w:p>
        </w:tc>
        <w:tc>
          <w:tcPr>
            <w:tcW w:w="6946" w:type="dxa"/>
            <w:gridSpan w:val="2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评价等级与评价范围</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评价等级</w:t>
            </w:r>
          </w:p>
        </w:tc>
        <w:tc>
          <w:tcPr>
            <w:tcW w:w="19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一级□</w:t>
            </w:r>
          </w:p>
        </w:tc>
        <w:tc>
          <w:tcPr>
            <w:tcW w:w="233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二级</w:t>
            </w:r>
            <w:r>
              <w:rPr>
                <w:rFonts w:hint="default" w:ascii="Times New Roman" w:hAnsi="Times New Roman" w:eastAsia="宋体" w:cs="Times New Roman"/>
                <w:bCs/>
                <w:color w:val="auto"/>
                <w:spacing w:val="5"/>
                <w:sz w:val="20"/>
                <w:szCs w:val="21"/>
                <w:lang w:bidi="ar"/>
              </w:rPr>
              <w:sym w:font="Wingdings" w:char="00FE"/>
            </w:r>
          </w:p>
        </w:tc>
        <w:tc>
          <w:tcPr>
            <w:tcW w:w="262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评价范围</w:t>
            </w:r>
          </w:p>
        </w:tc>
        <w:tc>
          <w:tcPr>
            <w:tcW w:w="19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边长=50km□</w:t>
            </w:r>
          </w:p>
        </w:tc>
        <w:tc>
          <w:tcPr>
            <w:tcW w:w="233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边长5～50km□</w:t>
            </w:r>
          </w:p>
        </w:tc>
        <w:tc>
          <w:tcPr>
            <w:tcW w:w="262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边长=5km</w:t>
            </w:r>
            <w:r>
              <w:rPr>
                <w:rFonts w:hint="default" w:ascii="Times New Roman" w:hAnsi="Times New Roman" w:eastAsia="宋体" w:cs="Times New Roman"/>
                <w:bCs/>
                <w:color w:val="auto"/>
                <w:spacing w:val="5"/>
                <w:sz w:val="20"/>
                <w:szCs w:val="21"/>
                <w:lang w:bidi="a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w:t>
            </w: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因子</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SO</w:t>
            </w:r>
            <w:r>
              <w:rPr>
                <w:rFonts w:hint="default" w:ascii="Times New Roman" w:hAnsi="Times New Roman" w:eastAsia="宋体" w:cs="Times New Roman"/>
                <w:bCs/>
                <w:color w:val="auto"/>
                <w:spacing w:val="5"/>
                <w:kern w:val="2"/>
                <w:sz w:val="20"/>
                <w:szCs w:val="21"/>
                <w:vertAlign w:val="subscript"/>
                <w:lang w:val="en-US" w:eastAsia="zh-CN" w:bidi="ar"/>
              </w:rPr>
              <w:t>2</w:t>
            </w:r>
            <w:r>
              <w:rPr>
                <w:rFonts w:hint="default" w:ascii="Times New Roman" w:hAnsi="Times New Roman" w:eastAsia="宋体" w:cs="Times New Roman"/>
                <w:bCs/>
                <w:color w:val="auto"/>
                <w:spacing w:val="5"/>
                <w:kern w:val="2"/>
                <w:sz w:val="20"/>
                <w:szCs w:val="21"/>
                <w:lang w:val="en-US" w:eastAsia="zh-CN" w:bidi="ar"/>
              </w:rPr>
              <w:t>+NO</w:t>
            </w:r>
            <w:r>
              <w:rPr>
                <w:rFonts w:hint="default" w:ascii="Times New Roman" w:hAnsi="Times New Roman" w:eastAsia="宋体" w:cs="Times New Roman"/>
                <w:bCs/>
                <w:color w:val="auto"/>
                <w:spacing w:val="5"/>
                <w:kern w:val="2"/>
                <w:sz w:val="20"/>
                <w:szCs w:val="21"/>
                <w:vertAlign w:val="subscript"/>
                <w:lang w:val="en-US" w:eastAsia="zh-CN" w:bidi="ar"/>
              </w:rPr>
              <w:t>X</w:t>
            </w:r>
            <w:r>
              <w:rPr>
                <w:rFonts w:hint="default" w:ascii="Times New Roman" w:hAnsi="Times New Roman" w:eastAsia="宋体" w:cs="Times New Roman"/>
                <w:bCs/>
                <w:color w:val="auto"/>
                <w:spacing w:val="5"/>
                <w:kern w:val="2"/>
                <w:sz w:val="20"/>
                <w:szCs w:val="21"/>
                <w:lang w:val="en-US" w:eastAsia="zh-CN" w:bidi="ar"/>
              </w:rPr>
              <w:t>排放量</w:t>
            </w:r>
          </w:p>
        </w:tc>
        <w:tc>
          <w:tcPr>
            <w:tcW w:w="19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≥2000t/a□</w:t>
            </w:r>
          </w:p>
        </w:tc>
        <w:tc>
          <w:tcPr>
            <w:tcW w:w="233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highlight w:val="none"/>
                <w:lang w:bidi="ar"/>
              </w:rPr>
              <w:t>500-2000 t/a□</w:t>
            </w:r>
          </w:p>
        </w:tc>
        <w:tc>
          <w:tcPr>
            <w:tcW w:w="262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highlight w:val="none"/>
                <w:lang w:bidi="ar"/>
              </w:rPr>
              <w:t>＜500 t/a</w:t>
            </w:r>
            <w:r>
              <w:rPr>
                <w:rFonts w:hint="default" w:ascii="Times New Roman" w:hAnsi="Times New Roman" w:eastAsia="宋体" w:cs="Times New Roman"/>
                <w:bCs/>
                <w:color w:val="auto"/>
                <w:spacing w:val="5"/>
                <w:sz w:val="20"/>
                <w:szCs w:val="21"/>
                <w:highlight w:val="none"/>
                <w:lang w:bidi="a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评价因子</w:t>
            </w:r>
          </w:p>
        </w:tc>
        <w:tc>
          <w:tcPr>
            <w:tcW w:w="4318"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基本污染物（SO</w:t>
            </w:r>
            <w:r>
              <w:rPr>
                <w:rFonts w:hint="default" w:ascii="Times New Roman" w:hAnsi="Times New Roman" w:eastAsia="宋体" w:cs="Times New Roman"/>
                <w:bCs/>
                <w:color w:val="auto"/>
                <w:spacing w:val="5"/>
                <w:sz w:val="20"/>
                <w:szCs w:val="21"/>
                <w:vertAlign w:val="subscript"/>
                <w:lang w:bidi="ar"/>
              </w:rPr>
              <w:t>2</w:t>
            </w:r>
            <w:r>
              <w:rPr>
                <w:rFonts w:hint="default" w:ascii="Times New Roman" w:hAnsi="Times New Roman" w:eastAsia="宋体" w:cs="Times New Roman"/>
                <w:bCs/>
                <w:color w:val="auto"/>
                <w:spacing w:val="5"/>
                <w:sz w:val="20"/>
                <w:szCs w:val="21"/>
                <w:lang w:bidi="ar"/>
              </w:rPr>
              <w:t>、NO</w:t>
            </w:r>
            <w:r>
              <w:rPr>
                <w:rFonts w:hint="default" w:ascii="Times New Roman" w:hAnsi="Times New Roman" w:eastAsia="宋体" w:cs="Times New Roman"/>
                <w:bCs/>
                <w:color w:val="auto"/>
                <w:spacing w:val="5"/>
                <w:sz w:val="20"/>
                <w:szCs w:val="21"/>
                <w:vertAlign w:val="subscript"/>
                <w:lang w:bidi="ar"/>
              </w:rPr>
              <w:t>2</w:t>
            </w:r>
            <w:r>
              <w:rPr>
                <w:rFonts w:hint="default" w:ascii="Times New Roman" w:hAnsi="Times New Roman" w:eastAsia="宋体" w:cs="Times New Roman"/>
                <w:bCs/>
                <w:color w:val="auto"/>
                <w:spacing w:val="5"/>
                <w:sz w:val="20"/>
                <w:szCs w:val="21"/>
                <w:lang w:bidi="ar"/>
              </w:rPr>
              <w:t>、PM</w:t>
            </w:r>
            <w:r>
              <w:rPr>
                <w:rFonts w:hint="default" w:ascii="Times New Roman" w:hAnsi="Times New Roman" w:eastAsia="宋体" w:cs="Times New Roman"/>
                <w:bCs/>
                <w:color w:val="auto"/>
                <w:spacing w:val="5"/>
                <w:sz w:val="20"/>
                <w:szCs w:val="21"/>
                <w:vertAlign w:val="subscript"/>
                <w:lang w:bidi="ar"/>
              </w:rPr>
              <w:t>10</w:t>
            </w:r>
            <w:r>
              <w:rPr>
                <w:rFonts w:hint="default" w:ascii="Times New Roman" w:hAnsi="Times New Roman" w:eastAsia="宋体" w:cs="Times New Roman"/>
                <w:bCs/>
                <w:color w:val="auto"/>
                <w:spacing w:val="5"/>
                <w:sz w:val="20"/>
                <w:szCs w:val="21"/>
                <w:lang w:bidi="ar"/>
              </w:rPr>
              <w:t>、PM</w:t>
            </w:r>
            <w:r>
              <w:rPr>
                <w:rFonts w:hint="default" w:ascii="Times New Roman" w:hAnsi="Times New Roman" w:eastAsia="宋体" w:cs="Times New Roman"/>
                <w:bCs/>
                <w:color w:val="auto"/>
                <w:spacing w:val="5"/>
                <w:sz w:val="20"/>
                <w:szCs w:val="21"/>
                <w:vertAlign w:val="subscript"/>
                <w:lang w:bidi="ar"/>
              </w:rPr>
              <w:t>2.5</w:t>
            </w:r>
            <w:r>
              <w:rPr>
                <w:rFonts w:hint="default" w:ascii="Times New Roman" w:hAnsi="Times New Roman" w:eastAsia="宋体" w:cs="Times New Roman"/>
                <w:bCs/>
                <w:color w:val="auto"/>
                <w:spacing w:val="5"/>
                <w:sz w:val="20"/>
                <w:szCs w:val="21"/>
                <w:lang w:bidi="ar"/>
              </w:rPr>
              <w:t>、CO、O</w:t>
            </w:r>
            <w:r>
              <w:rPr>
                <w:rFonts w:hint="default" w:ascii="Times New Roman" w:hAnsi="Times New Roman" w:eastAsia="宋体" w:cs="Times New Roman"/>
                <w:bCs/>
                <w:color w:val="auto"/>
                <w:spacing w:val="5"/>
                <w:sz w:val="20"/>
                <w:szCs w:val="21"/>
                <w:vertAlign w:val="subscript"/>
                <w:lang w:bidi="ar"/>
              </w:rPr>
              <w:t>3</w:t>
            </w:r>
            <w:r>
              <w:rPr>
                <w:rFonts w:hint="default" w:ascii="Times New Roman" w:hAnsi="Times New Roman" w:eastAsia="宋体" w:cs="Times New Roman"/>
                <w:bCs/>
                <w:color w:val="auto"/>
                <w:spacing w:val="5"/>
                <w:sz w:val="20"/>
                <w:szCs w:val="21"/>
                <w:lang w:bidi="ar"/>
              </w:rPr>
              <w:t>）</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其他污染物（   非甲烷总烃      ）</w:t>
            </w:r>
          </w:p>
        </w:tc>
        <w:tc>
          <w:tcPr>
            <w:tcW w:w="262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包括二次PM</w:t>
            </w:r>
            <w:r>
              <w:rPr>
                <w:rFonts w:hint="default" w:ascii="Times New Roman" w:hAnsi="Times New Roman" w:eastAsia="宋体" w:cs="Times New Roman"/>
                <w:bCs/>
                <w:color w:val="auto"/>
                <w:spacing w:val="5"/>
                <w:sz w:val="20"/>
                <w:szCs w:val="21"/>
                <w:vertAlign w:val="subscript"/>
                <w:lang w:bidi="ar"/>
              </w:rPr>
              <w:t>2.5</w:t>
            </w:r>
            <w:r>
              <w:rPr>
                <w:rFonts w:hint="default" w:ascii="Times New Roman" w:hAnsi="Times New Roman" w:eastAsia="宋体" w:cs="Times New Roman"/>
                <w:bCs/>
                <w:color w:val="auto"/>
                <w:spacing w:val="5"/>
                <w:sz w:val="20"/>
                <w:szCs w:val="21"/>
                <w:lang w:bidi="ar"/>
              </w:rPr>
              <w:t>□</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不包括二次PM</w:t>
            </w:r>
            <w:r>
              <w:rPr>
                <w:rFonts w:hint="default" w:ascii="Times New Roman" w:hAnsi="Times New Roman" w:eastAsia="宋体" w:cs="Times New Roman"/>
                <w:bCs/>
                <w:color w:val="auto"/>
                <w:spacing w:val="5"/>
                <w:sz w:val="20"/>
                <w:szCs w:val="21"/>
                <w:vertAlign w:val="subscript"/>
                <w:lang w:bidi="ar"/>
              </w:rPr>
              <w:t>2.5</w:t>
            </w:r>
            <w:r>
              <w:rPr>
                <w:rFonts w:hint="default" w:ascii="Times New Roman" w:hAnsi="Times New Roman" w:eastAsia="宋体" w:cs="Times New Roman"/>
                <w:bCs/>
                <w:color w:val="auto"/>
                <w:spacing w:val="5"/>
                <w:sz w:val="20"/>
                <w:szCs w:val="21"/>
                <w:lang w:bidi="a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w:t>
            </w: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标准</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评价标准</w:t>
            </w:r>
          </w:p>
        </w:tc>
        <w:tc>
          <w:tcPr>
            <w:tcW w:w="19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国家标准</w:t>
            </w:r>
            <w:r>
              <w:rPr>
                <w:rFonts w:hint="default" w:ascii="Times New Roman" w:hAnsi="Times New Roman" w:eastAsia="宋体" w:cs="Times New Roman"/>
                <w:bCs/>
                <w:color w:val="auto"/>
                <w:spacing w:val="5"/>
                <w:kern w:val="2"/>
                <w:sz w:val="20"/>
                <w:szCs w:val="21"/>
                <w:lang w:val="en-US" w:eastAsia="zh-CN" w:bidi="ar"/>
              </w:rPr>
              <w:sym w:font="Wingdings" w:char="00FE"/>
            </w:r>
          </w:p>
        </w:tc>
        <w:tc>
          <w:tcPr>
            <w:tcW w:w="233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地方标准□</w:t>
            </w:r>
          </w:p>
        </w:tc>
        <w:tc>
          <w:tcPr>
            <w:tcW w:w="104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附录D□</w:t>
            </w:r>
          </w:p>
        </w:tc>
        <w:tc>
          <w:tcPr>
            <w:tcW w:w="15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现状</w:t>
            </w: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环境功能区</w:t>
            </w:r>
          </w:p>
        </w:tc>
        <w:tc>
          <w:tcPr>
            <w:tcW w:w="19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一类区□</w:t>
            </w:r>
          </w:p>
        </w:tc>
        <w:tc>
          <w:tcPr>
            <w:tcW w:w="233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二类区</w:t>
            </w:r>
            <w:r>
              <w:rPr>
                <w:rFonts w:hint="default" w:ascii="Times New Roman" w:hAnsi="Times New Roman" w:eastAsia="宋体" w:cs="Times New Roman"/>
                <w:bCs/>
                <w:color w:val="auto"/>
                <w:spacing w:val="5"/>
                <w:kern w:val="2"/>
                <w:sz w:val="20"/>
                <w:szCs w:val="21"/>
                <w:lang w:val="en-US" w:eastAsia="zh-CN" w:bidi="ar"/>
              </w:rPr>
              <w:sym w:font="Wingdings" w:char="00FE"/>
            </w:r>
          </w:p>
        </w:tc>
        <w:tc>
          <w:tcPr>
            <w:tcW w:w="262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评价基准年</w:t>
            </w:r>
          </w:p>
        </w:tc>
        <w:tc>
          <w:tcPr>
            <w:tcW w:w="6946" w:type="dxa"/>
            <w:gridSpan w:val="2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 201</w:t>
            </w:r>
            <w:r>
              <w:rPr>
                <w:rFonts w:hint="default" w:ascii="Times New Roman" w:hAnsi="Times New Roman" w:eastAsia="宋体" w:cs="Times New Roman"/>
                <w:bCs/>
                <w:color w:val="auto"/>
                <w:spacing w:val="5"/>
                <w:sz w:val="20"/>
                <w:szCs w:val="21"/>
                <w:lang w:val="en-US" w:eastAsia="zh-CN" w:bidi="ar"/>
              </w:rPr>
              <w:t>8</w:t>
            </w:r>
            <w:r>
              <w:rPr>
                <w:rFonts w:hint="default" w:ascii="Times New Roman" w:hAnsi="Times New Roman" w:eastAsia="宋体" w:cs="Times New Roman"/>
                <w:bCs/>
                <w:color w:val="auto"/>
                <w:spacing w:val="5"/>
                <w:sz w:val="20"/>
                <w:szCs w:val="21"/>
                <w:lang w:bidi="ar"/>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环境空气质量现状调查数据来源</w:t>
            </w:r>
          </w:p>
        </w:tc>
        <w:tc>
          <w:tcPr>
            <w:tcW w:w="265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长期例行监测数据□</w:t>
            </w:r>
          </w:p>
        </w:tc>
        <w:tc>
          <w:tcPr>
            <w:tcW w:w="158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主管部门发布的数据</w:t>
            </w:r>
            <w:r>
              <w:rPr>
                <w:rFonts w:hint="default" w:ascii="Times New Roman" w:hAnsi="Times New Roman" w:eastAsia="宋体" w:cs="Times New Roman"/>
                <w:bCs/>
                <w:color w:val="auto"/>
                <w:spacing w:val="5"/>
                <w:sz w:val="20"/>
                <w:szCs w:val="21"/>
                <w:lang w:bidi="ar"/>
              </w:rPr>
              <w:sym w:font="Wingdings" w:char="00FE"/>
            </w:r>
          </w:p>
        </w:tc>
        <w:tc>
          <w:tcPr>
            <w:tcW w:w="270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现状补充监测</w:t>
            </w:r>
            <w:r>
              <w:rPr>
                <w:rFonts w:hint="default" w:ascii="Times New Roman" w:hAnsi="Times New Roman" w:eastAsia="宋体" w:cs="Times New Roman"/>
                <w:bCs/>
                <w:color w:val="auto"/>
                <w:spacing w:val="5"/>
                <w:sz w:val="20"/>
                <w:szCs w:val="21"/>
                <w:lang w:bidi="ar"/>
              </w:rPr>
              <w:sym w:font="Wingdings" w:char="00FE"/>
            </w:r>
            <w:r>
              <w:rPr>
                <w:rFonts w:hint="default" w:ascii="Times New Roman" w:hAnsi="Times New Roman" w:eastAsia="宋体" w:cs="Times New Roman"/>
                <w:bCs/>
                <w:color w:val="auto"/>
                <w:spacing w:val="5"/>
                <w:sz w:val="2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现状评价</w:t>
            </w:r>
          </w:p>
        </w:tc>
        <w:tc>
          <w:tcPr>
            <w:tcW w:w="4244"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达标区</w:t>
            </w:r>
            <w:r>
              <w:rPr>
                <w:rFonts w:hint="default" w:ascii="Times New Roman" w:hAnsi="Times New Roman" w:eastAsia="宋体" w:cs="Times New Roman"/>
                <w:bCs/>
                <w:color w:val="auto"/>
                <w:spacing w:val="5"/>
                <w:sz w:val="20"/>
                <w:szCs w:val="21"/>
                <w:lang w:bidi="ar"/>
              </w:rPr>
              <w:sym w:font="Wingdings" w:char="00FE"/>
            </w:r>
          </w:p>
        </w:tc>
        <w:tc>
          <w:tcPr>
            <w:tcW w:w="270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宋体" w:cs="Times New Roman"/>
                <w:color w:val="auto"/>
                <w:spacing w:val="5"/>
                <w:sz w:val="20"/>
                <w:szCs w:val="21"/>
                <w:lang w:val="en-US" w:eastAsia="zh-CN"/>
              </w:rPr>
            </w:pPr>
            <w:r>
              <w:rPr>
                <w:rFonts w:hint="default" w:ascii="Times New Roman" w:hAnsi="Times New Roman" w:eastAsia="宋体" w:cs="Times New Roman"/>
                <w:bCs/>
                <w:color w:val="auto"/>
                <w:spacing w:val="5"/>
                <w:sz w:val="20"/>
                <w:szCs w:val="21"/>
                <w:lang w:bidi="ar"/>
              </w:rPr>
              <w:t>不达标区</w:t>
            </w:r>
            <w:r>
              <w:rPr>
                <w:rFonts w:hint="eastAsia" w:ascii="Times New Roman" w:hAnsi="Times New Roman" w:eastAsia="宋体" w:cs="Times New Roman"/>
                <w:bCs/>
                <w:color w:val="auto"/>
                <w:spacing w:val="5"/>
                <w:sz w:val="20"/>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污染源调查</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调查内容</w:t>
            </w:r>
          </w:p>
        </w:tc>
        <w:tc>
          <w:tcPr>
            <w:tcW w:w="281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本项目正常排放源</w:t>
            </w:r>
            <w:r>
              <w:rPr>
                <w:rFonts w:hint="default" w:ascii="Times New Roman" w:hAnsi="Times New Roman" w:eastAsia="宋体" w:cs="Times New Roman"/>
                <w:bCs/>
                <w:color w:val="auto"/>
                <w:spacing w:val="5"/>
                <w:sz w:val="20"/>
                <w:szCs w:val="21"/>
                <w:lang w:bidi="ar"/>
              </w:rPr>
              <w:sym w:font="Wingdings" w:char="00FE"/>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本项目非正常排放源</w:t>
            </w:r>
            <w:r>
              <w:rPr>
                <w:rFonts w:hint="default" w:ascii="Times New Roman" w:hAnsi="Times New Roman" w:eastAsia="宋体" w:cs="Times New Roman"/>
                <w:bCs/>
                <w:color w:val="auto"/>
                <w:spacing w:val="5"/>
                <w:sz w:val="20"/>
                <w:szCs w:val="21"/>
                <w:lang w:bidi="ar"/>
              </w:rPr>
              <w:sym w:font="Wingdings" w:char="00FE"/>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现有污染源□</w:t>
            </w:r>
          </w:p>
        </w:tc>
        <w:tc>
          <w:tcPr>
            <w:tcW w:w="142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拟替代的</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污染源□</w:t>
            </w:r>
          </w:p>
        </w:tc>
        <w:tc>
          <w:tcPr>
            <w:tcW w:w="132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其他在建、拟建项目污染源□</w:t>
            </w:r>
          </w:p>
        </w:tc>
        <w:tc>
          <w:tcPr>
            <w:tcW w:w="13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大气环境影响预测与评价</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预测模型</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AERMOD</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c>
          <w:tcPr>
            <w:tcW w:w="6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ADMS</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c>
          <w:tcPr>
            <w:tcW w:w="126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AUSTAL2000</w:t>
            </w:r>
          </w:p>
          <w:p>
            <w:pPr>
              <w:keepNext w:val="0"/>
              <w:keepLines w:val="0"/>
              <w:suppressLineNumbers w:val="0"/>
              <w:tabs>
                <w:tab w:val="left" w:pos="569"/>
              </w:tabs>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c>
          <w:tcPr>
            <w:tcW w:w="11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EDMS/AEDT</w:t>
            </w:r>
          </w:p>
          <w:p>
            <w:pPr>
              <w:keepNext w:val="0"/>
              <w:keepLines w:val="0"/>
              <w:suppressLineNumbers w:val="0"/>
              <w:tabs>
                <w:tab w:val="left" w:pos="502"/>
              </w:tabs>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c>
          <w:tcPr>
            <w:tcW w:w="9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CALPUFF</w:t>
            </w:r>
          </w:p>
          <w:p>
            <w:pPr>
              <w:keepNext w:val="0"/>
              <w:keepLines w:val="0"/>
              <w:suppressLineNumbers w:val="0"/>
              <w:spacing w:before="0" w:beforeAutospacing="0" w:after="0" w:afterAutospacing="0" w:line="300" w:lineRule="atLeast"/>
              <w:ind w:left="0" w:right="0" w:firstLine="315" w:firstLineChars="15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c>
          <w:tcPr>
            <w:tcW w:w="91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网络模型</w:t>
            </w:r>
          </w:p>
          <w:p>
            <w:pPr>
              <w:keepNext w:val="0"/>
              <w:keepLines w:val="0"/>
              <w:suppressLineNumbers w:val="0"/>
              <w:spacing w:before="0" w:beforeAutospacing="0" w:after="0" w:afterAutospacing="0" w:line="300" w:lineRule="atLeast"/>
              <w:ind w:left="0" w:right="0" w:firstLine="315" w:firstLineChars="15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其他</w:t>
            </w:r>
          </w:p>
          <w:p>
            <w:pPr>
              <w:keepNext w:val="0"/>
              <w:keepLines w:val="0"/>
              <w:suppressLineNumbers w:val="0"/>
              <w:spacing w:before="0" w:beforeAutospacing="0" w:after="0" w:afterAutospacing="0" w:line="300" w:lineRule="atLeast"/>
              <w:ind w:left="0" w:right="0" w:firstLine="105" w:firstLineChars="5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预测范围</w:t>
            </w:r>
          </w:p>
        </w:tc>
        <w:tc>
          <w:tcPr>
            <w:tcW w:w="281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边长≥50km□</w:t>
            </w:r>
          </w:p>
        </w:tc>
        <w:tc>
          <w:tcPr>
            <w:tcW w:w="236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边长5～50km□</w:t>
            </w:r>
          </w:p>
        </w:tc>
        <w:tc>
          <w:tcPr>
            <w:tcW w:w="177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预测因子</w:t>
            </w:r>
          </w:p>
        </w:tc>
        <w:tc>
          <w:tcPr>
            <w:tcW w:w="281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预测因子（    ）</w:t>
            </w:r>
          </w:p>
        </w:tc>
        <w:tc>
          <w:tcPr>
            <w:tcW w:w="4130"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包括二次PM</w:t>
            </w:r>
            <w:r>
              <w:rPr>
                <w:rFonts w:hint="default" w:ascii="Times New Roman" w:hAnsi="Times New Roman" w:eastAsia="宋体" w:cs="Times New Roman"/>
                <w:bCs/>
                <w:color w:val="auto"/>
                <w:spacing w:val="5"/>
                <w:sz w:val="20"/>
                <w:szCs w:val="21"/>
                <w:vertAlign w:val="subscript"/>
                <w:lang w:bidi="ar"/>
              </w:rPr>
              <w:t>2.5</w:t>
            </w:r>
            <w:r>
              <w:rPr>
                <w:rFonts w:hint="default" w:ascii="Times New Roman" w:hAnsi="Times New Roman" w:eastAsia="宋体" w:cs="Times New Roman"/>
                <w:bCs/>
                <w:color w:val="auto"/>
                <w:spacing w:val="5"/>
                <w:sz w:val="20"/>
                <w:szCs w:val="21"/>
                <w:lang w:bidi="ar"/>
              </w:rPr>
              <w:t>□</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不包括二次PM</w:t>
            </w:r>
            <w:r>
              <w:rPr>
                <w:rFonts w:hint="default" w:ascii="Times New Roman" w:hAnsi="Times New Roman" w:eastAsia="宋体" w:cs="Times New Roman"/>
                <w:bCs/>
                <w:color w:val="auto"/>
                <w:spacing w:val="5"/>
                <w:sz w:val="20"/>
                <w:szCs w:val="21"/>
                <w:vertAlign w:val="subscript"/>
                <w:lang w:bidi="ar"/>
              </w:rPr>
              <w:t>2.5</w:t>
            </w:r>
            <w:r>
              <w:rPr>
                <w:rFonts w:hint="default" w:ascii="Times New Roman" w:hAnsi="Times New Roman" w:eastAsia="宋体" w:cs="Times New Roman"/>
                <w:bCs/>
                <w:color w:val="auto"/>
                <w:spacing w:val="5"/>
                <w:sz w:val="2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正常排放短期浓度贡献值</w:t>
            </w:r>
          </w:p>
        </w:tc>
        <w:tc>
          <w:tcPr>
            <w:tcW w:w="281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C本项目最大占标率≤100%□</w:t>
            </w:r>
          </w:p>
          <w:p>
            <w:pPr>
              <w:keepNext w:val="0"/>
              <w:keepLines w:val="0"/>
              <w:suppressLineNumbers w:val="0"/>
              <w:spacing w:before="0" w:beforeAutospacing="0" w:after="0" w:afterAutospacing="0" w:line="300" w:lineRule="atLeast"/>
              <w:ind w:left="0" w:right="0" w:firstLine="420" w:firstLineChars="200"/>
              <w:jc w:val="center"/>
              <w:rPr>
                <w:rFonts w:hint="default" w:ascii="Times New Roman" w:hAnsi="Times New Roman" w:eastAsia="宋体" w:cs="Times New Roman"/>
                <w:color w:val="auto"/>
                <w:spacing w:val="5"/>
                <w:sz w:val="20"/>
                <w:szCs w:val="21"/>
                <w:lang w:val="en-US"/>
              </w:rPr>
            </w:pPr>
          </w:p>
        </w:tc>
        <w:tc>
          <w:tcPr>
            <w:tcW w:w="4130"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正常排放年均浓度贡献值</w:t>
            </w:r>
          </w:p>
        </w:tc>
        <w:tc>
          <w:tcPr>
            <w:tcW w:w="10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一类区</w:t>
            </w:r>
          </w:p>
        </w:tc>
        <w:tc>
          <w:tcPr>
            <w:tcW w:w="3122"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C本项目最大占标率≤10%□</w:t>
            </w:r>
          </w:p>
        </w:tc>
        <w:tc>
          <w:tcPr>
            <w:tcW w:w="280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二类区</w:t>
            </w:r>
          </w:p>
        </w:tc>
        <w:tc>
          <w:tcPr>
            <w:tcW w:w="3122"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C本项目最大占标率≤30%□</w:t>
            </w:r>
          </w:p>
        </w:tc>
        <w:tc>
          <w:tcPr>
            <w:tcW w:w="280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非正常排放1h浓度贡献值</w:t>
            </w:r>
          </w:p>
        </w:tc>
        <w:tc>
          <w:tcPr>
            <w:tcW w:w="184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非正常持续时长</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    ）h</w:t>
            </w:r>
          </w:p>
        </w:tc>
        <w:tc>
          <w:tcPr>
            <w:tcW w:w="2931"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C非正常最大占标率≤100%□</w:t>
            </w:r>
          </w:p>
        </w:tc>
        <w:tc>
          <w:tcPr>
            <w:tcW w:w="217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C非正常最大占标率＞100%□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保证率日平均浓度和年均浓度叠加值</w:t>
            </w:r>
          </w:p>
        </w:tc>
        <w:tc>
          <w:tcPr>
            <w:tcW w:w="3688"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C叠加达标□</w:t>
            </w:r>
          </w:p>
        </w:tc>
        <w:tc>
          <w:tcPr>
            <w:tcW w:w="3258"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区域环境质量的整体变化情况</w:t>
            </w:r>
          </w:p>
        </w:tc>
        <w:tc>
          <w:tcPr>
            <w:tcW w:w="3688"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K≤-20%□</w:t>
            </w:r>
          </w:p>
        </w:tc>
        <w:tc>
          <w:tcPr>
            <w:tcW w:w="3258"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环境监测计划</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污染源监测</w:t>
            </w:r>
          </w:p>
        </w:tc>
        <w:tc>
          <w:tcPr>
            <w:tcW w:w="207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highlight w:val="none"/>
                <w:lang w:bidi="ar"/>
              </w:rPr>
              <w:t>监测因子：（</w:t>
            </w:r>
            <w:r>
              <w:rPr>
                <w:rFonts w:hint="default" w:ascii="Times New Roman" w:hAnsi="Times New Roman" w:eastAsia="宋体" w:cs="Times New Roman"/>
                <w:bCs/>
                <w:color w:val="auto"/>
                <w:spacing w:val="5"/>
                <w:sz w:val="20"/>
                <w:szCs w:val="21"/>
                <w:highlight w:val="none"/>
                <w:lang w:val="en-US" w:eastAsia="zh-CN" w:bidi="ar"/>
              </w:rPr>
              <w:t>非甲烷总烃</w:t>
            </w:r>
            <w:r>
              <w:rPr>
                <w:rFonts w:hint="default" w:ascii="Times New Roman" w:hAnsi="Times New Roman" w:eastAsia="宋体" w:cs="Times New Roman"/>
                <w:bCs/>
                <w:color w:val="auto"/>
                <w:spacing w:val="5"/>
                <w:sz w:val="20"/>
                <w:szCs w:val="21"/>
                <w:highlight w:val="none"/>
                <w:lang w:bidi="ar"/>
              </w:rPr>
              <w:t>）</w:t>
            </w:r>
          </w:p>
        </w:tc>
        <w:tc>
          <w:tcPr>
            <w:tcW w:w="310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rPr>
            </w:pPr>
            <w:r>
              <w:rPr>
                <w:rFonts w:hint="default" w:ascii="Times New Roman" w:hAnsi="Times New Roman" w:eastAsia="宋体" w:cs="Times New Roman"/>
                <w:bCs/>
                <w:color w:val="auto"/>
                <w:spacing w:val="5"/>
                <w:sz w:val="20"/>
                <w:szCs w:val="21"/>
                <w:lang w:bidi="ar"/>
              </w:rPr>
              <w:t>有组织废气监测</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无组织废气监测</w:t>
            </w:r>
            <w:r>
              <w:rPr>
                <w:rFonts w:hint="default" w:ascii="Times New Roman" w:hAnsi="Times New Roman" w:eastAsia="宋体" w:cs="Times New Roman"/>
                <w:bCs/>
                <w:color w:val="auto"/>
                <w:spacing w:val="5"/>
                <w:sz w:val="20"/>
                <w:szCs w:val="21"/>
                <w:lang w:bidi="ar"/>
              </w:rPr>
              <w:sym w:font="Wingdings" w:char="00FE"/>
            </w:r>
          </w:p>
        </w:tc>
        <w:tc>
          <w:tcPr>
            <w:tcW w:w="177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sz w:val="20"/>
                <w:szCs w:val="21"/>
                <w:lang w:bidi="ar"/>
              </w:rPr>
              <w:t>无监测</w:t>
            </w:r>
            <w:r>
              <w:rPr>
                <w:rFonts w:hint="default" w:ascii="Times New Roman" w:hAnsi="Times New Roman" w:eastAsia="宋体" w:cs="Times New Roman"/>
                <w:bCs/>
                <w:color w:val="auto"/>
                <w:spacing w:val="5"/>
                <w:sz w:val="20"/>
                <w:szCs w:val="21"/>
                <w:lang w:bidi="a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环境质量监测</w:t>
            </w:r>
          </w:p>
        </w:tc>
        <w:tc>
          <w:tcPr>
            <w:tcW w:w="207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监测因子：（      ）</w:t>
            </w:r>
          </w:p>
        </w:tc>
        <w:tc>
          <w:tcPr>
            <w:tcW w:w="310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监测点位数（  ）</w:t>
            </w:r>
          </w:p>
        </w:tc>
        <w:tc>
          <w:tcPr>
            <w:tcW w:w="177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无监测</w:t>
            </w:r>
            <w:r>
              <w:rPr>
                <w:rFonts w:hint="default" w:ascii="Times New Roman" w:hAnsi="Times New Roman" w:eastAsia="宋体" w:cs="Times New Roman"/>
                <w:bCs/>
                <w:color w:val="auto"/>
                <w:spacing w:val="5"/>
                <w:kern w:val="2"/>
                <w:sz w:val="20"/>
                <w:szCs w:val="21"/>
                <w:lang w:val="en-US" w:eastAsia="zh-CN" w:bidi="a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评价</w:t>
            </w:r>
          </w:p>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结论</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环境影响</w:t>
            </w:r>
          </w:p>
        </w:tc>
        <w:tc>
          <w:tcPr>
            <w:tcW w:w="6946" w:type="dxa"/>
            <w:gridSpan w:val="2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可以接受</w:t>
            </w:r>
            <w:r>
              <w:rPr>
                <w:rFonts w:hint="default" w:ascii="Times New Roman" w:hAnsi="Times New Roman" w:eastAsia="宋体" w:cs="Times New Roman"/>
                <w:bCs/>
                <w:color w:val="auto"/>
                <w:spacing w:val="5"/>
                <w:kern w:val="2"/>
                <w:sz w:val="20"/>
                <w:szCs w:val="21"/>
                <w:lang w:val="en-US" w:eastAsia="zh-CN" w:bidi="ar"/>
              </w:rPr>
              <w:sym w:font="Wingdings" w:char="00FE"/>
            </w:r>
            <w:r>
              <w:rPr>
                <w:rFonts w:hint="default" w:ascii="Times New Roman" w:hAnsi="Times New Roman" w:eastAsia="宋体" w:cs="Times New Roman"/>
                <w:bCs/>
                <w:color w:val="auto"/>
                <w:spacing w:val="5"/>
                <w:kern w:val="2"/>
                <w:sz w:val="20"/>
                <w:szCs w:val="21"/>
                <w:lang w:val="en-US" w:eastAsia="zh-CN" w:bidi="ar"/>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大气防护距离</w:t>
            </w:r>
          </w:p>
        </w:tc>
        <w:tc>
          <w:tcPr>
            <w:tcW w:w="6946" w:type="dxa"/>
            <w:gridSpan w:val="2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距（  ）厂界最远（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污染源年排放量</w:t>
            </w:r>
          </w:p>
        </w:tc>
        <w:tc>
          <w:tcPr>
            <w:tcW w:w="170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SO</w:t>
            </w:r>
            <w:r>
              <w:rPr>
                <w:rFonts w:hint="default" w:ascii="Times New Roman" w:hAnsi="Times New Roman" w:eastAsia="宋体" w:cs="Times New Roman"/>
                <w:bCs/>
                <w:color w:val="auto"/>
                <w:spacing w:val="5"/>
                <w:kern w:val="2"/>
                <w:sz w:val="20"/>
                <w:szCs w:val="21"/>
                <w:vertAlign w:val="subscript"/>
                <w:lang w:val="en-US" w:eastAsia="zh-CN" w:bidi="ar"/>
              </w:rPr>
              <w:t>2</w:t>
            </w:r>
            <w:r>
              <w:rPr>
                <w:rFonts w:hint="default" w:ascii="Times New Roman" w:hAnsi="Times New Roman" w:eastAsia="宋体" w:cs="Times New Roman"/>
                <w:bCs/>
                <w:color w:val="auto"/>
                <w:spacing w:val="5"/>
                <w:kern w:val="2"/>
                <w:sz w:val="20"/>
                <w:szCs w:val="21"/>
                <w:lang w:val="en-US" w:eastAsia="zh-CN" w:bidi="ar"/>
              </w:rPr>
              <w:t>：（   ）t/a</w:t>
            </w:r>
          </w:p>
        </w:tc>
        <w:tc>
          <w:tcPr>
            <w:tcW w:w="168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NO</w:t>
            </w:r>
            <w:r>
              <w:rPr>
                <w:rFonts w:hint="default" w:ascii="Times New Roman" w:hAnsi="Times New Roman" w:eastAsia="宋体" w:cs="Times New Roman"/>
                <w:bCs/>
                <w:color w:val="auto"/>
                <w:spacing w:val="5"/>
                <w:kern w:val="2"/>
                <w:sz w:val="20"/>
                <w:szCs w:val="21"/>
                <w:vertAlign w:val="subscript"/>
                <w:lang w:val="en-US" w:eastAsia="zh-CN" w:bidi="ar"/>
              </w:rPr>
              <w:t>X</w:t>
            </w:r>
            <w:r>
              <w:rPr>
                <w:rFonts w:hint="default" w:ascii="Times New Roman" w:hAnsi="Times New Roman" w:eastAsia="宋体" w:cs="Times New Roman"/>
                <w:bCs/>
                <w:color w:val="auto"/>
                <w:spacing w:val="5"/>
                <w:kern w:val="2"/>
                <w:sz w:val="20"/>
                <w:szCs w:val="21"/>
                <w:lang w:val="en-US" w:eastAsia="zh-CN" w:bidi="ar"/>
              </w:rPr>
              <w:t>：（   ）t/a</w:t>
            </w:r>
          </w:p>
        </w:tc>
        <w:tc>
          <w:tcPr>
            <w:tcW w:w="2064"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颗粒物：（  ）t/a</w:t>
            </w:r>
          </w:p>
        </w:tc>
        <w:tc>
          <w:tcPr>
            <w:tcW w:w="14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VOCS：（</w:t>
            </w:r>
            <w:r>
              <w:rPr>
                <w:rFonts w:hint="eastAsia" w:ascii="Times New Roman" w:hAnsi="Times New Roman" w:eastAsia="宋体" w:cs="Times New Roman"/>
                <w:bCs/>
                <w:color w:val="auto"/>
                <w:spacing w:val="5"/>
                <w:kern w:val="2"/>
                <w:sz w:val="20"/>
                <w:szCs w:val="21"/>
                <w:lang w:val="en-US" w:eastAsia="zh-CN" w:bidi="ar"/>
              </w:rPr>
              <w:t>4.141</w:t>
            </w:r>
            <w:r>
              <w:rPr>
                <w:rFonts w:hint="default" w:ascii="Times New Roman" w:hAnsi="Times New Roman" w:eastAsia="宋体" w:cs="Times New Roman"/>
                <w:bCs/>
                <w:color w:val="auto"/>
                <w:spacing w:val="5"/>
                <w:kern w:val="2"/>
                <w:sz w:val="20"/>
                <w:szCs w:val="21"/>
                <w:lang w:val="en-US" w:eastAsia="zh-CN" w:bidi="ar"/>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438" w:type="dxa"/>
            <w:gridSpan w:val="2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spacing w:val="5"/>
                <w:sz w:val="20"/>
                <w:szCs w:val="21"/>
                <w:lang w:val="en-US"/>
              </w:rPr>
            </w:pPr>
            <w:r>
              <w:rPr>
                <w:rFonts w:hint="default" w:ascii="Times New Roman" w:hAnsi="Times New Roman" w:eastAsia="宋体" w:cs="Times New Roman"/>
                <w:bCs/>
                <w:color w:val="auto"/>
                <w:spacing w:val="5"/>
                <w:kern w:val="2"/>
                <w:sz w:val="20"/>
                <w:szCs w:val="21"/>
                <w:lang w:val="en-US" w:eastAsia="zh-CN" w:bidi="ar"/>
              </w:rPr>
              <w:t>注：“□”为勾选项，填“√”，“（  ）”为填写项</w:t>
            </w:r>
          </w:p>
        </w:tc>
      </w:tr>
    </w:tbl>
    <w:p>
      <w:pPr>
        <w:jc w:val="left"/>
        <w:rPr>
          <w:rFonts w:hint="default" w:ascii="Times New Roman" w:hAnsi="Times New Roman" w:eastAsia="宋体" w:cs="Times New Roman"/>
          <w:b/>
          <w:color w:val="FF0000"/>
          <w:szCs w:val="21"/>
          <w:lang w:val="en-US" w:eastAsia="zh-CN"/>
        </w:rPr>
      </w:pPr>
    </w:p>
    <w:p>
      <w:pPr>
        <w:jc w:val="left"/>
        <w:rPr>
          <w:rFonts w:hint="default" w:ascii="Times New Roman" w:hAnsi="Times New Roman" w:eastAsia="宋体" w:cs="Times New Roman"/>
          <w:b/>
          <w:color w:val="FF0000"/>
          <w:szCs w:val="21"/>
          <w:lang w:val="en-US" w:eastAsia="zh-CN"/>
        </w:rPr>
        <w:sectPr>
          <w:pgSz w:w="11906" w:h="16838"/>
          <w:pgMar w:top="1440" w:right="1418"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rPr>
          <w:rFonts w:hint="default" w:ascii="Times New Roman" w:hAnsi="Times New Roman" w:eastAsia="宋体" w:cs="Times New Roman"/>
          <w:color w:val="auto"/>
        </w:rPr>
      </w:pPr>
      <w:r>
        <w:rPr>
          <w:rFonts w:hint="default" w:ascii="Times New Roman" w:hAnsi="Times New Roman" w:eastAsia="宋体" w:cs="Times New Roman"/>
          <w:b/>
          <w:color w:val="auto"/>
          <w:szCs w:val="21"/>
          <w:lang w:val="en-US" w:eastAsia="zh-CN"/>
        </w:rPr>
        <w:t>附件</w:t>
      </w:r>
      <w:r>
        <w:rPr>
          <w:rFonts w:hint="eastAsia"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风险自查表</w:t>
      </w:r>
    </w:p>
    <w:tbl>
      <w:tblPr>
        <w:tblStyle w:val="27"/>
        <w:tblW w:w="8336" w:type="dxa"/>
        <w:jc w:val="center"/>
        <w:shd w:val="clear" w:color="auto" w:fill="auto"/>
        <w:tblLayout w:type="fixed"/>
        <w:tblCellMar>
          <w:top w:w="0" w:type="dxa"/>
          <w:left w:w="0" w:type="dxa"/>
          <w:bottom w:w="0" w:type="dxa"/>
          <w:right w:w="0" w:type="dxa"/>
        </w:tblCellMar>
      </w:tblPr>
      <w:tblGrid>
        <w:gridCol w:w="321"/>
        <w:gridCol w:w="1065"/>
        <w:gridCol w:w="964"/>
        <w:gridCol w:w="426"/>
        <w:gridCol w:w="322"/>
        <w:gridCol w:w="748"/>
        <w:gridCol w:w="318"/>
        <w:gridCol w:w="2"/>
        <w:gridCol w:w="179"/>
        <w:gridCol w:w="249"/>
        <w:gridCol w:w="267"/>
        <w:gridCol w:w="481"/>
        <w:gridCol w:w="1"/>
        <w:gridCol w:w="213"/>
        <w:gridCol w:w="534"/>
        <w:gridCol w:w="173"/>
        <w:gridCol w:w="77"/>
        <w:gridCol w:w="498"/>
        <w:gridCol w:w="108"/>
        <w:gridCol w:w="640"/>
        <w:gridCol w:w="750"/>
      </w:tblGrid>
      <w:tr>
        <w:tblPrEx>
          <w:shd w:val="clear" w:color="auto" w:fill="auto"/>
          <w:tblCellMar>
            <w:top w:w="0" w:type="dxa"/>
            <w:left w:w="0" w:type="dxa"/>
            <w:bottom w:w="0" w:type="dxa"/>
            <w:right w:w="0" w:type="dxa"/>
          </w:tblCellMar>
        </w:tblPrEx>
        <w:trPr>
          <w:trHeight w:val="270" w:hRule="atLeast"/>
          <w:jc w:val="center"/>
        </w:trPr>
        <w:tc>
          <w:tcPr>
            <w:tcW w:w="13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工作内容</w:t>
            </w:r>
          </w:p>
        </w:tc>
        <w:tc>
          <w:tcPr>
            <w:tcW w:w="6950" w:type="dxa"/>
            <w:gridSpan w:val="1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完成情况</w:t>
            </w:r>
          </w:p>
        </w:tc>
      </w:tr>
      <w:tr>
        <w:tblPrEx>
          <w:tblCellMar>
            <w:top w:w="0" w:type="dxa"/>
            <w:left w:w="0" w:type="dxa"/>
            <w:bottom w:w="0" w:type="dxa"/>
            <w:right w:w="0" w:type="dxa"/>
          </w:tblCellMar>
        </w:tblPrEx>
        <w:trPr>
          <w:trHeight w:val="317" w:hRule="atLeast"/>
          <w:jc w:val="center"/>
        </w:trPr>
        <w:tc>
          <w:tcPr>
            <w:tcW w:w="3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风险调查</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危险物质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名称</w:t>
            </w:r>
          </w:p>
        </w:tc>
        <w:tc>
          <w:tcPr>
            <w:tcW w:w="7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eastAsia="zh-CN"/>
              </w:rPr>
            </w:pPr>
            <w:r>
              <w:rPr>
                <w:rFonts w:hint="default" w:ascii="Times New Roman" w:hAnsi="Times New Roman" w:eastAsia="宋体" w:cs="Times New Roman"/>
                <w:i w:val="0"/>
                <w:color w:val="auto"/>
                <w:sz w:val="18"/>
                <w:szCs w:val="18"/>
                <w:u w:val="none"/>
                <w:lang w:val="en-US" w:eastAsia="zh-CN"/>
              </w:rPr>
              <w:t>油类物质</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r>
      <w:tr>
        <w:tblPrEx>
          <w:tblCellMar>
            <w:top w:w="0" w:type="dxa"/>
            <w:left w:w="0" w:type="dxa"/>
            <w:bottom w:w="0" w:type="dxa"/>
            <w:right w:w="0" w:type="dxa"/>
          </w:tblCellMar>
        </w:tblPrEx>
        <w:trPr>
          <w:trHeight w:val="317"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总存在量/t</w:t>
            </w:r>
          </w:p>
        </w:tc>
        <w:tc>
          <w:tcPr>
            <w:tcW w:w="7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eastAsia="zh-CN"/>
              </w:rPr>
            </w:pPr>
            <w:r>
              <w:rPr>
                <w:rFonts w:hint="eastAsia" w:ascii="Times New Roman" w:hAnsi="Times New Roman" w:eastAsia="宋体" w:cs="Times New Roman"/>
                <w:i w:val="0"/>
                <w:color w:val="auto"/>
                <w:sz w:val="18"/>
                <w:szCs w:val="18"/>
                <w:u w:val="none"/>
                <w:lang w:val="en-US" w:eastAsia="zh-CN"/>
              </w:rPr>
              <w:t>91.2</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环境敏感性</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大气</w:t>
            </w:r>
          </w:p>
        </w:tc>
        <w:tc>
          <w:tcPr>
            <w:tcW w:w="2993"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500m范围内人口数</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人</w:t>
            </w:r>
          </w:p>
        </w:tc>
        <w:tc>
          <w:tcPr>
            <w:tcW w:w="2993"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5km范围内人口数</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人</w:t>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4488" w:type="dxa"/>
            <w:gridSpan w:val="1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每公里管段周边200m范围内人口数（最大）</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eastAsia="zh-CN"/>
              </w:rPr>
            </w:pPr>
            <w:r>
              <w:rPr>
                <w:rFonts w:hint="default" w:ascii="Times New Roman" w:hAnsi="Times New Roman" w:eastAsia="宋体" w:cs="Times New Roman"/>
                <w:i w:val="0"/>
                <w:color w:val="auto"/>
                <w:sz w:val="18"/>
                <w:szCs w:val="18"/>
                <w:u w:val="single"/>
                <w:lang w:val="en-US" w:eastAsia="zh-CN"/>
              </w:rPr>
              <w:t xml:space="preserve">    </w:t>
            </w:r>
            <w:r>
              <w:rPr>
                <w:rFonts w:hint="default" w:ascii="Times New Roman" w:hAnsi="Times New Roman" w:eastAsia="宋体" w:cs="Times New Roman"/>
                <w:i w:val="0"/>
                <w:color w:val="auto"/>
                <w:sz w:val="18"/>
                <w:szCs w:val="18"/>
                <w:u w:val="none"/>
                <w:lang w:val="en-US" w:eastAsia="zh-CN"/>
              </w:rPr>
              <w:t>人</w:t>
            </w:r>
          </w:p>
        </w:tc>
      </w:tr>
      <w:tr>
        <w:tblPrEx>
          <w:tblCellMar>
            <w:top w:w="0" w:type="dxa"/>
            <w:left w:w="0" w:type="dxa"/>
            <w:bottom w:w="0" w:type="dxa"/>
            <w:right w:w="0" w:type="dxa"/>
          </w:tblCellMar>
        </w:tblPrEx>
        <w:trPr>
          <w:trHeight w:val="113"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地表水</w:t>
            </w: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地表水功能敏感性</w:t>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F3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环境敏感目标分级</w:t>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autoSpaceDE w:val="0"/>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S1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S2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S3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地下水</w:t>
            </w: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地下水功能敏感性</w:t>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G1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G2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G3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包气带防污功能</w:t>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D1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D2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D3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13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物质及工艺系统危险性</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Q值</w:t>
            </w: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Q&lt;1</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1≤Q&lt;10</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10≤Q&lt;100</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Q&gt;100</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M值</w:t>
            </w: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M1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M2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M3</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M4</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P值</w:t>
            </w:r>
          </w:p>
        </w:tc>
        <w:tc>
          <w:tcPr>
            <w:tcW w:w="149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P1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P2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P3</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P4</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317" w:hRule="atLeast"/>
          <w:jc w:val="center"/>
        </w:trPr>
        <w:tc>
          <w:tcPr>
            <w:tcW w:w="13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环境敏感程度</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大气</w:t>
            </w:r>
          </w:p>
        </w:tc>
        <w:tc>
          <w:tcPr>
            <w:tcW w:w="199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995"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99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317"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地表水</w:t>
            </w:r>
          </w:p>
        </w:tc>
        <w:tc>
          <w:tcPr>
            <w:tcW w:w="199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995"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99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317"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地下水</w:t>
            </w:r>
          </w:p>
        </w:tc>
        <w:tc>
          <w:tcPr>
            <w:tcW w:w="199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E1</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995"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E2</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99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E3</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13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环境风险潜势</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Ⅳ</w:t>
            </w:r>
            <w:r>
              <w:rPr>
                <w:rFonts w:hint="default" w:ascii="Times New Roman" w:hAnsi="Times New Roman" w:eastAsia="宋体" w:cs="Times New Roman"/>
                <w:i w:val="0"/>
                <w:color w:val="auto"/>
                <w:kern w:val="0"/>
                <w:sz w:val="18"/>
                <w:szCs w:val="18"/>
                <w:u w:val="none"/>
                <w:vertAlign w:val="superscript"/>
                <w:lang w:val="en-US" w:eastAsia="zh-CN" w:bidi="ar"/>
              </w:rPr>
              <w:t>+</w:t>
            </w:r>
            <w:r>
              <w:rPr>
                <w:rFonts w:hint="default" w:ascii="Times New Roman" w:hAnsi="Times New Roman" w:eastAsia="宋体" w:cs="Times New Roman"/>
                <w:i w:val="0"/>
                <w:color w:val="auto"/>
                <w:kern w:val="0"/>
                <w:sz w:val="18"/>
                <w:szCs w:val="18"/>
                <w:u w:val="none"/>
                <w:vertAlign w:val="baseline"/>
                <w:lang w:val="en-US" w:eastAsia="zh-CN" w:bidi="ar"/>
              </w:rPr>
              <w:sym w:font="Wingdings 2" w:char="00A3"/>
            </w:r>
          </w:p>
        </w:tc>
        <w:tc>
          <w:tcPr>
            <w:tcW w:w="13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sz w:val="18"/>
                <w:szCs w:val="18"/>
                <w:u w:val="none"/>
              </w:rPr>
              <w:t>Ⅳ</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9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sz w:val="18"/>
                <w:szCs w:val="18"/>
                <w:u w:val="none"/>
              </w:rPr>
              <w:t>Ⅲ</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sz w:val="18"/>
                <w:szCs w:val="18"/>
                <w:u w:val="none"/>
              </w:rPr>
              <w:t>Ⅱ</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sz w:val="18"/>
                <w:szCs w:val="18"/>
                <w:u w:val="none"/>
              </w:rPr>
              <w:t>Ⅰ</w:t>
            </w:r>
            <w:r>
              <w:rPr>
                <w:rFonts w:hint="default" w:ascii="Times New Roman" w:hAnsi="Times New Roman" w:eastAsia="宋体" w:cs="Times New Roman"/>
                <w:i w:val="0"/>
                <w:color w:val="auto"/>
                <w:kern w:val="0"/>
                <w:sz w:val="18"/>
                <w:szCs w:val="18"/>
                <w:u w:val="none"/>
                <w:lang w:val="en-US" w:eastAsia="zh-CN" w:bidi="ar"/>
              </w:rPr>
              <w:sym w:font="Wingdings 2" w:char="0052"/>
            </w:r>
          </w:p>
        </w:tc>
      </w:tr>
      <w:tr>
        <w:tblPrEx>
          <w:tblCellMar>
            <w:top w:w="0" w:type="dxa"/>
            <w:left w:w="0" w:type="dxa"/>
            <w:bottom w:w="0" w:type="dxa"/>
            <w:right w:w="0" w:type="dxa"/>
          </w:tblCellMar>
        </w:tblPrEx>
        <w:trPr>
          <w:trHeight w:val="270" w:hRule="atLeast"/>
          <w:jc w:val="center"/>
        </w:trPr>
        <w:tc>
          <w:tcPr>
            <w:tcW w:w="13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评价等级</w:t>
            </w:r>
          </w:p>
        </w:tc>
        <w:tc>
          <w:tcPr>
            <w:tcW w:w="2778"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一级</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92"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二级</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三级</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简单分析</w:t>
            </w:r>
            <w:r>
              <w:rPr>
                <w:rFonts w:hint="default" w:ascii="Times New Roman" w:hAnsi="Times New Roman" w:eastAsia="宋体" w:cs="Times New Roman"/>
                <w:i w:val="0"/>
                <w:color w:val="auto"/>
                <w:kern w:val="0"/>
                <w:sz w:val="18"/>
                <w:szCs w:val="18"/>
                <w:u w:val="none"/>
                <w:lang w:val="en-US" w:eastAsia="zh-CN" w:bidi="ar"/>
              </w:rPr>
              <w:sym w:font="Wingdings 2" w:char="0052"/>
            </w:r>
          </w:p>
        </w:tc>
      </w:tr>
      <w:tr>
        <w:tblPrEx>
          <w:tblCellMar>
            <w:top w:w="0" w:type="dxa"/>
            <w:left w:w="0" w:type="dxa"/>
            <w:bottom w:w="0" w:type="dxa"/>
            <w:right w:w="0" w:type="dxa"/>
          </w:tblCellMar>
        </w:tblPrEx>
        <w:trPr>
          <w:trHeight w:val="270" w:hRule="atLeast"/>
          <w:jc w:val="center"/>
        </w:trPr>
        <w:tc>
          <w:tcPr>
            <w:tcW w:w="3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风险识别</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物质危险性</w:t>
            </w:r>
          </w:p>
        </w:tc>
        <w:tc>
          <w:tcPr>
            <w:tcW w:w="3475"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有毒有害</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3475"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易燃易爆</w:t>
            </w:r>
            <w:r>
              <w:rPr>
                <w:rFonts w:hint="default" w:ascii="Times New Roman" w:hAnsi="Times New Roman" w:eastAsia="宋体" w:cs="Times New Roman"/>
                <w:i w:val="0"/>
                <w:color w:val="auto"/>
                <w:kern w:val="0"/>
                <w:sz w:val="18"/>
                <w:szCs w:val="18"/>
                <w:u w:val="none"/>
                <w:lang w:val="en-US" w:eastAsia="zh-CN" w:bidi="ar"/>
              </w:rPr>
              <w:sym w:font="Wingdings 2" w:char="0052"/>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环境风险</w:t>
            </w:r>
          </w:p>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类型</w:t>
            </w:r>
          </w:p>
        </w:tc>
        <w:tc>
          <w:tcPr>
            <w:tcW w:w="278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泄漏</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4170"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火灾爆炸引发伴生/次生污染物排放</w:t>
            </w:r>
            <w:r>
              <w:rPr>
                <w:rFonts w:hint="default" w:ascii="Times New Roman" w:hAnsi="Times New Roman" w:eastAsia="宋体" w:cs="Times New Roman"/>
                <w:i w:val="0"/>
                <w:color w:val="auto"/>
                <w:kern w:val="0"/>
                <w:sz w:val="18"/>
                <w:szCs w:val="18"/>
                <w:u w:val="none"/>
                <w:lang w:val="en-US" w:eastAsia="zh-CN" w:bidi="ar"/>
              </w:rPr>
              <w:sym w:font="Wingdings 2" w:char="0052"/>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影响途径</w:t>
            </w:r>
          </w:p>
        </w:tc>
        <w:tc>
          <w:tcPr>
            <w:tcW w:w="278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大气</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2097"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地表水</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07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地下水</w:t>
            </w:r>
            <w:r>
              <w:rPr>
                <w:rFonts w:hint="default" w:ascii="Times New Roman" w:hAnsi="Times New Roman" w:eastAsia="宋体" w:cs="Times New Roman"/>
                <w:i w:val="0"/>
                <w:color w:val="auto"/>
                <w:kern w:val="0"/>
                <w:sz w:val="18"/>
                <w:szCs w:val="18"/>
                <w:u w:val="none"/>
                <w:lang w:val="en-US" w:eastAsia="zh-CN" w:bidi="ar"/>
              </w:rPr>
              <w:sym w:font="Wingdings 2" w:char="0052"/>
            </w:r>
          </w:p>
        </w:tc>
      </w:tr>
      <w:tr>
        <w:tblPrEx>
          <w:tblCellMar>
            <w:top w:w="0" w:type="dxa"/>
            <w:left w:w="0" w:type="dxa"/>
            <w:bottom w:w="0" w:type="dxa"/>
            <w:right w:w="0" w:type="dxa"/>
          </w:tblCellMar>
        </w:tblPrEx>
        <w:trPr>
          <w:trHeight w:val="270" w:hRule="atLeast"/>
          <w:jc w:val="center"/>
        </w:trPr>
        <w:tc>
          <w:tcPr>
            <w:tcW w:w="13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事故情形分析</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源强设定方法</w:t>
            </w:r>
          </w:p>
        </w:tc>
        <w:tc>
          <w:tcPr>
            <w:tcW w:w="13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计算法</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097"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经验估算法</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07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其他估算法</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3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风险预测与评价</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大气</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预测模型</w:t>
            </w:r>
          </w:p>
        </w:tc>
        <w:tc>
          <w:tcPr>
            <w:tcW w:w="13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SLAB</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097"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AFTOX</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07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其他</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390"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预测结果</w:t>
            </w:r>
          </w:p>
        </w:tc>
        <w:tc>
          <w:tcPr>
            <w:tcW w:w="5560" w:type="dxa"/>
            <w:gridSpan w:val="1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大气毒性终点浓度-1最大影响范围</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w:t>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390" w:type="dxa"/>
            <w:gridSpan w:val="2"/>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560" w:type="dxa"/>
            <w:gridSpan w:val="1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大气毒性终点浓度-2最大影响范围</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w:t>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地表水</w:t>
            </w:r>
          </w:p>
        </w:tc>
        <w:tc>
          <w:tcPr>
            <w:tcW w:w="6950" w:type="dxa"/>
            <w:gridSpan w:val="1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最近环境敏感目标</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，到达时间</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h</w:t>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地下水</w:t>
            </w:r>
          </w:p>
        </w:tc>
        <w:tc>
          <w:tcPr>
            <w:tcW w:w="6950" w:type="dxa"/>
            <w:gridSpan w:val="1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下游厂区边界到达时间</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d</w:t>
            </w:r>
          </w:p>
        </w:tc>
      </w:tr>
      <w:tr>
        <w:tblPrEx>
          <w:tblCellMar>
            <w:top w:w="0" w:type="dxa"/>
            <w:left w:w="0" w:type="dxa"/>
            <w:bottom w:w="0" w:type="dxa"/>
            <w:right w:w="0" w:type="dxa"/>
          </w:tblCellMar>
        </w:tblPrEx>
        <w:trPr>
          <w:trHeight w:val="270" w:hRule="atLeast"/>
          <w:jc w:val="center"/>
        </w:trPr>
        <w:tc>
          <w:tcPr>
            <w:tcW w:w="3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6950" w:type="dxa"/>
            <w:gridSpan w:val="1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最近环境敏感目标</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，到达时间</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d</w:t>
            </w:r>
          </w:p>
        </w:tc>
      </w:tr>
      <w:tr>
        <w:tblPrEx>
          <w:tblCellMar>
            <w:top w:w="0" w:type="dxa"/>
            <w:left w:w="0" w:type="dxa"/>
            <w:bottom w:w="0" w:type="dxa"/>
            <w:right w:w="0" w:type="dxa"/>
          </w:tblCellMar>
        </w:tblPrEx>
        <w:trPr>
          <w:trHeight w:val="270" w:hRule="atLeast"/>
          <w:jc w:val="center"/>
        </w:trPr>
        <w:tc>
          <w:tcPr>
            <w:tcW w:w="13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重点风险防范</w:t>
            </w:r>
          </w:p>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措施</w:t>
            </w:r>
          </w:p>
        </w:tc>
        <w:tc>
          <w:tcPr>
            <w:tcW w:w="6950" w:type="dxa"/>
            <w:gridSpan w:val="19"/>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345" w:firstLineChars="19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为降低风险概率，其设计和施工要严格执行《汽车加油加气站设计与施工规范》（GB50156-2012）（2014年修订版）的各项规定，为增大对自然灾害的防范能力，应按地震裂度八度设防，提高储油基础结构的抗震强度，确保储油罐和输油管线在一般的自然灾害下不发生泄漏。</w:t>
            </w:r>
          </w:p>
          <w:p>
            <w:pPr>
              <w:spacing w:line="240" w:lineRule="auto"/>
              <w:ind w:firstLine="345" w:firstLineChars="19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（2）厂区总平面布置应符合防范事故的要求，各设备、管道间应设置安全防护距离和防火间距，有应急救援设施及救援通道、应急疏散及避难所。</w:t>
            </w:r>
          </w:p>
          <w:p>
            <w:pPr>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（3）提高员工素质。增强安全意识。建立严格的安全管理制度，杜绝违章动火、吸烟等现象，按规定配备劳动防护用品经常性地向职工进行安全和健康防护方面的教育。</w:t>
            </w:r>
          </w:p>
          <w:p>
            <w:pPr>
              <w:spacing w:line="240" w:lineRule="auto"/>
              <w:ind w:firstLine="345" w:firstLineChars="19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r>
              <w:rPr>
                <w:rFonts w:hint="default" w:ascii="Times New Roman" w:hAnsi="Times New Roman" w:eastAsia="宋体" w:cs="Times New Roman"/>
                <w:color w:val="auto"/>
                <w:sz w:val="18"/>
                <w:szCs w:val="18"/>
                <w:highlight w:val="none"/>
              </w:rPr>
              <w:t>加油站内各类设备选用安全可靠设备，站内设备和管道应经过防腐处理。加油站设置</w:t>
            </w:r>
            <w:r>
              <w:rPr>
                <w:rFonts w:hint="eastAsia"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rPr>
              <w:t>只</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kg手提式干粉灭火器</w:t>
            </w:r>
            <w:r>
              <w:rPr>
                <w:rFonts w:hint="default"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18</w:t>
            </w:r>
            <w:r>
              <w:rPr>
                <w:rFonts w:hint="default" w:ascii="Times New Roman" w:hAnsi="Times New Roman" w:eastAsia="宋体" w:cs="Times New Roman"/>
                <w:color w:val="auto"/>
                <w:sz w:val="18"/>
                <w:szCs w:val="18"/>
                <w:highlight w:val="none"/>
                <w:lang w:val="en-US" w:eastAsia="zh-CN"/>
              </w:rPr>
              <w:t>只</w:t>
            </w:r>
            <w:r>
              <w:rPr>
                <w:rFonts w:hint="eastAsia" w:ascii="Times New Roman" w:hAnsi="Times New Roman" w:eastAsia="宋体" w:cs="Times New Roman"/>
                <w:color w:val="auto"/>
                <w:sz w:val="18"/>
                <w:szCs w:val="18"/>
                <w:highlight w:val="none"/>
                <w:lang w:val="en-US" w:eastAsia="zh-CN"/>
              </w:rPr>
              <w:t>18</w:t>
            </w:r>
            <w:r>
              <w:rPr>
                <w:rFonts w:hint="default" w:ascii="Times New Roman" w:hAnsi="Times New Roman" w:eastAsia="宋体" w:cs="Times New Roman"/>
                <w:color w:val="auto"/>
                <w:sz w:val="18"/>
                <w:szCs w:val="18"/>
                <w:highlight w:val="none"/>
              </w:rPr>
              <w:t>kg</w:t>
            </w:r>
            <w:r>
              <w:rPr>
                <w:rFonts w:hint="default" w:ascii="Times New Roman" w:hAnsi="Times New Roman" w:eastAsia="宋体" w:cs="Times New Roman"/>
                <w:color w:val="auto"/>
                <w:sz w:val="18"/>
                <w:szCs w:val="18"/>
              </w:rPr>
              <w:t>二氧化碳灭火器</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highlight w:val="none"/>
              </w:rPr>
              <w:t>配置灭火毯</w:t>
            </w:r>
            <w:r>
              <w:rPr>
                <w:rFonts w:hint="eastAsia"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块，沙子</w:t>
            </w:r>
            <w:r>
              <w:rPr>
                <w:rFonts w:hint="eastAsia"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rPr>
              <w:t>。</w:t>
            </w:r>
          </w:p>
          <w:p>
            <w:pPr>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（5）在站内可能聚集汽油的位置，设置可燃气体监测报警器和连锁切断系统，可燃气体检测器和报警器的选用和安装，应符合国家现行标准</w:t>
            </w:r>
            <w:r>
              <w:rPr>
                <w:rFonts w:hint="default" w:ascii="Times New Roman" w:hAnsi="Times New Roman" w:eastAsia="宋体" w:cs="Times New Roman"/>
                <w:color w:val="auto"/>
                <w:sz w:val="18"/>
                <w:szCs w:val="18"/>
                <w:highlight w:val="none"/>
              </w:rPr>
              <w:t>《石油化工可燃气体和有毒气体检测报警设计</w:t>
            </w:r>
            <w:r>
              <w:rPr>
                <w:rFonts w:hint="eastAsia" w:ascii="Times New Roman" w:hAnsi="Times New Roman" w:eastAsia="宋体" w:cs="Times New Roman"/>
                <w:color w:val="auto"/>
                <w:sz w:val="18"/>
                <w:szCs w:val="18"/>
                <w:highlight w:val="none"/>
                <w:lang w:val="en-US" w:eastAsia="zh-CN"/>
              </w:rPr>
              <w:t>标准</w:t>
            </w:r>
            <w:r>
              <w:rPr>
                <w:rFonts w:hint="default" w:ascii="Times New Roman" w:hAnsi="Times New Roman" w:eastAsia="宋体" w:cs="Times New Roman"/>
                <w:color w:val="auto"/>
                <w:sz w:val="18"/>
                <w:szCs w:val="18"/>
                <w:highlight w:val="none"/>
              </w:rPr>
              <w:t>》（GB</w:t>
            </w:r>
            <w:r>
              <w:rPr>
                <w:rFonts w:hint="eastAsia" w:ascii="Times New Roman" w:hAnsi="Times New Roman" w:eastAsia="宋体" w:cs="Times New Roman"/>
                <w:color w:val="auto"/>
                <w:sz w:val="18"/>
                <w:szCs w:val="18"/>
                <w:highlight w:val="none"/>
                <w:lang w:val="en-US" w:eastAsia="zh-CN"/>
              </w:rPr>
              <w:t>/T50493</w:t>
            </w: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19）</w:t>
            </w:r>
            <w:r>
              <w:rPr>
                <w:rFonts w:hint="default" w:ascii="Times New Roman" w:hAnsi="Times New Roman" w:eastAsia="宋体" w:cs="Times New Roman"/>
                <w:color w:val="auto"/>
                <w:sz w:val="18"/>
                <w:szCs w:val="18"/>
              </w:rPr>
              <w:t>的有关规定。</w:t>
            </w:r>
          </w:p>
          <w:p>
            <w:pPr>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（6）加油的汽油罐车卸车场地，应设罐车卸车时用的防静电接地装置，并宜设置能检测跨接线及监视接地装置状态的静电接地仪；使用密闭加油技术，卸油时必须采用密闭卸油。</w:t>
            </w:r>
          </w:p>
          <w:p>
            <w:pPr>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（7）罐区内爆炸危险区域内的电气设备选型、安装、电力线路敷设等，应符合现行国家标准《</w:t>
            </w:r>
            <w:r>
              <w:rPr>
                <w:rFonts w:hint="default" w:ascii="Times New Roman" w:hAnsi="Times New Roman" w:eastAsia="宋体" w:cs="Times New Roman"/>
                <w:color w:val="auto"/>
                <w:sz w:val="18"/>
                <w:szCs w:val="18"/>
              </w:rPr>
              <w:fldChar w:fldCharType="begin"/>
            </w:r>
            <w:r>
              <w:rPr>
                <w:rFonts w:hint="default" w:ascii="Times New Roman" w:hAnsi="Times New Roman" w:eastAsia="宋体" w:cs="Times New Roman"/>
                <w:color w:val="auto"/>
                <w:sz w:val="18"/>
                <w:szCs w:val="18"/>
              </w:rPr>
              <w:instrText xml:space="preserve"> HYPERLINK "http://www.baidu.com/link?url=pETywKeE3vD3baZZPSHa2OubbResCCJL5O51_2uUP_PamRNBINnyLMdUL_X7wDMH" \t "https://www.baidu.com/_blank" </w:instrText>
            </w:r>
            <w:r>
              <w:rPr>
                <w:rFonts w:hint="default" w:ascii="Times New Roman" w:hAnsi="Times New Roman" w:eastAsia="宋体" w:cs="Times New Roman"/>
                <w:color w:val="auto"/>
                <w:sz w:val="18"/>
                <w:szCs w:val="18"/>
              </w:rPr>
              <w:fldChar w:fldCharType="separate"/>
            </w:r>
            <w:r>
              <w:rPr>
                <w:rFonts w:hint="default" w:ascii="Times New Roman" w:hAnsi="Times New Roman" w:eastAsia="宋体" w:cs="Times New Roman"/>
                <w:color w:val="auto"/>
                <w:sz w:val="18"/>
                <w:szCs w:val="18"/>
              </w:rPr>
              <w:t>爆炸危险环境电力装置设计规范</w:t>
            </w:r>
            <w:r>
              <w:rPr>
                <w:rFonts w:hint="default" w:ascii="Times New Roman" w:hAnsi="Times New Roman" w:eastAsia="宋体" w:cs="Times New Roman"/>
                <w:color w:val="auto"/>
                <w:sz w:val="18"/>
                <w:szCs w:val="18"/>
              </w:rPr>
              <w:fldChar w:fldCharType="end"/>
            </w:r>
            <w:r>
              <w:rPr>
                <w:rFonts w:hint="default" w:ascii="Times New Roman" w:hAnsi="Times New Roman" w:eastAsia="宋体" w:cs="Times New Roman"/>
                <w:color w:val="auto"/>
                <w:sz w:val="18"/>
                <w:szCs w:val="18"/>
              </w:rPr>
              <w:t>》（GB 50058-2014）的规定。</w:t>
            </w:r>
          </w:p>
          <w:p>
            <w:pPr>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（8）埋地油罐与露出地面的工艺管道相互做电气连接并接地。</w:t>
            </w:r>
          </w:p>
          <w:p>
            <w:pPr>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（9）加油机的油泵、流量计、计数器、照明灯和各种管路，应防火、防爆、紧固严密、不渗不漏、不误动。</w:t>
            </w:r>
          </w:p>
          <w:p>
            <w:pPr>
              <w:spacing w:line="240" w:lineRule="auto"/>
              <w:ind w:firstLine="360" w:firstLineChars="200"/>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color w:val="auto"/>
                <w:sz w:val="18"/>
                <w:szCs w:val="18"/>
              </w:rPr>
              <w:t>（10）设置禁止性提示公告，严禁在加油站内使用手机、对讲机等通许设施，严禁在加油站内吸烟。</w:t>
            </w:r>
          </w:p>
        </w:tc>
      </w:tr>
      <w:tr>
        <w:tblPrEx>
          <w:tblCellMar>
            <w:top w:w="0" w:type="dxa"/>
            <w:left w:w="0" w:type="dxa"/>
            <w:bottom w:w="0" w:type="dxa"/>
            <w:right w:w="0" w:type="dxa"/>
          </w:tblCellMar>
        </w:tblPrEx>
        <w:trPr>
          <w:trHeight w:val="270"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6950"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r>
      <w:tr>
        <w:tblPrEx>
          <w:tblCellMar>
            <w:top w:w="0" w:type="dxa"/>
            <w:left w:w="0" w:type="dxa"/>
            <w:bottom w:w="0" w:type="dxa"/>
            <w:right w:w="0" w:type="dxa"/>
          </w:tblCellMar>
        </w:tblPrEx>
        <w:trPr>
          <w:trHeight w:val="312"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6950"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r>
      <w:tr>
        <w:tblPrEx>
          <w:tblCellMar>
            <w:top w:w="0" w:type="dxa"/>
            <w:left w:w="0" w:type="dxa"/>
            <w:bottom w:w="0" w:type="dxa"/>
            <w:right w:w="0" w:type="dxa"/>
          </w:tblCellMar>
        </w:tblPrEx>
        <w:trPr>
          <w:trHeight w:val="270" w:hRule="atLeast"/>
          <w:jc w:val="center"/>
        </w:trPr>
        <w:tc>
          <w:tcPr>
            <w:tcW w:w="13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kern w:val="0"/>
                <w:sz w:val="18"/>
                <w:szCs w:val="18"/>
                <w:u w:val="none"/>
                <w:lang w:val="en-US" w:eastAsia="zh-CN" w:bidi="ar"/>
              </w:rPr>
            </w:pPr>
          </w:p>
          <w:p>
            <w:pPr>
              <w:keepNext w:val="0"/>
              <w:keepLines w:val="0"/>
              <w:pageBreakBefore w:val="0"/>
              <w:widowControl/>
              <w:suppressLineNumbers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评价结论与建议</w:t>
            </w:r>
          </w:p>
        </w:tc>
        <w:tc>
          <w:tcPr>
            <w:tcW w:w="6950" w:type="dxa"/>
            <w:gridSpan w:val="19"/>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360" w:firstLineChars="200"/>
              <w:rPr>
                <w:rFonts w:hint="default" w:ascii="Times New Roman" w:hAnsi="Times New Roman" w:eastAsia="宋体" w:cs="Times New Roman"/>
                <w:color w:val="auto"/>
                <w:sz w:val="18"/>
                <w:szCs w:val="18"/>
              </w:rPr>
            </w:pPr>
          </w:p>
          <w:p>
            <w:pPr>
              <w:spacing w:line="240" w:lineRule="auto"/>
              <w:ind w:firstLine="360" w:firstLineChars="200"/>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color w:val="auto"/>
                <w:sz w:val="18"/>
                <w:szCs w:val="18"/>
              </w:rPr>
              <w:t>在严格落实应急措施后，可将风险发生的概率和影响后果降到最低限度。一旦发生事故，及时采取应急措施，可将对大气和地下水的影响降到最低限度，其风险水平可以被接受。</w:t>
            </w:r>
          </w:p>
        </w:tc>
      </w:tr>
      <w:tr>
        <w:tblPrEx>
          <w:tblCellMar>
            <w:top w:w="0" w:type="dxa"/>
            <w:left w:w="0" w:type="dxa"/>
            <w:bottom w:w="0" w:type="dxa"/>
            <w:right w:w="0" w:type="dxa"/>
          </w:tblCellMar>
        </w:tblPrEx>
        <w:trPr>
          <w:trHeight w:val="270"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6950"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r>
      <w:tr>
        <w:tblPrEx>
          <w:tblCellMar>
            <w:top w:w="0" w:type="dxa"/>
            <w:left w:w="0" w:type="dxa"/>
            <w:bottom w:w="0" w:type="dxa"/>
            <w:right w:w="0" w:type="dxa"/>
          </w:tblCellMar>
        </w:tblPrEx>
        <w:trPr>
          <w:trHeight w:val="270" w:hRule="atLeast"/>
          <w:jc w:val="center"/>
        </w:trPr>
        <w:tc>
          <w:tcPr>
            <w:tcW w:w="13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6950"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r>
      <w:tr>
        <w:tblPrEx>
          <w:tblCellMar>
            <w:top w:w="0" w:type="dxa"/>
            <w:left w:w="0" w:type="dxa"/>
            <w:bottom w:w="0" w:type="dxa"/>
            <w:right w:w="0" w:type="dxa"/>
          </w:tblCellMar>
        </w:tblPrEx>
        <w:trPr>
          <w:trHeight w:val="270" w:hRule="atLeast"/>
          <w:jc w:val="center"/>
        </w:trPr>
        <w:tc>
          <w:tcPr>
            <w:tcW w:w="8336" w:type="dxa"/>
            <w:gridSpan w:val="2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autoSpaceDN/>
              <w:bidi w:val="0"/>
              <w:adjustRightInd/>
              <w:snapToGrid/>
              <w:spacing w:line="240" w:lineRule="auto"/>
              <w:jc w:val="left"/>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注：“</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”为勾选项，“</w:t>
            </w:r>
            <w:r>
              <w:rPr>
                <w:rFonts w:hint="default" w:ascii="Times New Roman" w:hAnsi="Times New Roman" w:eastAsia="宋体" w:cs="Times New Roman"/>
                <w:i w:val="0"/>
                <w:color w:val="auto"/>
                <w:kern w:val="0"/>
                <w:sz w:val="18"/>
                <w:szCs w:val="18"/>
                <w:u w:val="singl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”为填写项。</w:t>
            </w:r>
          </w:p>
        </w:tc>
      </w:tr>
    </w:tbl>
    <w:p>
      <w:pPr>
        <w:pStyle w:val="34"/>
        <w:rPr>
          <w:rFonts w:hint="default" w:ascii="Times New Roman" w:hAnsi="Times New Roman" w:eastAsia="宋体" w:cs="Times New Roman"/>
          <w:color w:val="FF0000"/>
        </w:rPr>
        <w:sectPr>
          <w:pgSz w:w="11906" w:h="16838"/>
          <w:pgMar w:top="1440" w:right="1418"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rPr>
          <w:rFonts w:hint="eastAsia"/>
          <w:b/>
          <w:bCs/>
          <w:color w:val="auto"/>
          <w:lang w:val="en-US" w:eastAsia="zh-CN"/>
        </w:rPr>
      </w:pPr>
      <w:r>
        <w:rPr>
          <w:rFonts w:hint="eastAsia"/>
          <w:b/>
          <w:bCs/>
          <w:color w:val="auto"/>
          <w:lang w:val="en-US" w:eastAsia="zh-CN"/>
        </w:rPr>
        <w:t>附件6：地表水环境影响评价自查表</w:t>
      </w:r>
    </w:p>
    <w:tbl>
      <w:tblPr>
        <w:tblStyle w:val="27"/>
        <w:tblW w:w="13988" w:type="dxa"/>
        <w:jc w:val="center"/>
        <w:shd w:val="clear" w:color="auto" w:fill="auto"/>
        <w:tblLayout w:type="fixed"/>
        <w:tblCellMar>
          <w:top w:w="0" w:type="dxa"/>
          <w:left w:w="0" w:type="dxa"/>
          <w:bottom w:w="0" w:type="dxa"/>
          <w:right w:w="0" w:type="dxa"/>
        </w:tblCellMar>
      </w:tblPr>
      <w:tblGrid>
        <w:gridCol w:w="359"/>
        <w:gridCol w:w="2549"/>
        <w:gridCol w:w="1518"/>
        <w:gridCol w:w="1034"/>
        <w:gridCol w:w="560"/>
        <w:gridCol w:w="796"/>
        <w:gridCol w:w="1196"/>
        <w:gridCol w:w="1194"/>
        <w:gridCol w:w="798"/>
        <w:gridCol w:w="996"/>
        <w:gridCol w:w="596"/>
        <w:gridCol w:w="1062"/>
        <w:gridCol w:w="1330"/>
      </w:tblGrid>
      <w:tr>
        <w:tblPrEx>
          <w:shd w:val="clear" w:color="auto" w:fill="auto"/>
          <w:tblCellMar>
            <w:top w:w="0" w:type="dxa"/>
            <w:left w:w="0" w:type="dxa"/>
            <w:bottom w:w="0" w:type="dxa"/>
            <w:right w:w="0" w:type="dxa"/>
          </w:tblCellMar>
        </w:tblPrEx>
        <w:trPr>
          <w:trHeight w:val="272" w:hRule="atLeast"/>
          <w:tblHeader/>
          <w:jc w:val="center"/>
        </w:trPr>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工作内容</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自查项目</w:t>
            </w:r>
          </w:p>
        </w:tc>
      </w:tr>
      <w:tr>
        <w:tblPrEx>
          <w:tblCellMar>
            <w:top w:w="0" w:type="dxa"/>
            <w:left w:w="0" w:type="dxa"/>
            <w:bottom w:w="0" w:type="dxa"/>
            <w:right w:w="0" w:type="dxa"/>
          </w:tblCellMar>
        </w:tblPrEx>
        <w:trPr>
          <w:trHeight w:val="272" w:hRule="atLeast"/>
          <w:jc w:val="center"/>
        </w:trPr>
        <w:tc>
          <w:tcPr>
            <w:tcW w:w="3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影响识别</w:t>
            </w: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影响类型</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水污染影响型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；水文要素影响型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水环境保护目标</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饮用水水源保护区</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；饮用水取水口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；涉水的自然保护区</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；重要湿地</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重点保护与珍稀水生生物的栖息地</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；重要水生生物的自然产卵场及索饵场、越冬场和洄游通道、天然渔场等渔业水体</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；涉水的风景名胜区</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影响途径</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水污染影响型</w:t>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水文要素影响型</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直接排放</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；间接排放</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水温</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；径流</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；水域面积</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影响因子</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持久性污染物</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；有毒有害污染物</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；非持久性污染物</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pH值</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；热污染</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；富营养化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水温</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；水位（水深）</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；流速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；流量</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29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评级等级</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水污染影响型</w:t>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水文要素影响型</w:t>
            </w:r>
          </w:p>
        </w:tc>
      </w:tr>
      <w:tr>
        <w:tblPrEx>
          <w:tblCellMar>
            <w:top w:w="0" w:type="dxa"/>
            <w:left w:w="0" w:type="dxa"/>
            <w:bottom w:w="0" w:type="dxa"/>
            <w:right w:w="0" w:type="dxa"/>
          </w:tblCellMar>
        </w:tblPrEx>
        <w:trPr>
          <w:trHeight w:val="272" w:hRule="atLeast"/>
          <w:jc w:val="center"/>
        </w:trPr>
        <w:tc>
          <w:tcPr>
            <w:tcW w:w="29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一级</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；二级</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；三级A</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；三级B</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一级</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；二级</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；三级</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现状调查</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区域污染源</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调查项目</w:t>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数据来源</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5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已建</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；在建</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；拟建</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55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拟替代的污染源</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排污许可证</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；环评</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；环保验收</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；既有实测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；现场</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监测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；入河排污口数据</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受影响水体水环境质量</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调查时期</w:t>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数据来源</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丰水期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；平水期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；枯水期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；冰封期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春季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；夏季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；秋季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；冬季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生态环境保护主管部门</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；补充监测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区域水资源开发利用状况</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未开发</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；开发量40%以下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；开发量40%以上</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水文情势调查</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调查时期</w:t>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数据来源</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丰水期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；平水期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；枯水期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；冰封期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春季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；夏季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；秋季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；冬季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59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水行政主管部门</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；补充监测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补充监测</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监测时期</w:t>
            </w:r>
          </w:p>
        </w:tc>
        <w:tc>
          <w:tcPr>
            <w:tcW w:w="2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监测因子</w:t>
            </w:r>
          </w:p>
        </w:tc>
        <w:tc>
          <w:tcPr>
            <w:tcW w:w="2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监测断面或点位</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丰水期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；平水期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；枯水期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；冰封期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春季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；夏季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；秋季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；冬季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2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2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监测断面或点位个数（</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）个</w:t>
            </w:r>
          </w:p>
        </w:tc>
      </w:tr>
      <w:tr>
        <w:tblPrEx>
          <w:tblCellMar>
            <w:top w:w="0" w:type="dxa"/>
            <w:left w:w="0" w:type="dxa"/>
            <w:bottom w:w="0" w:type="dxa"/>
            <w:right w:w="0" w:type="dxa"/>
          </w:tblCellMar>
        </w:tblPrEx>
        <w:trPr>
          <w:trHeight w:val="272" w:hRule="atLeast"/>
          <w:jc w:val="center"/>
        </w:trPr>
        <w:tc>
          <w:tcPr>
            <w:tcW w:w="3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auto"/>
                <w:kern w:val="0"/>
                <w:sz w:val="18"/>
                <w:szCs w:val="18"/>
                <w:u w:val="none"/>
                <w:lang w:val="en-US" w:eastAsia="zh-CN" w:bidi="ar"/>
              </w:rPr>
              <w:t>现状评价</w:t>
            </w: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评价范围</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河流：长度（</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）km；湖库、河口及近岸海域：面积（</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）km</w:t>
            </w:r>
            <w:r>
              <w:rPr>
                <w:rFonts w:hint="default" w:ascii="Times New Roman" w:hAnsi="Times New Roman" w:eastAsia="宋体" w:cs="Times New Roman"/>
                <w:i w:val="0"/>
                <w:color w:val="auto"/>
                <w:kern w:val="0"/>
                <w:sz w:val="18"/>
                <w:szCs w:val="18"/>
                <w:u w:val="none"/>
                <w:vertAlign w:val="superscript"/>
                <w:lang w:val="en-US" w:eastAsia="zh-CN" w:bidi="ar"/>
              </w:rPr>
              <w:t>2</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评价因子</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评价标准</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河流、湖库、河口：</w:t>
            </w:r>
            <w:r>
              <w:rPr>
                <w:rFonts w:hint="eastAsia" w:ascii="宋体" w:hAnsi="宋体" w:eastAsia="宋体" w:cs="宋体"/>
                <w:i w:val="0"/>
                <w:color w:val="auto"/>
                <w:kern w:val="0"/>
                <w:sz w:val="18"/>
                <w:szCs w:val="18"/>
                <w:u w:val="none"/>
                <w:lang w:val="en-US" w:eastAsia="zh-CN" w:bidi="ar"/>
              </w:rPr>
              <w:t>Ⅰ</w:t>
            </w:r>
            <w:r>
              <w:rPr>
                <w:rFonts w:hint="default" w:ascii="Times New Roman" w:hAnsi="Times New Roman" w:eastAsia="宋体" w:cs="Times New Roman"/>
                <w:i w:val="0"/>
                <w:color w:val="auto"/>
                <w:kern w:val="0"/>
                <w:sz w:val="18"/>
                <w:szCs w:val="18"/>
                <w:u w:val="none"/>
                <w:lang w:val="en-US" w:eastAsia="zh-CN" w:bidi="ar"/>
              </w:rPr>
              <w:t>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w:t>
            </w:r>
            <w:r>
              <w:rPr>
                <w:rFonts w:hint="eastAsia" w:ascii="宋体" w:hAnsi="宋体" w:eastAsia="宋体" w:cs="宋体"/>
                <w:i w:val="0"/>
                <w:color w:val="auto"/>
                <w:kern w:val="0"/>
                <w:sz w:val="18"/>
                <w:szCs w:val="18"/>
                <w:u w:val="none"/>
                <w:lang w:val="en-US" w:eastAsia="zh-CN" w:bidi="ar"/>
              </w:rPr>
              <w:t>Ⅱ</w:t>
            </w:r>
            <w:r>
              <w:rPr>
                <w:rFonts w:hint="default" w:ascii="Times New Roman" w:hAnsi="Times New Roman" w:eastAsia="宋体" w:cs="Times New Roman"/>
                <w:i w:val="0"/>
                <w:color w:val="auto"/>
                <w:kern w:val="0"/>
                <w:sz w:val="18"/>
                <w:szCs w:val="18"/>
                <w:u w:val="none"/>
                <w:lang w:val="en-US" w:eastAsia="zh-CN" w:bidi="ar"/>
              </w:rPr>
              <w:t>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w:t>
            </w:r>
            <w:r>
              <w:rPr>
                <w:rFonts w:hint="eastAsia" w:ascii="宋体" w:hAnsi="宋体" w:eastAsia="宋体" w:cs="宋体"/>
                <w:i w:val="0"/>
                <w:color w:val="auto"/>
                <w:kern w:val="0"/>
                <w:sz w:val="18"/>
                <w:szCs w:val="18"/>
                <w:u w:val="none"/>
                <w:lang w:val="en-US" w:eastAsia="zh-CN" w:bidi="ar"/>
              </w:rPr>
              <w:t>Ⅲ</w:t>
            </w:r>
            <w:r>
              <w:rPr>
                <w:rFonts w:hint="default" w:ascii="Times New Roman" w:hAnsi="Times New Roman" w:eastAsia="宋体" w:cs="Times New Roman"/>
                <w:i w:val="0"/>
                <w:color w:val="auto"/>
                <w:kern w:val="0"/>
                <w:sz w:val="18"/>
                <w:szCs w:val="18"/>
                <w:u w:val="none"/>
                <w:lang w:val="en-US" w:eastAsia="zh-CN" w:bidi="ar"/>
              </w:rPr>
              <w:t>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w:t>
            </w:r>
            <w:r>
              <w:rPr>
                <w:rFonts w:hint="eastAsia" w:ascii="宋体" w:hAnsi="宋体" w:eastAsia="宋体" w:cs="宋体"/>
                <w:i w:val="0"/>
                <w:color w:val="auto"/>
                <w:kern w:val="0"/>
                <w:sz w:val="18"/>
                <w:szCs w:val="18"/>
                <w:u w:val="none"/>
                <w:lang w:val="en-US" w:eastAsia="zh-CN" w:bidi="ar"/>
              </w:rPr>
              <w:t>Ⅳ</w:t>
            </w:r>
            <w:r>
              <w:rPr>
                <w:rFonts w:hint="default" w:ascii="Times New Roman" w:hAnsi="Times New Roman" w:eastAsia="宋体" w:cs="Times New Roman"/>
                <w:i w:val="0"/>
                <w:color w:val="auto"/>
                <w:kern w:val="0"/>
                <w:sz w:val="18"/>
                <w:szCs w:val="18"/>
                <w:u w:val="none"/>
                <w:lang w:val="en-US" w:eastAsia="zh-CN" w:bidi="ar"/>
              </w:rPr>
              <w:t>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w:t>
            </w:r>
            <w:r>
              <w:rPr>
                <w:rFonts w:hint="eastAsia" w:ascii="宋体" w:hAnsi="宋体" w:eastAsia="宋体" w:cs="宋体"/>
                <w:i w:val="0"/>
                <w:color w:val="auto"/>
                <w:kern w:val="0"/>
                <w:sz w:val="18"/>
                <w:szCs w:val="18"/>
                <w:u w:val="none"/>
                <w:lang w:val="en-US" w:eastAsia="zh-CN" w:bidi="ar"/>
              </w:rPr>
              <w:t>Ⅴ</w:t>
            </w:r>
            <w:r>
              <w:rPr>
                <w:rFonts w:hint="default" w:ascii="Times New Roman" w:hAnsi="Times New Roman" w:eastAsia="宋体" w:cs="Times New Roman"/>
                <w:i w:val="0"/>
                <w:color w:val="auto"/>
                <w:kern w:val="0"/>
                <w:sz w:val="18"/>
                <w:szCs w:val="18"/>
                <w:u w:val="none"/>
                <w:lang w:val="en-US" w:eastAsia="zh-CN" w:bidi="ar"/>
              </w:rPr>
              <w:t>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近岸海域：第一类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；第二类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；第三类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；第四类</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规划年评价标准（</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评价时期</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丰水期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；平水期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；枯水期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；冰封期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春季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；夏季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；秋季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；冬季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FF0000"/>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评价结论</w:t>
            </w:r>
          </w:p>
        </w:tc>
        <w:tc>
          <w:tcPr>
            <w:tcW w:w="9750"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水环境功能区或水功能区、近岸海域环境功能区水质达标状况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；不达标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水环境控制单元或断面水质达标状况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；不达标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水环境保护目标质量状况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；不达标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对照断面、控制断面等代表性断面的水质状况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；不达标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底泥污染评价</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水资源与开发利用程度及其水文情势评价</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水环境质量回顾评价</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流域（区域）水资源（包括水能资源）与开发利用总体状况、生态流量管理要求与现状满足程度、建设项目占用水域空间的水流状况与河湖演变状况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eastAsia"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 xml:space="preserve">达标区 </w:t>
            </w:r>
            <w:r>
              <w:rPr>
                <w:rFonts w:hint="default" w:ascii="Times New Roman" w:hAnsi="Times New Roman" w:eastAsia="宋体" w:cs="Times New Roman"/>
                <w:i w:val="0"/>
                <w:color w:val="auto"/>
                <w:kern w:val="0"/>
                <w:sz w:val="18"/>
                <w:szCs w:val="18"/>
                <w:u w:val="none"/>
                <w:lang w:val="en-US" w:eastAsia="zh-CN" w:bidi="ar"/>
              </w:rPr>
              <w:sym w:font="Wingdings 2" w:char="0052"/>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 xml:space="preserve">不达标区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影响预测</w:t>
            </w: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预测范围</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河流：长度（</w:t>
            </w:r>
            <w:r>
              <w:rPr>
                <w:rFonts w:hint="eastAsia" w:ascii="Times New Roman" w:hAnsi="Times New Roman" w:eastAsia="宋体" w:cs="Times New Roman"/>
                <w:i w:val="0"/>
                <w:color w:val="auto"/>
                <w:kern w:val="0"/>
                <w:sz w:val="18"/>
                <w:szCs w:val="18"/>
                <w:u w:val="none"/>
                <w:lang w:val="en-US" w:eastAsia="zh-CN" w:bidi="ar"/>
              </w:rPr>
              <w:t>15.5</w:t>
            </w:r>
            <w:r>
              <w:rPr>
                <w:rFonts w:hint="default" w:ascii="Times New Roman" w:hAnsi="Times New Roman" w:eastAsia="宋体" w:cs="Times New Roman"/>
                <w:i w:val="0"/>
                <w:color w:val="auto"/>
                <w:kern w:val="0"/>
                <w:sz w:val="18"/>
                <w:szCs w:val="18"/>
                <w:u w:val="none"/>
                <w:lang w:val="en-US" w:eastAsia="zh-CN" w:bidi="ar"/>
              </w:rPr>
              <w:t>）km；湖库、河口及近岸海域：面积（</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）km</w:t>
            </w:r>
            <w:r>
              <w:rPr>
                <w:rFonts w:hint="default" w:ascii="Times New Roman" w:hAnsi="Times New Roman" w:eastAsia="宋体" w:cs="Times New Roman"/>
                <w:i w:val="0"/>
                <w:color w:val="auto"/>
                <w:kern w:val="0"/>
                <w:sz w:val="18"/>
                <w:szCs w:val="18"/>
                <w:u w:val="none"/>
                <w:vertAlign w:val="superscript"/>
                <w:lang w:val="en-US" w:eastAsia="zh-CN" w:bidi="ar"/>
              </w:rPr>
              <w:t>2</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预测因子</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预测时期</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丰水期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；平水期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；枯水期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；冰封期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春季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；夏季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；秋季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；冬季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设计水文条件</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预测情景</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建设期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；生产运行期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；服务期满后</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正常工况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；非正常工况</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污染控制和减缓措施方案</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区（流）域环境质量改善目标要求情景</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预测方法</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数值解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；解析解</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导则推荐模式</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影响评价</w:t>
            </w: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水污染控制和水环境影响减缓措施有效性评价</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区（流）域水环境质量改善目标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；替代削减源</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水环境影响评价</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排放口混合区外满足水环境管理要求</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水环境功能区或水功能区、近岸海域环境功能区水质达标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满足水环境保护目标水域水环境质量要求</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水环境控制单元或断面水质达标</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满足重点水污染物排放总量控制指标要求，重点行业建设项目，主要污染物排放满足等量或减量替代要求</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满足区（流）域水环境质量改善目标要求</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水文要素影响型建设项目同时应包括水文情势变化评价、主要水文特征值影响评价、生态流量符合性评价</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对于新设或调整入河（湖库、近岸海域）排放口的建设项目，应包括排放口设置的环境合理性评价</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满足生态保护红线、水环境质量底线、资源利用上线和环境准入清单管理要求</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污染源排放量核算</w:t>
            </w: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污染物名称</w:t>
            </w:r>
          </w:p>
        </w:tc>
        <w:tc>
          <w:tcPr>
            <w:tcW w:w="199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排放量/（t/a）</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排放浓度/（mg/L）</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COD </w:t>
            </w:r>
            <w:r>
              <w:rPr>
                <w:rFonts w:hint="default" w:ascii="Times New Roman" w:hAnsi="Times New Roman" w:eastAsia="宋体" w:cs="Times New Roman"/>
                <w:i w:val="0"/>
                <w:color w:val="auto"/>
                <w:kern w:val="0"/>
                <w:sz w:val="18"/>
                <w:szCs w:val="18"/>
                <w:u w:val="none"/>
                <w:lang w:val="en-US" w:eastAsia="zh-CN" w:bidi="ar"/>
              </w:rPr>
              <w:t>）</w:t>
            </w:r>
          </w:p>
        </w:tc>
        <w:tc>
          <w:tcPr>
            <w:tcW w:w="199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51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氨氮</w:t>
            </w:r>
            <w:r>
              <w:rPr>
                <w:rFonts w:hint="default" w:ascii="Times New Roman" w:hAnsi="Times New Roman" w:eastAsia="宋体" w:cs="Times New Roman"/>
                <w:i w:val="0"/>
                <w:color w:val="auto"/>
                <w:kern w:val="0"/>
                <w:sz w:val="18"/>
                <w:szCs w:val="18"/>
                <w:u w:val="none"/>
                <w:lang w:val="en-US" w:eastAsia="zh-CN" w:bidi="ar"/>
              </w:rPr>
              <w:t>）</w:t>
            </w:r>
          </w:p>
        </w:tc>
        <w:tc>
          <w:tcPr>
            <w:tcW w:w="199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替代源排放情况</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污染源名称</w:t>
            </w:r>
          </w:p>
        </w:tc>
        <w:tc>
          <w:tcPr>
            <w:tcW w:w="23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排污许可证编号</w:t>
            </w: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污染物名称</w:t>
            </w:r>
          </w:p>
        </w:tc>
        <w:tc>
          <w:tcPr>
            <w:tcW w:w="23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排放量/（t/a）</w:t>
            </w:r>
          </w:p>
        </w:tc>
        <w:tc>
          <w:tcPr>
            <w:tcW w:w="239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排放浓度/（mg/L）</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23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239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239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生态流量确定</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生态流量：一般水期（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w:t>
            </w:r>
            <w:r>
              <w:rPr>
                <w:rFonts w:hint="default" w:ascii="Times New Roman" w:hAnsi="Times New Roman" w:eastAsia="宋体" w:cs="Times New Roman"/>
                <w:i w:val="0"/>
                <w:color w:val="auto"/>
                <w:kern w:val="0"/>
                <w:sz w:val="18"/>
                <w:szCs w:val="18"/>
                <w:u w:val="none"/>
                <w:vertAlign w:val="superscript"/>
                <w:lang w:val="en-US" w:eastAsia="zh-CN" w:bidi="ar"/>
              </w:rPr>
              <w:t>3</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s</w:t>
            </w:r>
            <w:r>
              <w:rPr>
                <w:rFonts w:hint="default" w:ascii="Times New Roman" w:hAnsi="Times New Roman" w:eastAsia="宋体" w:cs="Times New Roman"/>
                <w:i w:val="0"/>
                <w:color w:val="auto"/>
                <w:kern w:val="0"/>
                <w:sz w:val="18"/>
                <w:szCs w:val="18"/>
                <w:u w:val="none"/>
                <w:lang w:val="en-US" w:eastAsia="zh-CN" w:bidi="ar"/>
              </w:rPr>
              <w:t>；鱼类繁殖期（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w:t>
            </w:r>
            <w:r>
              <w:rPr>
                <w:rFonts w:hint="default" w:ascii="Times New Roman" w:hAnsi="Times New Roman" w:eastAsia="宋体" w:cs="Times New Roman"/>
                <w:i w:val="0"/>
                <w:color w:val="auto"/>
                <w:kern w:val="0"/>
                <w:sz w:val="18"/>
                <w:szCs w:val="18"/>
                <w:u w:val="none"/>
                <w:vertAlign w:val="superscript"/>
                <w:lang w:val="en-US" w:eastAsia="zh-CN" w:bidi="ar"/>
              </w:rPr>
              <w:t>3</w:t>
            </w:r>
            <w:r>
              <w:rPr>
                <w:rFonts w:hint="default" w:ascii="Times New Roman" w:hAnsi="Times New Roman" w:eastAsia="宋体" w:cs="Times New Roman"/>
                <w:i w:val="0"/>
                <w:color w:val="auto"/>
                <w:kern w:val="0"/>
                <w:sz w:val="18"/>
                <w:szCs w:val="18"/>
                <w:u w:val="none"/>
                <w:lang w:val="en-US" w:eastAsia="zh-CN" w:bidi="ar"/>
              </w:rPr>
              <w:t>/s；其他（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w:t>
            </w:r>
            <w:r>
              <w:rPr>
                <w:rFonts w:hint="default" w:ascii="Times New Roman" w:hAnsi="Times New Roman" w:eastAsia="宋体" w:cs="Times New Roman"/>
                <w:i w:val="0"/>
                <w:color w:val="auto"/>
                <w:kern w:val="0"/>
                <w:sz w:val="18"/>
                <w:szCs w:val="18"/>
                <w:u w:val="none"/>
                <w:vertAlign w:val="superscript"/>
                <w:lang w:val="en-US" w:eastAsia="zh-CN" w:bidi="ar"/>
              </w:rPr>
              <w:t>3</w:t>
            </w:r>
            <w:r>
              <w:rPr>
                <w:rFonts w:hint="default" w:ascii="Times New Roman" w:hAnsi="Times New Roman" w:eastAsia="宋体" w:cs="Times New Roman"/>
                <w:i w:val="0"/>
                <w:color w:val="auto"/>
                <w:kern w:val="0"/>
                <w:sz w:val="18"/>
                <w:szCs w:val="18"/>
                <w:u w:val="none"/>
                <w:lang w:val="en-US" w:eastAsia="zh-CN" w:bidi="ar"/>
              </w:rPr>
              <w:t>/s</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生态水位：一般水期（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）m/s；鱼类繁殖期（</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）m/s；其他（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）m/s</w:t>
            </w:r>
          </w:p>
        </w:tc>
      </w:tr>
      <w:tr>
        <w:tblPrEx>
          <w:tblCellMar>
            <w:top w:w="0" w:type="dxa"/>
            <w:left w:w="0" w:type="dxa"/>
            <w:bottom w:w="0" w:type="dxa"/>
            <w:right w:w="0" w:type="dxa"/>
          </w:tblCellMar>
        </w:tblPrEx>
        <w:trPr>
          <w:trHeight w:val="272" w:hRule="atLeast"/>
          <w:jc w:val="center"/>
        </w:trPr>
        <w:tc>
          <w:tcPr>
            <w:tcW w:w="3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防治措施</w:t>
            </w: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环保措施</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污水处理设施</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；水文减缓设施</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；生态流量保障设施</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；区域削减</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；依托其他工程措施</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；其他</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监测计划</w:t>
            </w:r>
          </w:p>
        </w:tc>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环境质量</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污染源</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监测方式</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手动</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；自动</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；无监测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手动</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；自动</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；无监测</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监测点位</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总排口</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监测因子</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w:t>
            </w:r>
          </w:p>
        </w:tc>
        <w:tc>
          <w:tcPr>
            <w:tcW w:w="39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w:t>
            </w:r>
            <w:r>
              <w:rPr>
                <w:rFonts w:hint="eastAsia"/>
                <w:color w:val="auto"/>
                <w:sz w:val="21"/>
                <w:szCs w:val="21"/>
              </w:rPr>
              <w:t>COD、氨氮</w:t>
            </w:r>
            <w:r>
              <w:rPr>
                <w:rFonts w:hint="default" w:ascii="Times New Roman" w:hAnsi="Times New Roman" w:eastAsia="宋体" w:cs="Times New Roman"/>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72" w:hRule="atLeast"/>
          <w:jc w:val="center"/>
        </w:trPr>
        <w:tc>
          <w:tcPr>
            <w:tcW w:w="3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p>
        </w:tc>
        <w:tc>
          <w:tcPr>
            <w:tcW w:w="2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污染物排放清单</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sym w:font="Wingdings 2" w:char="0052"/>
            </w:r>
          </w:p>
        </w:tc>
      </w:tr>
      <w:tr>
        <w:tblPrEx>
          <w:tblCellMar>
            <w:top w:w="0" w:type="dxa"/>
            <w:left w:w="0" w:type="dxa"/>
            <w:bottom w:w="0" w:type="dxa"/>
            <w:right w:w="0" w:type="dxa"/>
          </w:tblCellMar>
        </w:tblPrEx>
        <w:trPr>
          <w:trHeight w:val="272" w:hRule="atLeast"/>
          <w:jc w:val="center"/>
        </w:trPr>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评价结论</w:t>
            </w:r>
          </w:p>
        </w:tc>
        <w:tc>
          <w:tcPr>
            <w:tcW w:w="110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可以接受</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sym w:font="Wingdings 2" w:char="0052"/>
            </w:r>
            <w:r>
              <w:rPr>
                <w:rFonts w:hint="default" w:ascii="Times New Roman" w:hAnsi="Times New Roman" w:eastAsia="宋体" w:cs="Times New Roman"/>
                <w:i w:val="0"/>
                <w:color w:val="auto"/>
                <w:kern w:val="0"/>
                <w:sz w:val="18"/>
                <w:szCs w:val="18"/>
                <w:u w:val="none"/>
                <w:lang w:val="en-US" w:eastAsia="zh-CN" w:bidi="ar"/>
              </w:rPr>
              <w:t>；不可以接受</w:t>
            </w:r>
            <w:r>
              <w:rPr>
                <w:rFonts w:hint="default" w:ascii="Times New Roman" w:hAnsi="Times New Roman" w:eastAsia="宋体" w:cs="Times New Roman"/>
                <w:i w:val="0"/>
                <w:color w:val="auto"/>
                <w:kern w:val="0"/>
                <w:sz w:val="18"/>
                <w:szCs w:val="18"/>
                <w:u w:val="none"/>
                <w:lang w:val="en-US" w:eastAsia="zh-CN" w:bidi="ar"/>
              </w:rPr>
              <w:sym w:font="Wingdings 2" w:char="00A3"/>
            </w:r>
          </w:p>
        </w:tc>
      </w:tr>
      <w:tr>
        <w:tblPrEx>
          <w:tblCellMar>
            <w:top w:w="0" w:type="dxa"/>
            <w:left w:w="0" w:type="dxa"/>
            <w:bottom w:w="0" w:type="dxa"/>
            <w:right w:w="0" w:type="dxa"/>
          </w:tblCellMar>
        </w:tblPrEx>
        <w:trPr>
          <w:trHeight w:val="272" w:hRule="atLeast"/>
          <w:jc w:val="center"/>
        </w:trPr>
        <w:tc>
          <w:tcPr>
            <w:tcW w:w="13988"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注：“</w:t>
            </w:r>
            <w:r>
              <w:rPr>
                <w:rFonts w:hint="default" w:ascii="Times New Roman" w:hAnsi="Times New Roman" w:eastAsia="宋体" w:cs="Times New Roman"/>
                <w:i w:val="0"/>
                <w:color w:val="auto"/>
                <w:kern w:val="0"/>
                <w:sz w:val="18"/>
                <w:szCs w:val="18"/>
                <w:u w:val="none"/>
                <w:lang w:val="en-US" w:eastAsia="zh-CN" w:bidi="ar"/>
              </w:rPr>
              <w:sym w:font="Wingdings 2" w:char="00A3"/>
            </w:r>
            <w:r>
              <w:rPr>
                <w:rFonts w:hint="default" w:ascii="Times New Roman" w:hAnsi="Times New Roman" w:eastAsia="宋体" w:cs="Times New Roman"/>
                <w:i w:val="0"/>
                <w:color w:val="auto"/>
                <w:kern w:val="0"/>
                <w:sz w:val="18"/>
                <w:szCs w:val="18"/>
                <w:u w:val="none"/>
                <w:lang w:val="en-US" w:eastAsia="zh-CN" w:bidi="ar"/>
              </w:rPr>
              <w:t>”为勾选项，可</w:t>
            </w:r>
            <w:r>
              <w:rPr>
                <w:rFonts w:hint="eastAsia" w:ascii="微软雅黑" w:hAnsi="微软雅黑" w:eastAsia="微软雅黑" w:cs="微软雅黑"/>
                <w:i w:val="0"/>
                <w:color w:val="auto"/>
                <w:kern w:val="0"/>
                <w:sz w:val="18"/>
                <w:szCs w:val="18"/>
                <w:u w:val="none"/>
                <w:lang w:val="en-US" w:eastAsia="zh-CN" w:bidi="ar"/>
              </w:rPr>
              <w:t>√</w:t>
            </w:r>
            <w:r>
              <w:rPr>
                <w:rFonts w:hint="default" w:ascii="Times New Roman" w:hAnsi="Times New Roman" w:eastAsia="宋体" w:cs="Times New Roman"/>
                <w:i w:val="0"/>
                <w:color w:val="auto"/>
                <w:kern w:val="0"/>
                <w:sz w:val="18"/>
                <w:szCs w:val="18"/>
                <w:u w:val="none"/>
                <w:lang w:val="en-US" w:eastAsia="zh-CN" w:bidi="ar"/>
              </w:rPr>
              <w:t xml:space="preserve">；“（ </w:t>
            </w:r>
            <w:r>
              <w:rPr>
                <w:rFonts w:hint="eastAsia"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）”为内容填写项；“备注”为其他补充内容。</w:t>
            </w:r>
          </w:p>
        </w:tc>
      </w:tr>
    </w:tbl>
    <w:p>
      <w:pPr>
        <w:jc w:val="left"/>
        <w:rPr>
          <w:rFonts w:hint="eastAsia"/>
          <w:b/>
          <w:bCs/>
          <w:color w:val="auto"/>
          <w:lang w:val="en-US" w:eastAsia="zh-CN"/>
        </w:rPr>
        <w:sectPr>
          <w:pgSz w:w="16838" w:h="11906" w:orient="landscape"/>
          <w:pgMar w:top="1800"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rPr>
          <w:rFonts w:hint="default"/>
          <w:b/>
          <w:bCs/>
          <w:color w:val="auto"/>
          <w:lang w:val="en-US" w:eastAsia="zh-CN"/>
        </w:rPr>
      </w:pPr>
      <w:r>
        <w:rPr>
          <w:rFonts w:hint="eastAsia"/>
          <w:b/>
          <w:bCs/>
          <w:color w:val="auto"/>
          <w:lang w:val="en-US" w:eastAsia="zh-CN"/>
        </w:rPr>
        <w:t>附件7：检测报告</w:t>
      </w:r>
    </w:p>
    <w:p>
      <w:pPr>
        <w:pStyle w:val="34"/>
        <w:rPr>
          <w:rFonts w:hint="eastAsia"/>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74310" cy="7522210"/>
            <wp:effectExtent l="0" t="0" r="2540" b="254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8"/>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9"/>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0"/>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51"/>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52"/>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53"/>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54"/>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55"/>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56"/>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57"/>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58"/>
                  </pic:blipFill>
                  <pic:spPr>
                    <a:xfrm>
                      <a:off x="0" y="0"/>
                      <a:ext cx="5274310" cy="7522210"/>
                    </a:xfrm>
                    <a:prstGeom prst="rect">
                      <a:avLst/>
                    </a:prstGeom>
                  </pic:spPr>
                </pic:pic>
              </a:graphicData>
            </a:graphic>
          </wp:inline>
        </w:drawing>
      </w:r>
      <w:r>
        <w:rPr>
          <w:rFonts w:hint="eastAsia" w:eastAsiaTheme="minorEastAsia"/>
          <w:lang w:eastAsia="zh-CN"/>
        </w:rPr>
        <w:drawing>
          <wp:inline distT="0" distB="0" distL="114300" distR="114300">
            <wp:extent cx="5274310" cy="7522210"/>
            <wp:effectExtent l="0" t="0" r="2540" b="254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59"/>
                  </pic:blipFill>
                  <pic:spPr>
                    <a:xfrm>
                      <a:off x="0" y="0"/>
                      <a:ext cx="5274310" cy="7522210"/>
                    </a:xfrm>
                    <a:prstGeom prst="rect">
                      <a:avLst/>
                    </a:prstGeom>
                  </pic:spPr>
                </pic:pic>
              </a:graphicData>
            </a:graphic>
          </wp:inline>
        </w:drawing>
      </w:r>
    </w:p>
    <w:p>
      <w:pPr>
        <w:rPr>
          <w:rFonts w:hint="eastAsia"/>
          <w:lang w:val="en-US" w:eastAsia="zh-CN"/>
        </w:rPr>
        <w:sectPr>
          <w:pgSz w:w="11906" w:h="16838"/>
          <w:pgMar w:top="1440" w:right="1418"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4"/>
        <w:rPr>
          <w:rFonts w:hint="default" w:ascii="Times New Roman" w:hAnsi="Times New Roman" w:eastAsia="宋体" w:cs="Times New Roman"/>
          <w:color w:val="FF0000"/>
        </w:rPr>
      </w:pPr>
    </w:p>
    <w:sectPr>
      <w:pgSz w:w="16838" w:h="11906" w:orient="landscape"/>
      <w:pgMar w:top="1800"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h3Pw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h3PwVAgAAFQQAAA4AAAAAAAAA&#10;AQAgAAAAHwEAAGRycy9lMm9Eb2MueG1sUEsFBgAAAAAGAAYAWQEAAKYFA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32F9AA"/>
    <w:multiLevelType w:val="singleLevel"/>
    <w:tmpl w:val="8E32F9AA"/>
    <w:lvl w:ilvl="0" w:tentative="0">
      <w:start w:val="1"/>
      <w:numFmt w:val="decimal"/>
      <w:suff w:val="nothing"/>
      <w:lvlText w:val="%1、"/>
      <w:lvlJc w:val="left"/>
    </w:lvl>
  </w:abstractNum>
  <w:abstractNum w:abstractNumId="1">
    <w:nsid w:val="D12BDF68"/>
    <w:multiLevelType w:val="singleLevel"/>
    <w:tmpl w:val="D12BDF68"/>
    <w:lvl w:ilvl="0" w:tentative="0">
      <w:start w:val="8"/>
      <w:numFmt w:val="chineseCounting"/>
      <w:suff w:val="nothing"/>
      <w:lvlText w:val="%1、"/>
      <w:lvlJc w:val="left"/>
      <w:rPr>
        <w:rFonts w:hint="eastAsia"/>
      </w:rPr>
    </w:lvl>
  </w:abstractNum>
  <w:abstractNum w:abstractNumId="2">
    <w:nsid w:val="0F1D7806"/>
    <w:multiLevelType w:val="multilevel"/>
    <w:tmpl w:val="0F1D7806"/>
    <w:lvl w:ilvl="0" w:tentative="0">
      <w:start w:val="1"/>
      <w:numFmt w:val="decimalEnclosedCircle"/>
      <w:lvlText w:val="%1"/>
      <w:lvlJc w:val="left"/>
      <w:pPr>
        <w:ind w:left="840" w:hanging="360"/>
      </w:pPr>
      <w:rPr>
        <w:rFonts w:hint="eastAsia" w:ascii="宋体" w:hAnsi="宋体" w:eastAsia="Times New Roman"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426B6F8"/>
    <w:multiLevelType w:val="singleLevel"/>
    <w:tmpl w:val="3426B6F8"/>
    <w:lvl w:ilvl="0" w:tentative="0">
      <w:start w:val="7"/>
      <w:numFmt w:val="decimal"/>
      <w:suff w:val="nothing"/>
      <w:lvlText w:val="%1、"/>
      <w:lvlJc w:val="left"/>
    </w:lvl>
  </w:abstractNum>
  <w:abstractNum w:abstractNumId="4">
    <w:nsid w:val="5A41DF58"/>
    <w:multiLevelType w:val="singleLevel"/>
    <w:tmpl w:val="5A41DF58"/>
    <w:lvl w:ilvl="0" w:tentative="0">
      <w:start w:val="1"/>
      <w:numFmt w:val="decimal"/>
      <w:suff w:val="nothing"/>
      <w:lvlText w:val="%1、"/>
      <w:lvlJc w:val="left"/>
    </w:lvl>
  </w:abstractNum>
  <w:abstractNum w:abstractNumId="5">
    <w:nsid w:val="5B85074B"/>
    <w:multiLevelType w:val="singleLevel"/>
    <w:tmpl w:val="5B85074B"/>
    <w:lvl w:ilvl="0" w:tentative="0">
      <w:start w:val="2"/>
      <w:numFmt w:val="decimal"/>
      <w:suff w:val="nothing"/>
      <w:lvlText w:val="%1、"/>
      <w:lvlJc w:val="left"/>
    </w:lvl>
  </w:abstractNum>
  <w:abstractNum w:abstractNumId="6">
    <w:nsid w:val="7FF82ED1"/>
    <w:multiLevelType w:val="multilevel"/>
    <w:tmpl w:val="7FF82ED1"/>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
  </w:num>
  <w:num w:numId="3">
    <w:abstractNumId w:val="0"/>
  </w:num>
  <w:num w:numId="4">
    <w:abstractNumId w:val="5"/>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F23BCF"/>
    <w:rsid w:val="00006A6A"/>
    <w:rsid w:val="00007FCC"/>
    <w:rsid w:val="0001621C"/>
    <w:rsid w:val="00053C60"/>
    <w:rsid w:val="00055296"/>
    <w:rsid w:val="00056C22"/>
    <w:rsid w:val="00085380"/>
    <w:rsid w:val="000F3E90"/>
    <w:rsid w:val="001023DE"/>
    <w:rsid w:val="00105B90"/>
    <w:rsid w:val="001257E9"/>
    <w:rsid w:val="001305AB"/>
    <w:rsid w:val="0013437E"/>
    <w:rsid w:val="00147D6F"/>
    <w:rsid w:val="00150CD2"/>
    <w:rsid w:val="001876E7"/>
    <w:rsid w:val="001908D9"/>
    <w:rsid w:val="00192476"/>
    <w:rsid w:val="00193196"/>
    <w:rsid w:val="001943DB"/>
    <w:rsid w:val="001C7F78"/>
    <w:rsid w:val="001D11F4"/>
    <w:rsid w:val="001E0DAF"/>
    <w:rsid w:val="001F3D63"/>
    <w:rsid w:val="002029F6"/>
    <w:rsid w:val="002068F2"/>
    <w:rsid w:val="00207827"/>
    <w:rsid w:val="00223C11"/>
    <w:rsid w:val="00244D7F"/>
    <w:rsid w:val="00245626"/>
    <w:rsid w:val="00283997"/>
    <w:rsid w:val="00291E40"/>
    <w:rsid w:val="002B52BD"/>
    <w:rsid w:val="002E2752"/>
    <w:rsid w:val="002F0356"/>
    <w:rsid w:val="00303093"/>
    <w:rsid w:val="00314E28"/>
    <w:rsid w:val="003209BF"/>
    <w:rsid w:val="003216B3"/>
    <w:rsid w:val="003332C8"/>
    <w:rsid w:val="00340B36"/>
    <w:rsid w:val="0034443E"/>
    <w:rsid w:val="003636DA"/>
    <w:rsid w:val="00374F2A"/>
    <w:rsid w:val="00386E4F"/>
    <w:rsid w:val="00396426"/>
    <w:rsid w:val="003A4B21"/>
    <w:rsid w:val="003C7767"/>
    <w:rsid w:val="003D51E4"/>
    <w:rsid w:val="003E4BB2"/>
    <w:rsid w:val="003E4C20"/>
    <w:rsid w:val="003F3F3C"/>
    <w:rsid w:val="00401120"/>
    <w:rsid w:val="00410ED0"/>
    <w:rsid w:val="004202A1"/>
    <w:rsid w:val="00426D38"/>
    <w:rsid w:val="00437DFB"/>
    <w:rsid w:val="004525CA"/>
    <w:rsid w:val="00460C91"/>
    <w:rsid w:val="00471D17"/>
    <w:rsid w:val="0047792D"/>
    <w:rsid w:val="0049007C"/>
    <w:rsid w:val="004B27A1"/>
    <w:rsid w:val="004B54D1"/>
    <w:rsid w:val="004C0BD9"/>
    <w:rsid w:val="004C6E08"/>
    <w:rsid w:val="004D2242"/>
    <w:rsid w:val="005109D5"/>
    <w:rsid w:val="00520030"/>
    <w:rsid w:val="005243BC"/>
    <w:rsid w:val="00563BA3"/>
    <w:rsid w:val="00566F28"/>
    <w:rsid w:val="00575208"/>
    <w:rsid w:val="00577699"/>
    <w:rsid w:val="00577DF5"/>
    <w:rsid w:val="00583A4B"/>
    <w:rsid w:val="00594CDE"/>
    <w:rsid w:val="005A6229"/>
    <w:rsid w:val="005B53A5"/>
    <w:rsid w:val="005C1383"/>
    <w:rsid w:val="005D56BB"/>
    <w:rsid w:val="005D6DD8"/>
    <w:rsid w:val="005D6E60"/>
    <w:rsid w:val="006176A8"/>
    <w:rsid w:val="00621BCC"/>
    <w:rsid w:val="00624CC3"/>
    <w:rsid w:val="006310F8"/>
    <w:rsid w:val="0063304E"/>
    <w:rsid w:val="00656E48"/>
    <w:rsid w:val="00665C0B"/>
    <w:rsid w:val="00683D0E"/>
    <w:rsid w:val="00684E51"/>
    <w:rsid w:val="00687800"/>
    <w:rsid w:val="00703B4F"/>
    <w:rsid w:val="0071512D"/>
    <w:rsid w:val="007158D9"/>
    <w:rsid w:val="00720846"/>
    <w:rsid w:val="007266C9"/>
    <w:rsid w:val="00747F7A"/>
    <w:rsid w:val="00781CCA"/>
    <w:rsid w:val="00790140"/>
    <w:rsid w:val="007A7B8F"/>
    <w:rsid w:val="007C5364"/>
    <w:rsid w:val="007D13B4"/>
    <w:rsid w:val="007E102A"/>
    <w:rsid w:val="007E4217"/>
    <w:rsid w:val="007F5459"/>
    <w:rsid w:val="00813EB1"/>
    <w:rsid w:val="00821E86"/>
    <w:rsid w:val="00852BFE"/>
    <w:rsid w:val="0085582F"/>
    <w:rsid w:val="0087373E"/>
    <w:rsid w:val="008856EE"/>
    <w:rsid w:val="00885E07"/>
    <w:rsid w:val="008B17D4"/>
    <w:rsid w:val="008C0B51"/>
    <w:rsid w:val="008F1235"/>
    <w:rsid w:val="008F6942"/>
    <w:rsid w:val="00900DE8"/>
    <w:rsid w:val="009161DB"/>
    <w:rsid w:val="009163C5"/>
    <w:rsid w:val="00920335"/>
    <w:rsid w:val="00923501"/>
    <w:rsid w:val="0093602F"/>
    <w:rsid w:val="00941692"/>
    <w:rsid w:val="00943B1F"/>
    <w:rsid w:val="00976151"/>
    <w:rsid w:val="0099254F"/>
    <w:rsid w:val="009D564D"/>
    <w:rsid w:val="00A145D6"/>
    <w:rsid w:val="00A26332"/>
    <w:rsid w:val="00A630C5"/>
    <w:rsid w:val="00AA1B66"/>
    <w:rsid w:val="00AB3385"/>
    <w:rsid w:val="00AC22B5"/>
    <w:rsid w:val="00AC2767"/>
    <w:rsid w:val="00B04A17"/>
    <w:rsid w:val="00B06211"/>
    <w:rsid w:val="00B416E7"/>
    <w:rsid w:val="00B832A9"/>
    <w:rsid w:val="00B86603"/>
    <w:rsid w:val="00BD2EF3"/>
    <w:rsid w:val="00C01179"/>
    <w:rsid w:val="00C053CF"/>
    <w:rsid w:val="00C36EBF"/>
    <w:rsid w:val="00C46D0F"/>
    <w:rsid w:val="00C73464"/>
    <w:rsid w:val="00C75EC7"/>
    <w:rsid w:val="00CB39B8"/>
    <w:rsid w:val="00CC541F"/>
    <w:rsid w:val="00CC6E7E"/>
    <w:rsid w:val="00D002A7"/>
    <w:rsid w:val="00D25CEC"/>
    <w:rsid w:val="00D3367B"/>
    <w:rsid w:val="00D41E53"/>
    <w:rsid w:val="00D4733E"/>
    <w:rsid w:val="00D64A7D"/>
    <w:rsid w:val="00DA3E78"/>
    <w:rsid w:val="00DB74B5"/>
    <w:rsid w:val="00DC1340"/>
    <w:rsid w:val="00DD4691"/>
    <w:rsid w:val="00DD5ED1"/>
    <w:rsid w:val="00DE0ED7"/>
    <w:rsid w:val="00DE1A1E"/>
    <w:rsid w:val="00DE32CC"/>
    <w:rsid w:val="00E11811"/>
    <w:rsid w:val="00E35690"/>
    <w:rsid w:val="00E624F3"/>
    <w:rsid w:val="00E95241"/>
    <w:rsid w:val="00E959DC"/>
    <w:rsid w:val="00E9708E"/>
    <w:rsid w:val="00EA00B5"/>
    <w:rsid w:val="00EB5824"/>
    <w:rsid w:val="00EC409A"/>
    <w:rsid w:val="00ED373C"/>
    <w:rsid w:val="00F00122"/>
    <w:rsid w:val="00F10D06"/>
    <w:rsid w:val="00F51508"/>
    <w:rsid w:val="00F66E14"/>
    <w:rsid w:val="00F7038C"/>
    <w:rsid w:val="00F7297E"/>
    <w:rsid w:val="00F911B9"/>
    <w:rsid w:val="00FB78DB"/>
    <w:rsid w:val="01144B28"/>
    <w:rsid w:val="015E5949"/>
    <w:rsid w:val="01777CE6"/>
    <w:rsid w:val="01821C29"/>
    <w:rsid w:val="0191635E"/>
    <w:rsid w:val="01A50B03"/>
    <w:rsid w:val="01C74AB8"/>
    <w:rsid w:val="01FA23D3"/>
    <w:rsid w:val="0201430B"/>
    <w:rsid w:val="028473D7"/>
    <w:rsid w:val="029262CF"/>
    <w:rsid w:val="02B12763"/>
    <w:rsid w:val="02B40FA6"/>
    <w:rsid w:val="02D63CF0"/>
    <w:rsid w:val="031C11BC"/>
    <w:rsid w:val="03335506"/>
    <w:rsid w:val="033D77C8"/>
    <w:rsid w:val="0355521F"/>
    <w:rsid w:val="03A71757"/>
    <w:rsid w:val="03CE3C7E"/>
    <w:rsid w:val="03CE48F6"/>
    <w:rsid w:val="03D01849"/>
    <w:rsid w:val="0415655E"/>
    <w:rsid w:val="041F46D1"/>
    <w:rsid w:val="042639A5"/>
    <w:rsid w:val="04290106"/>
    <w:rsid w:val="04427C8B"/>
    <w:rsid w:val="044E7CD1"/>
    <w:rsid w:val="04720229"/>
    <w:rsid w:val="04BB411A"/>
    <w:rsid w:val="04C61511"/>
    <w:rsid w:val="04DB1B4C"/>
    <w:rsid w:val="04FC3631"/>
    <w:rsid w:val="05203675"/>
    <w:rsid w:val="0575778C"/>
    <w:rsid w:val="05BE4594"/>
    <w:rsid w:val="05C24D4C"/>
    <w:rsid w:val="05E26FBD"/>
    <w:rsid w:val="05E35390"/>
    <w:rsid w:val="060B671C"/>
    <w:rsid w:val="061D6B75"/>
    <w:rsid w:val="06277982"/>
    <w:rsid w:val="06481D76"/>
    <w:rsid w:val="064C0016"/>
    <w:rsid w:val="06691157"/>
    <w:rsid w:val="069E6CD9"/>
    <w:rsid w:val="069F0225"/>
    <w:rsid w:val="06AA085B"/>
    <w:rsid w:val="06B176F4"/>
    <w:rsid w:val="06B4356C"/>
    <w:rsid w:val="06CC2392"/>
    <w:rsid w:val="06EF5517"/>
    <w:rsid w:val="075F624F"/>
    <w:rsid w:val="077E0C0E"/>
    <w:rsid w:val="07E47070"/>
    <w:rsid w:val="07E67CDA"/>
    <w:rsid w:val="07EC4F45"/>
    <w:rsid w:val="07F91F8A"/>
    <w:rsid w:val="0801482B"/>
    <w:rsid w:val="084F2F78"/>
    <w:rsid w:val="085805BE"/>
    <w:rsid w:val="08737ED2"/>
    <w:rsid w:val="08E24DB6"/>
    <w:rsid w:val="09236587"/>
    <w:rsid w:val="09260835"/>
    <w:rsid w:val="09520688"/>
    <w:rsid w:val="0994475D"/>
    <w:rsid w:val="099D6954"/>
    <w:rsid w:val="09A32E8E"/>
    <w:rsid w:val="09B47061"/>
    <w:rsid w:val="09E75035"/>
    <w:rsid w:val="0A2727BD"/>
    <w:rsid w:val="0A48645C"/>
    <w:rsid w:val="0A6F6603"/>
    <w:rsid w:val="0A842386"/>
    <w:rsid w:val="0AAE4DE0"/>
    <w:rsid w:val="0B036466"/>
    <w:rsid w:val="0B1E6ABC"/>
    <w:rsid w:val="0B505517"/>
    <w:rsid w:val="0B5C1E23"/>
    <w:rsid w:val="0B763F80"/>
    <w:rsid w:val="0BBF25FF"/>
    <w:rsid w:val="0BFF51ED"/>
    <w:rsid w:val="0C144A6C"/>
    <w:rsid w:val="0C1E54A0"/>
    <w:rsid w:val="0C7A5820"/>
    <w:rsid w:val="0C952E33"/>
    <w:rsid w:val="0CA5120A"/>
    <w:rsid w:val="0CCE5FEE"/>
    <w:rsid w:val="0CE011A8"/>
    <w:rsid w:val="0D147820"/>
    <w:rsid w:val="0D7C2F71"/>
    <w:rsid w:val="0D843216"/>
    <w:rsid w:val="0D9A7F28"/>
    <w:rsid w:val="0DB70184"/>
    <w:rsid w:val="0E3243D9"/>
    <w:rsid w:val="0E641265"/>
    <w:rsid w:val="0E68675F"/>
    <w:rsid w:val="0EA952F1"/>
    <w:rsid w:val="0EE55B16"/>
    <w:rsid w:val="0EEF1CBF"/>
    <w:rsid w:val="0F1644C0"/>
    <w:rsid w:val="0F5D366F"/>
    <w:rsid w:val="0F7C3EA3"/>
    <w:rsid w:val="0FEF4F21"/>
    <w:rsid w:val="0FF43CEE"/>
    <w:rsid w:val="100A595D"/>
    <w:rsid w:val="100C0535"/>
    <w:rsid w:val="105519F7"/>
    <w:rsid w:val="105A62A1"/>
    <w:rsid w:val="10706FF6"/>
    <w:rsid w:val="10841544"/>
    <w:rsid w:val="10A60735"/>
    <w:rsid w:val="10CE1913"/>
    <w:rsid w:val="10EC3720"/>
    <w:rsid w:val="11034DB8"/>
    <w:rsid w:val="110E253A"/>
    <w:rsid w:val="11291F04"/>
    <w:rsid w:val="117A4948"/>
    <w:rsid w:val="11927521"/>
    <w:rsid w:val="11957005"/>
    <w:rsid w:val="11BE0093"/>
    <w:rsid w:val="11EF52E1"/>
    <w:rsid w:val="11F54BFF"/>
    <w:rsid w:val="11F804BA"/>
    <w:rsid w:val="12436D81"/>
    <w:rsid w:val="124B1956"/>
    <w:rsid w:val="12B10CE5"/>
    <w:rsid w:val="12C9257E"/>
    <w:rsid w:val="13554CF6"/>
    <w:rsid w:val="13865FF6"/>
    <w:rsid w:val="13FC0DEB"/>
    <w:rsid w:val="14023EED"/>
    <w:rsid w:val="140E7404"/>
    <w:rsid w:val="142E273C"/>
    <w:rsid w:val="14637BC5"/>
    <w:rsid w:val="147B1E71"/>
    <w:rsid w:val="14840E0E"/>
    <w:rsid w:val="14C439F5"/>
    <w:rsid w:val="14CE7624"/>
    <w:rsid w:val="14D53ABC"/>
    <w:rsid w:val="14F141C0"/>
    <w:rsid w:val="150446E9"/>
    <w:rsid w:val="150F110F"/>
    <w:rsid w:val="151175A0"/>
    <w:rsid w:val="156A6B04"/>
    <w:rsid w:val="15AF3BCD"/>
    <w:rsid w:val="15B509E4"/>
    <w:rsid w:val="15B72817"/>
    <w:rsid w:val="16836D22"/>
    <w:rsid w:val="16B939E0"/>
    <w:rsid w:val="16C37A30"/>
    <w:rsid w:val="16E970AB"/>
    <w:rsid w:val="17033D0C"/>
    <w:rsid w:val="17060BAA"/>
    <w:rsid w:val="17107842"/>
    <w:rsid w:val="17215650"/>
    <w:rsid w:val="1723783C"/>
    <w:rsid w:val="172D4C29"/>
    <w:rsid w:val="17524157"/>
    <w:rsid w:val="177A1DCF"/>
    <w:rsid w:val="177A2BC8"/>
    <w:rsid w:val="177E4D47"/>
    <w:rsid w:val="17BA48BA"/>
    <w:rsid w:val="17F0614A"/>
    <w:rsid w:val="1835627B"/>
    <w:rsid w:val="1887503E"/>
    <w:rsid w:val="188C59E1"/>
    <w:rsid w:val="18E61996"/>
    <w:rsid w:val="18FF01B7"/>
    <w:rsid w:val="191F50F4"/>
    <w:rsid w:val="192F1442"/>
    <w:rsid w:val="19543E7A"/>
    <w:rsid w:val="19723211"/>
    <w:rsid w:val="19A73617"/>
    <w:rsid w:val="19A94057"/>
    <w:rsid w:val="19AB388E"/>
    <w:rsid w:val="19D96054"/>
    <w:rsid w:val="19E472E4"/>
    <w:rsid w:val="19E93FDD"/>
    <w:rsid w:val="1A127812"/>
    <w:rsid w:val="1A227790"/>
    <w:rsid w:val="1AB14ACA"/>
    <w:rsid w:val="1AB829D5"/>
    <w:rsid w:val="1AE87754"/>
    <w:rsid w:val="1AF06A82"/>
    <w:rsid w:val="1B32518B"/>
    <w:rsid w:val="1B3B5F75"/>
    <w:rsid w:val="1B544490"/>
    <w:rsid w:val="1C2A77F9"/>
    <w:rsid w:val="1C330465"/>
    <w:rsid w:val="1C4229B7"/>
    <w:rsid w:val="1C800F7F"/>
    <w:rsid w:val="1CE4683E"/>
    <w:rsid w:val="1D2D66CE"/>
    <w:rsid w:val="1D526AC3"/>
    <w:rsid w:val="1D701EBB"/>
    <w:rsid w:val="1D840AD2"/>
    <w:rsid w:val="1DC51381"/>
    <w:rsid w:val="1DE74999"/>
    <w:rsid w:val="1DF57068"/>
    <w:rsid w:val="1DFB0ABB"/>
    <w:rsid w:val="1DFF6D50"/>
    <w:rsid w:val="1E064EBA"/>
    <w:rsid w:val="1E54278D"/>
    <w:rsid w:val="1E5A6E88"/>
    <w:rsid w:val="1E6430EA"/>
    <w:rsid w:val="1E6F3817"/>
    <w:rsid w:val="1ED7560B"/>
    <w:rsid w:val="1F272957"/>
    <w:rsid w:val="1F2D6A58"/>
    <w:rsid w:val="1F3501AB"/>
    <w:rsid w:val="1F373A47"/>
    <w:rsid w:val="1F4B01B8"/>
    <w:rsid w:val="1F7429C3"/>
    <w:rsid w:val="1FC562E1"/>
    <w:rsid w:val="1FDB5B2D"/>
    <w:rsid w:val="1FF577B1"/>
    <w:rsid w:val="2023560F"/>
    <w:rsid w:val="202D7BBF"/>
    <w:rsid w:val="20537A6C"/>
    <w:rsid w:val="20776545"/>
    <w:rsid w:val="20807301"/>
    <w:rsid w:val="209E662F"/>
    <w:rsid w:val="20AA7BA6"/>
    <w:rsid w:val="20D76B83"/>
    <w:rsid w:val="211752BB"/>
    <w:rsid w:val="211A4D39"/>
    <w:rsid w:val="211C4C83"/>
    <w:rsid w:val="214638AC"/>
    <w:rsid w:val="214F3D97"/>
    <w:rsid w:val="219D6869"/>
    <w:rsid w:val="21B67DBF"/>
    <w:rsid w:val="21EF6B1B"/>
    <w:rsid w:val="220C6863"/>
    <w:rsid w:val="221E7A69"/>
    <w:rsid w:val="222332B0"/>
    <w:rsid w:val="223B2043"/>
    <w:rsid w:val="22723616"/>
    <w:rsid w:val="22780620"/>
    <w:rsid w:val="229A30FF"/>
    <w:rsid w:val="230128A5"/>
    <w:rsid w:val="233319AC"/>
    <w:rsid w:val="23514E6F"/>
    <w:rsid w:val="236B2766"/>
    <w:rsid w:val="23893E24"/>
    <w:rsid w:val="23996C4A"/>
    <w:rsid w:val="23AB535D"/>
    <w:rsid w:val="23B217D4"/>
    <w:rsid w:val="23FD37FE"/>
    <w:rsid w:val="24162390"/>
    <w:rsid w:val="247C0810"/>
    <w:rsid w:val="247E5F67"/>
    <w:rsid w:val="24D35B76"/>
    <w:rsid w:val="250014D9"/>
    <w:rsid w:val="253D4656"/>
    <w:rsid w:val="256B4F9A"/>
    <w:rsid w:val="257008AA"/>
    <w:rsid w:val="25DE681D"/>
    <w:rsid w:val="26144EE2"/>
    <w:rsid w:val="2657324D"/>
    <w:rsid w:val="26A130A9"/>
    <w:rsid w:val="26A35A94"/>
    <w:rsid w:val="276B42C4"/>
    <w:rsid w:val="279D213F"/>
    <w:rsid w:val="27B61DDB"/>
    <w:rsid w:val="27C363FE"/>
    <w:rsid w:val="27C62B54"/>
    <w:rsid w:val="27CC5D08"/>
    <w:rsid w:val="27D20C9D"/>
    <w:rsid w:val="27DA37DE"/>
    <w:rsid w:val="2829770E"/>
    <w:rsid w:val="285D1ABE"/>
    <w:rsid w:val="287A1AA4"/>
    <w:rsid w:val="28812FF6"/>
    <w:rsid w:val="28C72B31"/>
    <w:rsid w:val="28C96F8B"/>
    <w:rsid w:val="28DF5353"/>
    <w:rsid w:val="29207E2E"/>
    <w:rsid w:val="29917AA1"/>
    <w:rsid w:val="29B53C70"/>
    <w:rsid w:val="29BD4CCE"/>
    <w:rsid w:val="29D45CE2"/>
    <w:rsid w:val="29E301FE"/>
    <w:rsid w:val="2A1F6502"/>
    <w:rsid w:val="2A213757"/>
    <w:rsid w:val="2A2E7243"/>
    <w:rsid w:val="2A4519E4"/>
    <w:rsid w:val="2A544655"/>
    <w:rsid w:val="2A71286D"/>
    <w:rsid w:val="2AB27A47"/>
    <w:rsid w:val="2AB5029F"/>
    <w:rsid w:val="2B3A5D01"/>
    <w:rsid w:val="2B74647B"/>
    <w:rsid w:val="2B945FAB"/>
    <w:rsid w:val="2B981E10"/>
    <w:rsid w:val="2BA77BA0"/>
    <w:rsid w:val="2BAB195A"/>
    <w:rsid w:val="2BBE6057"/>
    <w:rsid w:val="2BF0094F"/>
    <w:rsid w:val="2BF11101"/>
    <w:rsid w:val="2BF63680"/>
    <w:rsid w:val="2C0F787A"/>
    <w:rsid w:val="2C8C6041"/>
    <w:rsid w:val="2CA22342"/>
    <w:rsid w:val="2CB51226"/>
    <w:rsid w:val="2CBF3F8B"/>
    <w:rsid w:val="2CC1587B"/>
    <w:rsid w:val="2CC80F50"/>
    <w:rsid w:val="2CD40E71"/>
    <w:rsid w:val="2CF7636C"/>
    <w:rsid w:val="2D1D7016"/>
    <w:rsid w:val="2D3F1C09"/>
    <w:rsid w:val="2D434CB3"/>
    <w:rsid w:val="2D4C5B70"/>
    <w:rsid w:val="2D6A59A0"/>
    <w:rsid w:val="2DCD1AED"/>
    <w:rsid w:val="2DE309AE"/>
    <w:rsid w:val="2E387DD9"/>
    <w:rsid w:val="2E4117F5"/>
    <w:rsid w:val="2E9C0DD5"/>
    <w:rsid w:val="2EA913B5"/>
    <w:rsid w:val="2EBA182E"/>
    <w:rsid w:val="2EDE0458"/>
    <w:rsid w:val="2EF03BC2"/>
    <w:rsid w:val="2F122F91"/>
    <w:rsid w:val="2F3F2B13"/>
    <w:rsid w:val="2F467C8B"/>
    <w:rsid w:val="2F517D66"/>
    <w:rsid w:val="2F616051"/>
    <w:rsid w:val="2F8C60FC"/>
    <w:rsid w:val="2F8E71B3"/>
    <w:rsid w:val="2FA92F51"/>
    <w:rsid w:val="2FAF7806"/>
    <w:rsid w:val="30023E63"/>
    <w:rsid w:val="307A3500"/>
    <w:rsid w:val="317618DB"/>
    <w:rsid w:val="31A02EE3"/>
    <w:rsid w:val="31BC5681"/>
    <w:rsid w:val="31C758EA"/>
    <w:rsid w:val="31E00FB9"/>
    <w:rsid w:val="32367071"/>
    <w:rsid w:val="32412D11"/>
    <w:rsid w:val="328048C3"/>
    <w:rsid w:val="32D0648C"/>
    <w:rsid w:val="32EB3E36"/>
    <w:rsid w:val="330515CB"/>
    <w:rsid w:val="33342668"/>
    <w:rsid w:val="33660909"/>
    <w:rsid w:val="339534EF"/>
    <w:rsid w:val="33AB1AC7"/>
    <w:rsid w:val="33DC45BE"/>
    <w:rsid w:val="343A692B"/>
    <w:rsid w:val="347F6FE8"/>
    <w:rsid w:val="349D7C62"/>
    <w:rsid w:val="34B03425"/>
    <w:rsid w:val="34C2152A"/>
    <w:rsid w:val="34E67AB5"/>
    <w:rsid w:val="34EC02B3"/>
    <w:rsid w:val="35007576"/>
    <w:rsid w:val="353D1268"/>
    <w:rsid w:val="357443FA"/>
    <w:rsid w:val="359E2887"/>
    <w:rsid w:val="35B478E9"/>
    <w:rsid w:val="35BE1ACD"/>
    <w:rsid w:val="35E555C3"/>
    <w:rsid w:val="36192405"/>
    <w:rsid w:val="362B2A99"/>
    <w:rsid w:val="362F3606"/>
    <w:rsid w:val="363B61EE"/>
    <w:rsid w:val="36592763"/>
    <w:rsid w:val="365F51F5"/>
    <w:rsid w:val="368614E0"/>
    <w:rsid w:val="369C39FB"/>
    <w:rsid w:val="36D20BCA"/>
    <w:rsid w:val="36D57BB2"/>
    <w:rsid w:val="36EA27E1"/>
    <w:rsid w:val="371C7242"/>
    <w:rsid w:val="372E0012"/>
    <w:rsid w:val="375779C0"/>
    <w:rsid w:val="377E37E4"/>
    <w:rsid w:val="379D2F6D"/>
    <w:rsid w:val="37CF27C2"/>
    <w:rsid w:val="37DE74BA"/>
    <w:rsid w:val="37E14B68"/>
    <w:rsid w:val="37ED0381"/>
    <w:rsid w:val="380A340A"/>
    <w:rsid w:val="382967D1"/>
    <w:rsid w:val="382F1986"/>
    <w:rsid w:val="3843724A"/>
    <w:rsid w:val="38660358"/>
    <w:rsid w:val="387261EC"/>
    <w:rsid w:val="38974EF9"/>
    <w:rsid w:val="38A40F8C"/>
    <w:rsid w:val="38BA0CAC"/>
    <w:rsid w:val="38C956CB"/>
    <w:rsid w:val="39241472"/>
    <w:rsid w:val="396140ED"/>
    <w:rsid w:val="39852914"/>
    <w:rsid w:val="39A84A90"/>
    <w:rsid w:val="39D46E71"/>
    <w:rsid w:val="39FD1594"/>
    <w:rsid w:val="3A073783"/>
    <w:rsid w:val="3A244856"/>
    <w:rsid w:val="3A244971"/>
    <w:rsid w:val="3A4E731F"/>
    <w:rsid w:val="3A5B0914"/>
    <w:rsid w:val="3A7A6BC7"/>
    <w:rsid w:val="3A9F3322"/>
    <w:rsid w:val="3AD46C02"/>
    <w:rsid w:val="3B5125AF"/>
    <w:rsid w:val="3B6835AC"/>
    <w:rsid w:val="3B9D0C8D"/>
    <w:rsid w:val="3B9F65F3"/>
    <w:rsid w:val="3BAF3395"/>
    <w:rsid w:val="3BD02667"/>
    <w:rsid w:val="3BFA433D"/>
    <w:rsid w:val="3C0B0FE8"/>
    <w:rsid w:val="3C1C6667"/>
    <w:rsid w:val="3C5C3754"/>
    <w:rsid w:val="3C817EA2"/>
    <w:rsid w:val="3CBE6D7A"/>
    <w:rsid w:val="3CE32D84"/>
    <w:rsid w:val="3CFA2D97"/>
    <w:rsid w:val="3D123F34"/>
    <w:rsid w:val="3D47548A"/>
    <w:rsid w:val="3D52184F"/>
    <w:rsid w:val="3D532078"/>
    <w:rsid w:val="3D777FDA"/>
    <w:rsid w:val="3DA1484D"/>
    <w:rsid w:val="3DB2328C"/>
    <w:rsid w:val="3DC1485E"/>
    <w:rsid w:val="3DF61C55"/>
    <w:rsid w:val="3E2B5346"/>
    <w:rsid w:val="3E62040E"/>
    <w:rsid w:val="3E755B99"/>
    <w:rsid w:val="3E8334FE"/>
    <w:rsid w:val="3F654826"/>
    <w:rsid w:val="3F6A11BE"/>
    <w:rsid w:val="3F8155EC"/>
    <w:rsid w:val="400945BF"/>
    <w:rsid w:val="40113CD0"/>
    <w:rsid w:val="4099351B"/>
    <w:rsid w:val="40B64076"/>
    <w:rsid w:val="41150CFF"/>
    <w:rsid w:val="41240E07"/>
    <w:rsid w:val="413F3AFD"/>
    <w:rsid w:val="41447634"/>
    <w:rsid w:val="414E44D5"/>
    <w:rsid w:val="41A820B9"/>
    <w:rsid w:val="41B57217"/>
    <w:rsid w:val="42053FE9"/>
    <w:rsid w:val="420A7213"/>
    <w:rsid w:val="42314C9C"/>
    <w:rsid w:val="42587440"/>
    <w:rsid w:val="426F62D5"/>
    <w:rsid w:val="427C438C"/>
    <w:rsid w:val="42DC24B1"/>
    <w:rsid w:val="42EE3D97"/>
    <w:rsid w:val="42F41B57"/>
    <w:rsid w:val="433B615D"/>
    <w:rsid w:val="43526099"/>
    <w:rsid w:val="435D0B06"/>
    <w:rsid w:val="43792777"/>
    <w:rsid w:val="43A25113"/>
    <w:rsid w:val="43B70A1B"/>
    <w:rsid w:val="43C8682E"/>
    <w:rsid w:val="43CB6658"/>
    <w:rsid w:val="44116372"/>
    <w:rsid w:val="44207139"/>
    <w:rsid w:val="44604364"/>
    <w:rsid w:val="44731636"/>
    <w:rsid w:val="44F23BCF"/>
    <w:rsid w:val="44F93BDC"/>
    <w:rsid w:val="450F45E4"/>
    <w:rsid w:val="45240356"/>
    <w:rsid w:val="452E05E1"/>
    <w:rsid w:val="455411DC"/>
    <w:rsid w:val="45AE7835"/>
    <w:rsid w:val="45D53D9D"/>
    <w:rsid w:val="465628C4"/>
    <w:rsid w:val="46650CAF"/>
    <w:rsid w:val="46A259CB"/>
    <w:rsid w:val="46BC270D"/>
    <w:rsid w:val="470302BC"/>
    <w:rsid w:val="47221274"/>
    <w:rsid w:val="473B4953"/>
    <w:rsid w:val="477776A0"/>
    <w:rsid w:val="47816DEF"/>
    <w:rsid w:val="478545EA"/>
    <w:rsid w:val="47BD1E1C"/>
    <w:rsid w:val="47F17535"/>
    <w:rsid w:val="481039CF"/>
    <w:rsid w:val="4811508A"/>
    <w:rsid w:val="484F1A0A"/>
    <w:rsid w:val="487F0134"/>
    <w:rsid w:val="48925FC1"/>
    <w:rsid w:val="48CC70F7"/>
    <w:rsid w:val="48D11736"/>
    <w:rsid w:val="48E254B1"/>
    <w:rsid w:val="492613AF"/>
    <w:rsid w:val="49557A11"/>
    <w:rsid w:val="4956395B"/>
    <w:rsid w:val="495D5F9C"/>
    <w:rsid w:val="49C048FD"/>
    <w:rsid w:val="49CA6FCF"/>
    <w:rsid w:val="4A08739A"/>
    <w:rsid w:val="4A1D63B2"/>
    <w:rsid w:val="4A212E48"/>
    <w:rsid w:val="4A302F07"/>
    <w:rsid w:val="4A4B3361"/>
    <w:rsid w:val="4A5A7F68"/>
    <w:rsid w:val="4A844448"/>
    <w:rsid w:val="4A923090"/>
    <w:rsid w:val="4A945316"/>
    <w:rsid w:val="4B2A3328"/>
    <w:rsid w:val="4B4C3E98"/>
    <w:rsid w:val="4B9B6280"/>
    <w:rsid w:val="4BC07AF0"/>
    <w:rsid w:val="4BC84F7B"/>
    <w:rsid w:val="4C1C0A5A"/>
    <w:rsid w:val="4C301F33"/>
    <w:rsid w:val="4C7246DD"/>
    <w:rsid w:val="4CC21C75"/>
    <w:rsid w:val="4D007BCE"/>
    <w:rsid w:val="4D0A7DDB"/>
    <w:rsid w:val="4D283498"/>
    <w:rsid w:val="4D4E1993"/>
    <w:rsid w:val="4D6410BB"/>
    <w:rsid w:val="4D707C53"/>
    <w:rsid w:val="4D791C48"/>
    <w:rsid w:val="4D8969F9"/>
    <w:rsid w:val="4D90107E"/>
    <w:rsid w:val="4DB77D3D"/>
    <w:rsid w:val="4DF97880"/>
    <w:rsid w:val="4E126EF9"/>
    <w:rsid w:val="4E3C5338"/>
    <w:rsid w:val="4E93158A"/>
    <w:rsid w:val="4E972C43"/>
    <w:rsid w:val="4ECB62C8"/>
    <w:rsid w:val="4F310B7A"/>
    <w:rsid w:val="4F516425"/>
    <w:rsid w:val="4F563F0A"/>
    <w:rsid w:val="4F784E44"/>
    <w:rsid w:val="4F981A40"/>
    <w:rsid w:val="4FFA7028"/>
    <w:rsid w:val="50146A27"/>
    <w:rsid w:val="50551EC8"/>
    <w:rsid w:val="506D7A54"/>
    <w:rsid w:val="509750E2"/>
    <w:rsid w:val="50A507C7"/>
    <w:rsid w:val="50B21BD1"/>
    <w:rsid w:val="50D4206D"/>
    <w:rsid w:val="50EF47E3"/>
    <w:rsid w:val="50F237A8"/>
    <w:rsid w:val="511012D0"/>
    <w:rsid w:val="5129178D"/>
    <w:rsid w:val="513B014A"/>
    <w:rsid w:val="514B1F6B"/>
    <w:rsid w:val="5169265E"/>
    <w:rsid w:val="518E4E2A"/>
    <w:rsid w:val="51922981"/>
    <w:rsid w:val="51961386"/>
    <w:rsid w:val="51CC7306"/>
    <w:rsid w:val="51D71B55"/>
    <w:rsid w:val="52245210"/>
    <w:rsid w:val="522F78ED"/>
    <w:rsid w:val="52326F4A"/>
    <w:rsid w:val="52332439"/>
    <w:rsid w:val="523B5880"/>
    <w:rsid w:val="52400890"/>
    <w:rsid w:val="52542D41"/>
    <w:rsid w:val="52546919"/>
    <w:rsid w:val="529975C3"/>
    <w:rsid w:val="52BF0D81"/>
    <w:rsid w:val="52E70341"/>
    <w:rsid w:val="52FA4D11"/>
    <w:rsid w:val="533043B7"/>
    <w:rsid w:val="53655897"/>
    <w:rsid w:val="536F5978"/>
    <w:rsid w:val="541B1376"/>
    <w:rsid w:val="542A14BA"/>
    <w:rsid w:val="543132E6"/>
    <w:rsid w:val="54B62E95"/>
    <w:rsid w:val="54CB4788"/>
    <w:rsid w:val="54FE74A6"/>
    <w:rsid w:val="550B1D1F"/>
    <w:rsid w:val="550E04D6"/>
    <w:rsid w:val="5519498E"/>
    <w:rsid w:val="55424EBA"/>
    <w:rsid w:val="555E3FF1"/>
    <w:rsid w:val="559D1154"/>
    <w:rsid w:val="55A338A4"/>
    <w:rsid w:val="55CE7BA4"/>
    <w:rsid w:val="55CF503D"/>
    <w:rsid w:val="55E11BDB"/>
    <w:rsid w:val="55F32832"/>
    <w:rsid w:val="560E396C"/>
    <w:rsid w:val="561B58A4"/>
    <w:rsid w:val="562C7CF5"/>
    <w:rsid w:val="56770854"/>
    <w:rsid w:val="57274EEB"/>
    <w:rsid w:val="57687F2D"/>
    <w:rsid w:val="577535DE"/>
    <w:rsid w:val="578D5E5D"/>
    <w:rsid w:val="57BE330F"/>
    <w:rsid w:val="57C73723"/>
    <w:rsid w:val="57CB05C6"/>
    <w:rsid w:val="57D74884"/>
    <w:rsid w:val="57D8050D"/>
    <w:rsid w:val="5811597D"/>
    <w:rsid w:val="581A4061"/>
    <w:rsid w:val="589E5784"/>
    <w:rsid w:val="58B138DA"/>
    <w:rsid w:val="59290D1A"/>
    <w:rsid w:val="59665881"/>
    <w:rsid w:val="59816144"/>
    <w:rsid w:val="5984081C"/>
    <w:rsid w:val="59950A61"/>
    <w:rsid w:val="599D2FC6"/>
    <w:rsid w:val="59DA67F6"/>
    <w:rsid w:val="59DE4E1D"/>
    <w:rsid w:val="59FE78F8"/>
    <w:rsid w:val="5A32466B"/>
    <w:rsid w:val="5A5E4E1A"/>
    <w:rsid w:val="5A6C261A"/>
    <w:rsid w:val="5A9A1060"/>
    <w:rsid w:val="5AB8767D"/>
    <w:rsid w:val="5ACA0273"/>
    <w:rsid w:val="5AE950F6"/>
    <w:rsid w:val="5B7F37E7"/>
    <w:rsid w:val="5BA42EC6"/>
    <w:rsid w:val="5BA93F5F"/>
    <w:rsid w:val="5BDA1781"/>
    <w:rsid w:val="5C631483"/>
    <w:rsid w:val="5C6614E8"/>
    <w:rsid w:val="5C693B0C"/>
    <w:rsid w:val="5C95324F"/>
    <w:rsid w:val="5D062FB5"/>
    <w:rsid w:val="5D241604"/>
    <w:rsid w:val="5D511908"/>
    <w:rsid w:val="5D5E3276"/>
    <w:rsid w:val="5DAF27EC"/>
    <w:rsid w:val="5DE828F3"/>
    <w:rsid w:val="5DEE58BC"/>
    <w:rsid w:val="5E0225C8"/>
    <w:rsid w:val="5E314E5E"/>
    <w:rsid w:val="5E3432B3"/>
    <w:rsid w:val="5E3A01E8"/>
    <w:rsid w:val="5E466842"/>
    <w:rsid w:val="5E57301E"/>
    <w:rsid w:val="5E6D0820"/>
    <w:rsid w:val="5E7532CA"/>
    <w:rsid w:val="5E903A9A"/>
    <w:rsid w:val="5EC34B1D"/>
    <w:rsid w:val="5ED338C7"/>
    <w:rsid w:val="5ED75FDD"/>
    <w:rsid w:val="5EFE730C"/>
    <w:rsid w:val="5F0C3439"/>
    <w:rsid w:val="5F104B5E"/>
    <w:rsid w:val="5F747BBE"/>
    <w:rsid w:val="5F881B9F"/>
    <w:rsid w:val="5F983095"/>
    <w:rsid w:val="5FC3559F"/>
    <w:rsid w:val="5FD165FF"/>
    <w:rsid w:val="600136FF"/>
    <w:rsid w:val="60112AA1"/>
    <w:rsid w:val="601A3DCB"/>
    <w:rsid w:val="601C444E"/>
    <w:rsid w:val="603925D6"/>
    <w:rsid w:val="603C14E4"/>
    <w:rsid w:val="60595920"/>
    <w:rsid w:val="60874676"/>
    <w:rsid w:val="609C4A82"/>
    <w:rsid w:val="6153239A"/>
    <w:rsid w:val="619B1088"/>
    <w:rsid w:val="61C70881"/>
    <w:rsid w:val="620520A9"/>
    <w:rsid w:val="62460C5F"/>
    <w:rsid w:val="62731137"/>
    <w:rsid w:val="62B62781"/>
    <w:rsid w:val="62B67038"/>
    <w:rsid w:val="62EE2AAC"/>
    <w:rsid w:val="62EF5DD1"/>
    <w:rsid w:val="63126256"/>
    <w:rsid w:val="63335032"/>
    <w:rsid w:val="635419C6"/>
    <w:rsid w:val="635E2C1D"/>
    <w:rsid w:val="637676D0"/>
    <w:rsid w:val="63890C8B"/>
    <w:rsid w:val="63917C66"/>
    <w:rsid w:val="639930FC"/>
    <w:rsid w:val="63CE471B"/>
    <w:rsid w:val="63D654C1"/>
    <w:rsid w:val="6432703A"/>
    <w:rsid w:val="64455CDF"/>
    <w:rsid w:val="64562F53"/>
    <w:rsid w:val="646C6DCB"/>
    <w:rsid w:val="64741DB9"/>
    <w:rsid w:val="647F1D55"/>
    <w:rsid w:val="64833808"/>
    <w:rsid w:val="64C17C15"/>
    <w:rsid w:val="64D4443E"/>
    <w:rsid w:val="64DD4D63"/>
    <w:rsid w:val="651A60F1"/>
    <w:rsid w:val="651C544F"/>
    <w:rsid w:val="656D73FA"/>
    <w:rsid w:val="65CD0E44"/>
    <w:rsid w:val="6645695B"/>
    <w:rsid w:val="6649699E"/>
    <w:rsid w:val="665F0C1D"/>
    <w:rsid w:val="66767B04"/>
    <w:rsid w:val="6693560C"/>
    <w:rsid w:val="66C52C69"/>
    <w:rsid w:val="66E15256"/>
    <w:rsid w:val="66E96A46"/>
    <w:rsid w:val="67196319"/>
    <w:rsid w:val="671A5706"/>
    <w:rsid w:val="671E61E6"/>
    <w:rsid w:val="67330F70"/>
    <w:rsid w:val="674175FD"/>
    <w:rsid w:val="677102D7"/>
    <w:rsid w:val="678F0F1F"/>
    <w:rsid w:val="67D31F31"/>
    <w:rsid w:val="682C13E8"/>
    <w:rsid w:val="68372BDD"/>
    <w:rsid w:val="6892279D"/>
    <w:rsid w:val="68B24EBD"/>
    <w:rsid w:val="68B426AC"/>
    <w:rsid w:val="68B54B42"/>
    <w:rsid w:val="68DB562B"/>
    <w:rsid w:val="68FC2E0B"/>
    <w:rsid w:val="691A022E"/>
    <w:rsid w:val="6923606F"/>
    <w:rsid w:val="69776089"/>
    <w:rsid w:val="69B642FE"/>
    <w:rsid w:val="69BA3BDE"/>
    <w:rsid w:val="69EC7B2D"/>
    <w:rsid w:val="69F85603"/>
    <w:rsid w:val="6A3B0BEC"/>
    <w:rsid w:val="6A5F1CA1"/>
    <w:rsid w:val="6A607FAE"/>
    <w:rsid w:val="6A953AEA"/>
    <w:rsid w:val="6AB62E5D"/>
    <w:rsid w:val="6ACF4D08"/>
    <w:rsid w:val="6AD21836"/>
    <w:rsid w:val="6AD46AF8"/>
    <w:rsid w:val="6ADB540F"/>
    <w:rsid w:val="6ADB6BB5"/>
    <w:rsid w:val="6AE05C46"/>
    <w:rsid w:val="6AF35300"/>
    <w:rsid w:val="6B4D3D8B"/>
    <w:rsid w:val="6B652193"/>
    <w:rsid w:val="6B6A7FA0"/>
    <w:rsid w:val="6BB37969"/>
    <w:rsid w:val="6BB6639C"/>
    <w:rsid w:val="6BB8157C"/>
    <w:rsid w:val="6BDF5E96"/>
    <w:rsid w:val="6C175E4F"/>
    <w:rsid w:val="6C1E71C0"/>
    <w:rsid w:val="6C2B6973"/>
    <w:rsid w:val="6C3A1577"/>
    <w:rsid w:val="6C431695"/>
    <w:rsid w:val="6C584A47"/>
    <w:rsid w:val="6C650FE2"/>
    <w:rsid w:val="6CCA2C2C"/>
    <w:rsid w:val="6CF42517"/>
    <w:rsid w:val="6D0C6B09"/>
    <w:rsid w:val="6D231CF7"/>
    <w:rsid w:val="6D2508F4"/>
    <w:rsid w:val="6D535020"/>
    <w:rsid w:val="6D5B72CC"/>
    <w:rsid w:val="6D666FA1"/>
    <w:rsid w:val="6D811B51"/>
    <w:rsid w:val="6DDF1DEF"/>
    <w:rsid w:val="6E19391F"/>
    <w:rsid w:val="6E3D28AE"/>
    <w:rsid w:val="6E582752"/>
    <w:rsid w:val="6E67689E"/>
    <w:rsid w:val="6E750F14"/>
    <w:rsid w:val="6EAE5CCE"/>
    <w:rsid w:val="6EBB2AC5"/>
    <w:rsid w:val="6F065614"/>
    <w:rsid w:val="6F342F51"/>
    <w:rsid w:val="6F7D0E74"/>
    <w:rsid w:val="6FC66C09"/>
    <w:rsid w:val="6FF359DF"/>
    <w:rsid w:val="703A66B7"/>
    <w:rsid w:val="706B1426"/>
    <w:rsid w:val="707B7B49"/>
    <w:rsid w:val="7089712D"/>
    <w:rsid w:val="70E61658"/>
    <w:rsid w:val="71216DA3"/>
    <w:rsid w:val="714E471C"/>
    <w:rsid w:val="71984FCF"/>
    <w:rsid w:val="71CE6FD3"/>
    <w:rsid w:val="71D4535E"/>
    <w:rsid w:val="71E11314"/>
    <w:rsid w:val="7225583D"/>
    <w:rsid w:val="722B1867"/>
    <w:rsid w:val="72711FE5"/>
    <w:rsid w:val="72840206"/>
    <w:rsid w:val="729D59E2"/>
    <w:rsid w:val="72C07F90"/>
    <w:rsid w:val="72D56729"/>
    <w:rsid w:val="72E60E52"/>
    <w:rsid w:val="72FB12CF"/>
    <w:rsid w:val="73075213"/>
    <w:rsid w:val="73395738"/>
    <w:rsid w:val="73533FE9"/>
    <w:rsid w:val="736E39A6"/>
    <w:rsid w:val="73822F93"/>
    <w:rsid w:val="739E09A7"/>
    <w:rsid w:val="73A83140"/>
    <w:rsid w:val="73BA0EA6"/>
    <w:rsid w:val="73C630EE"/>
    <w:rsid w:val="73C640E1"/>
    <w:rsid w:val="73D05EE5"/>
    <w:rsid w:val="74372352"/>
    <w:rsid w:val="745A5BC8"/>
    <w:rsid w:val="749256B6"/>
    <w:rsid w:val="74D026B2"/>
    <w:rsid w:val="750F382A"/>
    <w:rsid w:val="75393024"/>
    <w:rsid w:val="755B6701"/>
    <w:rsid w:val="757048ED"/>
    <w:rsid w:val="758125D6"/>
    <w:rsid w:val="759852B6"/>
    <w:rsid w:val="75995662"/>
    <w:rsid w:val="75C703A4"/>
    <w:rsid w:val="75CE64C3"/>
    <w:rsid w:val="76141722"/>
    <w:rsid w:val="764B68FE"/>
    <w:rsid w:val="76563B35"/>
    <w:rsid w:val="7657231B"/>
    <w:rsid w:val="767937F1"/>
    <w:rsid w:val="767F5410"/>
    <w:rsid w:val="76C33CA6"/>
    <w:rsid w:val="76E10D33"/>
    <w:rsid w:val="77503DB9"/>
    <w:rsid w:val="779A0B86"/>
    <w:rsid w:val="77BE32E9"/>
    <w:rsid w:val="77CC44A6"/>
    <w:rsid w:val="77EA34B9"/>
    <w:rsid w:val="77FD707F"/>
    <w:rsid w:val="784A756C"/>
    <w:rsid w:val="785E4EEF"/>
    <w:rsid w:val="78A9709D"/>
    <w:rsid w:val="78B31427"/>
    <w:rsid w:val="78F25C2A"/>
    <w:rsid w:val="78F65B8F"/>
    <w:rsid w:val="78F75985"/>
    <w:rsid w:val="78FB05AF"/>
    <w:rsid w:val="795C6930"/>
    <w:rsid w:val="79B21BCD"/>
    <w:rsid w:val="79BD2AA5"/>
    <w:rsid w:val="79C36C82"/>
    <w:rsid w:val="79D44902"/>
    <w:rsid w:val="79DA12F9"/>
    <w:rsid w:val="79EC5EC2"/>
    <w:rsid w:val="79F30C9D"/>
    <w:rsid w:val="7A6767F3"/>
    <w:rsid w:val="7A6A2DC3"/>
    <w:rsid w:val="7A8D21AE"/>
    <w:rsid w:val="7AB72919"/>
    <w:rsid w:val="7ACB02CB"/>
    <w:rsid w:val="7B3B3799"/>
    <w:rsid w:val="7B7D23ED"/>
    <w:rsid w:val="7BB118AB"/>
    <w:rsid w:val="7BC31F2E"/>
    <w:rsid w:val="7BE4611F"/>
    <w:rsid w:val="7C214B41"/>
    <w:rsid w:val="7C2A07CA"/>
    <w:rsid w:val="7C5216E5"/>
    <w:rsid w:val="7C6412E0"/>
    <w:rsid w:val="7C652A8C"/>
    <w:rsid w:val="7C773B1C"/>
    <w:rsid w:val="7D0C7F58"/>
    <w:rsid w:val="7D1A0C1B"/>
    <w:rsid w:val="7D1A5049"/>
    <w:rsid w:val="7D5F5392"/>
    <w:rsid w:val="7D6B5472"/>
    <w:rsid w:val="7DB553FF"/>
    <w:rsid w:val="7DC215A7"/>
    <w:rsid w:val="7DC87221"/>
    <w:rsid w:val="7DCE41BB"/>
    <w:rsid w:val="7DD601C2"/>
    <w:rsid w:val="7DE912BC"/>
    <w:rsid w:val="7E0549DB"/>
    <w:rsid w:val="7E0951AB"/>
    <w:rsid w:val="7E5E6A9A"/>
    <w:rsid w:val="7E6B2D22"/>
    <w:rsid w:val="7E90633F"/>
    <w:rsid w:val="7EBD7EA5"/>
    <w:rsid w:val="7EDE6CD4"/>
    <w:rsid w:val="7EF00D96"/>
    <w:rsid w:val="7EFD5BB0"/>
    <w:rsid w:val="7F243FF1"/>
    <w:rsid w:val="7F595879"/>
    <w:rsid w:val="7F7D724E"/>
    <w:rsid w:val="7FA307B2"/>
    <w:rsid w:val="7FB32517"/>
    <w:rsid w:val="7FB95508"/>
    <w:rsid w:val="7FBA79D6"/>
    <w:rsid w:val="7FCD1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2"/>
    <w:basedOn w:val="1"/>
    <w:next w:val="1"/>
    <w:unhideWhenUsed/>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29">
    <w:name w:val="Default Paragraph Font"/>
    <w:link w:val="30"/>
    <w:semiHidden/>
    <w:unhideWhenUsed/>
    <w:qFormat/>
    <w:uiPriority w:val="1"/>
    <w:rPr>
      <w:rFonts w:ascii="Verdana" w:hAnsi="Verdana"/>
      <w:kern w:val="0"/>
      <w:sz w:val="20"/>
      <w:szCs w:val="20"/>
      <w:lang w:eastAsia="en-US"/>
    </w:rPr>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39"/>
    <w:pPr>
      <w:tabs>
        <w:tab w:val="right" w:leader="dot" w:pos="9060"/>
      </w:tabs>
      <w:ind w:left="480" w:leftChars="200"/>
      <w:jc w:val="center"/>
    </w:pPr>
  </w:style>
  <w:style w:type="paragraph" w:styleId="5">
    <w:name w:val="toc 7"/>
    <w:basedOn w:val="1"/>
    <w:next w:val="1"/>
    <w:unhideWhenUsed/>
    <w:qFormat/>
    <w:uiPriority w:val="39"/>
    <w:pPr>
      <w:spacing w:line="240" w:lineRule="auto"/>
      <w:ind w:left="2520" w:leftChars="1200"/>
    </w:pPr>
    <w:rPr>
      <w:sz w:val="21"/>
      <w:szCs w:val="22"/>
    </w:rPr>
  </w:style>
  <w:style w:type="paragraph" w:styleId="6">
    <w:name w:val="table of authorities"/>
    <w:basedOn w:val="1"/>
    <w:next w:val="1"/>
    <w:qFormat/>
    <w:uiPriority w:val="0"/>
    <w:pPr>
      <w:spacing w:line="360" w:lineRule="auto"/>
      <w:ind w:left="420" w:leftChars="200" w:firstLine="640" w:firstLineChars="200"/>
    </w:pPr>
    <w:rPr>
      <w:sz w:val="24"/>
      <w:szCs w:val="24"/>
    </w:rPr>
  </w:style>
  <w:style w:type="paragraph" w:styleId="7">
    <w:name w:val="Normal Indent"/>
    <w:basedOn w:val="1"/>
    <w:qFormat/>
    <w:uiPriority w:val="0"/>
    <w:pPr>
      <w:ind w:firstLine="420"/>
    </w:pPr>
    <w:rPr>
      <w:rFonts w:ascii="Times New Roman" w:hAnsi="Times New Roman" w:eastAsia="宋体" w:cs="Times New Roman"/>
    </w:rPr>
  </w:style>
  <w:style w:type="paragraph" w:styleId="8">
    <w:name w:val="caption"/>
    <w:basedOn w:val="1"/>
    <w:next w:val="9"/>
    <w:qFormat/>
    <w:uiPriority w:val="99"/>
    <w:rPr>
      <w:rFonts w:ascii="Arial" w:hAnsi="Arial" w:eastAsia="黑体" w:cs="Arial"/>
      <w:sz w:val="20"/>
    </w:rPr>
  </w:style>
  <w:style w:type="paragraph" w:styleId="9">
    <w:name w:val="Body Text First Indent"/>
    <w:basedOn w:val="10"/>
    <w:link w:val="43"/>
    <w:qFormat/>
    <w:uiPriority w:val="0"/>
    <w:pPr>
      <w:spacing w:before="0" w:after="120"/>
      <w:ind w:firstLine="420" w:firstLineChars="100"/>
      <w:jc w:val="both"/>
    </w:pPr>
    <w:rPr>
      <w:rFonts w:asciiTheme="minorHAnsi" w:hAnsiTheme="minorHAnsi" w:eastAsiaTheme="minorEastAsia" w:cstheme="minorBidi"/>
    </w:rPr>
  </w:style>
  <w:style w:type="paragraph" w:styleId="10">
    <w:name w:val="Body Text"/>
    <w:basedOn w:val="1"/>
    <w:link w:val="42"/>
    <w:qFormat/>
    <w:uiPriority w:val="99"/>
    <w:pPr>
      <w:spacing w:before="20" w:after="20"/>
      <w:jc w:val="center"/>
    </w:pPr>
    <w:rPr>
      <w:rFonts w:ascii="Times New Roman" w:hAnsi="Times New Roman" w:eastAsia="宋体" w:cs="Times New Roman"/>
    </w:rPr>
  </w:style>
  <w:style w:type="paragraph" w:styleId="11">
    <w:name w:val="annotation text"/>
    <w:basedOn w:val="1"/>
    <w:link w:val="39"/>
    <w:qFormat/>
    <w:uiPriority w:val="0"/>
    <w:pPr>
      <w:jc w:val="left"/>
    </w:pPr>
  </w:style>
  <w:style w:type="paragraph" w:styleId="12">
    <w:name w:val="toc 5"/>
    <w:basedOn w:val="1"/>
    <w:next w:val="1"/>
    <w:unhideWhenUsed/>
    <w:qFormat/>
    <w:uiPriority w:val="39"/>
    <w:pPr>
      <w:spacing w:line="240" w:lineRule="auto"/>
      <w:ind w:left="1680" w:leftChars="800"/>
    </w:pPr>
    <w:rPr>
      <w:sz w:val="21"/>
      <w:szCs w:val="22"/>
    </w:rPr>
  </w:style>
  <w:style w:type="paragraph" w:styleId="13">
    <w:name w:val="toc 3"/>
    <w:basedOn w:val="1"/>
    <w:next w:val="1"/>
    <w:unhideWhenUsed/>
    <w:qFormat/>
    <w:uiPriority w:val="39"/>
    <w:pPr>
      <w:spacing w:line="240" w:lineRule="auto"/>
      <w:ind w:left="840" w:leftChars="400"/>
    </w:pPr>
    <w:rPr>
      <w:sz w:val="21"/>
      <w:szCs w:val="22"/>
    </w:rPr>
  </w:style>
  <w:style w:type="paragraph" w:styleId="14">
    <w:name w:val="Plain Text"/>
    <w:basedOn w:val="1"/>
    <w:link w:val="45"/>
    <w:qFormat/>
    <w:uiPriority w:val="0"/>
    <w:rPr>
      <w:rFonts w:ascii="宋体" w:hAnsi="Courier New" w:eastAsia="宋体" w:cs="Times New Roman"/>
      <w:szCs w:val="20"/>
    </w:rPr>
  </w:style>
  <w:style w:type="paragraph" w:styleId="15">
    <w:name w:val="toc 8"/>
    <w:basedOn w:val="1"/>
    <w:next w:val="1"/>
    <w:unhideWhenUsed/>
    <w:qFormat/>
    <w:uiPriority w:val="39"/>
    <w:pPr>
      <w:spacing w:line="240" w:lineRule="auto"/>
      <w:ind w:left="2940" w:leftChars="1400"/>
    </w:pPr>
    <w:rPr>
      <w:sz w:val="21"/>
      <w:szCs w:val="22"/>
    </w:rPr>
  </w:style>
  <w:style w:type="paragraph" w:styleId="16">
    <w:name w:val="Date"/>
    <w:basedOn w:val="1"/>
    <w:next w:val="1"/>
    <w:link w:val="47"/>
    <w:qFormat/>
    <w:uiPriority w:val="99"/>
    <w:rPr>
      <w:rFonts w:ascii="Times New Roman" w:hAnsi="Times New Roman" w:eastAsia="宋体" w:cs="Times New Roman"/>
    </w:rPr>
  </w:style>
  <w:style w:type="paragraph" w:styleId="17">
    <w:name w:val="Body Text Indent 2"/>
    <w:basedOn w:val="1"/>
    <w:qFormat/>
    <w:uiPriority w:val="99"/>
    <w:pPr>
      <w:spacing w:line="360" w:lineRule="auto"/>
      <w:ind w:firstLine="480"/>
    </w:pPr>
    <w:rPr>
      <w:kern w:val="0"/>
      <w:sz w:val="20"/>
    </w:rPr>
  </w:style>
  <w:style w:type="paragraph" w:styleId="18">
    <w:name w:val="Balloon Text"/>
    <w:basedOn w:val="1"/>
    <w:link w:val="40"/>
    <w:qFormat/>
    <w:uiPriority w:val="0"/>
    <w:pPr>
      <w:spacing w:line="240" w:lineRule="auto"/>
    </w:pPr>
    <w:rPr>
      <w:sz w:val="18"/>
      <w:szCs w:val="18"/>
    </w:rPr>
  </w:style>
  <w:style w:type="paragraph" w:styleId="19">
    <w:name w:val="footer"/>
    <w:basedOn w:val="1"/>
    <w:link w:val="52"/>
    <w:qFormat/>
    <w:uiPriority w:val="99"/>
    <w:pPr>
      <w:tabs>
        <w:tab w:val="center" w:pos="4153"/>
        <w:tab w:val="right" w:pos="8306"/>
      </w:tabs>
      <w:snapToGrid w:val="0"/>
      <w:spacing w:line="240" w:lineRule="auto"/>
      <w:jc w:val="left"/>
    </w:pPr>
    <w:rPr>
      <w:sz w:val="18"/>
      <w:szCs w:val="18"/>
    </w:rPr>
  </w:style>
  <w:style w:type="paragraph" w:styleId="20">
    <w:name w:val="header"/>
    <w:basedOn w:val="1"/>
    <w:link w:val="5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1">
    <w:name w:val="toc 1"/>
    <w:basedOn w:val="1"/>
    <w:next w:val="1"/>
    <w:unhideWhenUsed/>
    <w:qFormat/>
    <w:uiPriority w:val="39"/>
    <w:pPr>
      <w:spacing w:line="240" w:lineRule="auto"/>
    </w:pPr>
    <w:rPr>
      <w:sz w:val="21"/>
      <w:szCs w:val="22"/>
    </w:rPr>
  </w:style>
  <w:style w:type="paragraph" w:styleId="22">
    <w:name w:val="toc 4"/>
    <w:basedOn w:val="1"/>
    <w:next w:val="1"/>
    <w:unhideWhenUsed/>
    <w:qFormat/>
    <w:uiPriority w:val="39"/>
    <w:pPr>
      <w:spacing w:line="240" w:lineRule="auto"/>
      <w:ind w:left="1260" w:leftChars="600"/>
    </w:pPr>
    <w:rPr>
      <w:sz w:val="21"/>
      <w:szCs w:val="22"/>
    </w:rPr>
  </w:style>
  <w:style w:type="paragraph" w:styleId="23">
    <w:name w:val="toc 6"/>
    <w:basedOn w:val="1"/>
    <w:next w:val="1"/>
    <w:unhideWhenUsed/>
    <w:qFormat/>
    <w:uiPriority w:val="39"/>
    <w:pPr>
      <w:spacing w:line="240" w:lineRule="auto"/>
      <w:ind w:left="2100" w:leftChars="1000"/>
    </w:pPr>
    <w:rPr>
      <w:sz w:val="21"/>
      <w:szCs w:val="22"/>
    </w:rPr>
  </w:style>
  <w:style w:type="paragraph" w:styleId="24">
    <w:name w:val="toc 9"/>
    <w:basedOn w:val="1"/>
    <w:next w:val="1"/>
    <w:unhideWhenUsed/>
    <w:qFormat/>
    <w:uiPriority w:val="39"/>
    <w:pPr>
      <w:spacing w:line="240" w:lineRule="auto"/>
      <w:ind w:left="3360" w:leftChars="1600"/>
    </w:pPr>
    <w:rPr>
      <w:sz w:val="21"/>
      <w:szCs w:val="22"/>
    </w:rPr>
  </w:style>
  <w:style w:type="paragraph" w:styleId="25">
    <w:name w:val="Normal (Web)"/>
    <w:basedOn w:val="1"/>
    <w:qFormat/>
    <w:uiPriority w:val="0"/>
    <w:rPr>
      <w:sz w:val="24"/>
    </w:rPr>
  </w:style>
  <w:style w:type="paragraph" w:styleId="26">
    <w:name w:val="annotation subject"/>
    <w:basedOn w:val="11"/>
    <w:next w:val="11"/>
    <w:link w:val="54"/>
    <w:qFormat/>
    <w:uiPriority w:val="0"/>
    <w:rPr>
      <w:b/>
      <w:bCs/>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 Char Char Char Char Char Char Char Char Char Char Char Char Char Char Char Char Char Char Char"/>
    <w:basedOn w:val="1"/>
    <w:link w:val="29"/>
    <w:qFormat/>
    <w:uiPriority w:val="0"/>
    <w:pPr>
      <w:widowControl/>
      <w:spacing w:after="160" w:afterLines="0" w:line="240" w:lineRule="exact"/>
      <w:jc w:val="left"/>
    </w:pPr>
    <w:rPr>
      <w:rFonts w:ascii="Verdana" w:hAnsi="Verdana"/>
      <w:kern w:val="0"/>
      <w:sz w:val="20"/>
      <w:szCs w:val="20"/>
      <w:lang w:eastAsia="en-US"/>
    </w:rPr>
  </w:style>
  <w:style w:type="character" w:styleId="31">
    <w:name w:val="page number"/>
    <w:uiPriority w:val="99"/>
    <w:rPr>
      <w:rFonts w:cs="Times New Roman"/>
    </w:rPr>
  </w:style>
  <w:style w:type="character" w:styleId="32">
    <w:name w:val="Hyperlink"/>
    <w:qFormat/>
    <w:uiPriority w:val="99"/>
    <w:rPr>
      <w:color w:val="0000FF"/>
      <w:u w:val="single"/>
    </w:rPr>
  </w:style>
  <w:style w:type="character" w:styleId="33">
    <w:name w:val="annotation reference"/>
    <w:basedOn w:val="29"/>
    <w:qFormat/>
    <w:uiPriority w:val="0"/>
    <w:rPr>
      <w:sz w:val="21"/>
      <w:szCs w:val="21"/>
    </w:rPr>
  </w:style>
  <w:style w:type="paragraph" w:customStyle="1" w:styleId="3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表格内容"/>
    <w:basedOn w:val="1"/>
    <w:qFormat/>
    <w:uiPriority w:val="0"/>
    <w:pPr>
      <w:spacing w:line="240" w:lineRule="auto"/>
      <w:jc w:val="center"/>
    </w:pPr>
    <w:rPr>
      <w:rFonts w:cs="宋体"/>
      <w:sz w:val="21"/>
      <w:szCs w:val="20"/>
    </w:rPr>
  </w:style>
  <w:style w:type="paragraph" w:customStyle="1" w:styleId="36">
    <w:name w:val="【表中文字】"/>
    <w:basedOn w:val="1"/>
    <w:qFormat/>
    <w:uiPriority w:val="0"/>
    <w:pPr>
      <w:spacing w:line="240" w:lineRule="auto"/>
      <w:jc w:val="center"/>
    </w:pPr>
    <w:rPr>
      <w:sz w:val="21"/>
      <w:szCs w:val="20"/>
    </w:rPr>
  </w:style>
  <w:style w:type="paragraph" w:customStyle="1" w:styleId="37">
    <w:name w:val="正文样式1"/>
    <w:basedOn w:val="1"/>
    <w:qFormat/>
    <w:uiPriority w:val="0"/>
    <w:pPr>
      <w:adjustRightInd w:val="0"/>
      <w:spacing w:line="288" w:lineRule="auto"/>
      <w:ind w:firstLine="360" w:firstLineChars="150"/>
      <w:textAlignment w:val="baseline"/>
    </w:pPr>
    <w:rPr>
      <w:kern w:val="0"/>
      <w:szCs w:val="20"/>
    </w:rPr>
  </w:style>
  <w:style w:type="paragraph" w:customStyle="1" w:styleId="38">
    <w:name w:val="【正文】"/>
    <w:basedOn w:val="1"/>
    <w:qFormat/>
    <w:uiPriority w:val="0"/>
    <w:pPr>
      <w:spacing w:line="440" w:lineRule="exact"/>
      <w:ind w:firstLine="544" w:firstLineChars="200"/>
    </w:pPr>
    <w:rPr>
      <w:rFonts w:hint="eastAsia" w:ascii="宋体" w:hAnsi="Times New Roman" w:eastAsia="宋体" w:cs="Times New Roman"/>
      <w:spacing w:val="16"/>
      <w:kern w:val="0"/>
      <w:szCs w:val="20"/>
    </w:rPr>
  </w:style>
  <w:style w:type="character" w:customStyle="1" w:styleId="39">
    <w:name w:val="批注文字 字符"/>
    <w:basedOn w:val="29"/>
    <w:link w:val="11"/>
    <w:qFormat/>
    <w:uiPriority w:val="0"/>
    <w:rPr>
      <w:rFonts w:asciiTheme="minorHAnsi" w:hAnsiTheme="minorHAnsi" w:eastAsiaTheme="minorEastAsia" w:cstheme="minorBidi"/>
      <w:kern w:val="2"/>
      <w:sz w:val="24"/>
      <w:szCs w:val="24"/>
    </w:rPr>
  </w:style>
  <w:style w:type="character" w:customStyle="1" w:styleId="40">
    <w:name w:val="批注框文本 字符"/>
    <w:basedOn w:val="29"/>
    <w:link w:val="18"/>
    <w:qFormat/>
    <w:uiPriority w:val="0"/>
    <w:rPr>
      <w:rFonts w:asciiTheme="minorHAnsi" w:hAnsiTheme="minorHAnsi" w:eastAsiaTheme="minorEastAsia" w:cstheme="minorBidi"/>
      <w:kern w:val="2"/>
      <w:sz w:val="18"/>
      <w:szCs w:val="18"/>
    </w:rPr>
  </w:style>
  <w:style w:type="paragraph" w:customStyle="1" w:styleId="41">
    <w:name w:val="样式4"/>
    <w:basedOn w:val="1"/>
    <w:qFormat/>
    <w:uiPriority w:val="0"/>
    <w:pPr>
      <w:spacing w:line="480" w:lineRule="exact"/>
    </w:pPr>
    <w:rPr>
      <w:rFonts w:ascii="华文中宋" w:hAnsi="华文中宋" w:eastAsia="华文中宋" w:cs="Times New Roman"/>
    </w:rPr>
  </w:style>
  <w:style w:type="character" w:customStyle="1" w:styleId="42">
    <w:name w:val="正文文本 字符"/>
    <w:basedOn w:val="29"/>
    <w:link w:val="10"/>
    <w:qFormat/>
    <w:uiPriority w:val="99"/>
    <w:rPr>
      <w:kern w:val="2"/>
      <w:sz w:val="24"/>
      <w:szCs w:val="24"/>
    </w:rPr>
  </w:style>
  <w:style w:type="character" w:customStyle="1" w:styleId="43">
    <w:name w:val="正文文本首行缩进 字符"/>
    <w:basedOn w:val="42"/>
    <w:link w:val="9"/>
    <w:qFormat/>
    <w:uiPriority w:val="0"/>
    <w:rPr>
      <w:kern w:val="2"/>
      <w:sz w:val="24"/>
      <w:szCs w:val="24"/>
    </w:rPr>
  </w:style>
  <w:style w:type="paragraph" w:styleId="44">
    <w:name w:val="List Paragraph"/>
    <w:basedOn w:val="1"/>
    <w:qFormat/>
    <w:uiPriority w:val="99"/>
    <w:pPr>
      <w:ind w:firstLine="420" w:firstLineChars="200"/>
    </w:pPr>
  </w:style>
  <w:style w:type="character" w:customStyle="1" w:styleId="45">
    <w:name w:val="纯文本 字符"/>
    <w:basedOn w:val="29"/>
    <w:link w:val="14"/>
    <w:qFormat/>
    <w:uiPriority w:val="0"/>
    <w:rPr>
      <w:rFonts w:ascii="宋体" w:hAnsi="Courier New"/>
      <w:kern w:val="2"/>
      <w:sz w:val="24"/>
    </w:rPr>
  </w:style>
  <w:style w:type="paragraph" w:customStyle="1" w:styleId="46">
    <w:name w:val="内容"/>
    <w:basedOn w:val="1"/>
    <w:link w:val="53"/>
    <w:qFormat/>
    <w:uiPriority w:val="0"/>
    <w:pPr>
      <w:spacing w:before="156" w:beforeLines="50" w:after="156" w:afterLines="50" w:line="240" w:lineRule="auto"/>
      <w:ind w:firstLine="200" w:firstLineChars="200"/>
    </w:pPr>
    <w:rPr>
      <w:rFonts w:ascii="Times New Roman" w:hAnsi="Times New Roman" w:eastAsia="宋体" w:cs="Times New Roman"/>
      <w:color w:val="000000"/>
      <w:szCs w:val="20"/>
    </w:rPr>
  </w:style>
  <w:style w:type="character" w:customStyle="1" w:styleId="47">
    <w:name w:val="日期 字符"/>
    <w:basedOn w:val="29"/>
    <w:link w:val="16"/>
    <w:qFormat/>
    <w:uiPriority w:val="99"/>
    <w:rPr>
      <w:kern w:val="2"/>
      <w:sz w:val="24"/>
      <w:szCs w:val="24"/>
    </w:rPr>
  </w:style>
  <w:style w:type="paragraph" w:customStyle="1" w:styleId="48">
    <w:name w:val="p0"/>
    <w:basedOn w:val="1"/>
    <w:qFormat/>
    <w:uiPriority w:val="99"/>
    <w:pPr>
      <w:widowControl/>
      <w:spacing w:before="100" w:beforeAutospacing="1" w:after="100" w:afterAutospacing="1"/>
      <w:jc w:val="left"/>
    </w:pPr>
    <w:rPr>
      <w:rFonts w:ascii="宋体" w:hAnsi="宋体" w:eastAsia="宋体" w:cs="宋体"/>
      <w:kern w:val="0"/>
    </w:rPr>
  </w:style>
  <w:style w:type="paragraph" w:customStyle="1" w:styleId="49">
    <w:name w:val="环评表中文字"/>
    <w:basedOn w:val="1"/>
    <w:qFormat/>
    <w:uiPriority w:val="0"/>
    <w:pPr>
      <w:jc w:val="center"/>
    </w:pPr>
    <w:rPr>
      <w:rFonts w:ascii="Times New Roman" w:hAnsi="Times New Roman" w:eastAsia="宋体" w:cs="Times New Roman"/>
      <w:szCs w:val="22"/>
    </w:rPr>
  </w:style>
  <w:style w:type="character" w:customStyle="1" w:styleId="50">
    <w:name w:val="未处理的提及1"/>
    <w:basedOn w:val="29"/>
    <w:semiHidden/>
    <w:unhideWhenUsed/>
    <w:qFormat/>
    <w:uiPriority w:val="99"/>
    <w:rPr>
      <w:color w:val="605E5C"/>
      <w:shd w:val="clear" w:color="auto" w:fill="E1DFDD"/>
    </w:rPr>
  </w:style>
  <w:style w:type="character" w:customStyle="1" w:styleId="51">
    <w:name w:val="页眉 字符"/>
    <w:basedOn w:val="29"/>
    <w:link w:val="20"/>
    <w:qFormat/>
    <w:uiPriority w:val="0"/>
    <w:rPr>
      <w:rFonts w:asciiTheme="minorHAnsi" w:hAnsiTheme="minorHAnsi" w:eastAsiaTheme="minorEastAsia" w:cstheme="minorBidi"/>
      <w:kern w:val="2"/>
      <w:sz w:val="18"/>
      <w:szCs w:val="18"/>
    </w:rPr>
  </w:style>
  <w:style w:type="character" w:customStyle="1" w:styleId="52">
    <w:name w:val="页脚 字符"/>
    <w:basedOn w:val="29"/>
    <w:link w:val="19"/>
    <w:qFormat/>
    <w:uiPriority w:val="99"/>
    <w:rPr>
      <w:rFonts w:asciiTheme="minorHAnsi" w:hAnsiTheme="minorHAnsi" w:eastAsiaTheme="minorEastAsia" w:cstheme="minorBidi"/>
      <w:kern w:val="2"/>
      <w:sz w:val="18"/>
      <w:szCs w:val="18"/>
    </w:rPr>
  </w:style>
  <w:style w:type="character" w:customStyle="1" w:styleId="53">
    <w:name w:val="内容 Char"/>
    <w:link w:val="46"/>
    <w:qFormat/>
    <w:locked/>
    <w:uiPriority w:val="0"/>
    <w:rPr>
      <w:color w:val="000000"/>
      <w:kern w:val="2"/>
      <w:sz w:val="24"/>
    </w:rPr>
  </w:style>
  <w:style w:type="character" w:customStyle="1" w:styleId="54">
    <w:name w:val="批注主题 字符"/>
    <w:basedOn w:val="39"/>
    <w:link w:val="26"/>
    <w:qFormat/>
    <w:uiPriority w:val="0"/>
    <w:rPr>
      <w:rFonts w:asciiTheme="minorHAnsi" w:hAnsiTheme="minorHAnsi" w:eastAsiaTheme="minorEastAsia" w:cstheme="minorBidi"/>
      <w:b/>
      <w:bCs/>
      <w:kern w:val="2"/>
      <w:sz w:val="24"/>
      <w:szCs w:val="24"/>
    </w:rPr>
  </w:style>
  <w:style w:type="character" w:customStyle="1" w:styleId="55">
    <w:name w:val="apple-converted-space"/>
    <w:basedOn w:val="29"/>
    <w:qFormat/>
    <w:uiPriority w:val="0"/>
  </w:style>
  <w:style w:type="paragraph" w:customStyle="1" w:styleId="56">
    <w:name w:val="xl23"/>
    <w:basedOn w:val="1"/>
    <w:qFormat/>
    <w:uiPriority w:val="99"/>
    <w:pPr>
      <w:widowControl/>
      <w:spacing w:before="100" w:beforeAutospacing="1" w:after="100" w:afterAutospacing="1"/>
      <w:jc w:val="center"/>
    </w:pPr>
    <w:rPr>
      <w:rFonts w:ascii="Arial Unicode MS" w:hAnsi="Arial Unicode MS"/>
      <w:kern w:val="0"/>
      <w:sz w:val="24"/>
    </w:rPr>
  </w:style>
  <w:style w:type="paragraph" w:customStyle="1" w:styleId="57">
    <w:name w:val="普通(网站)1"/>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58">
    <w:name w:val="表中文字（工大）"/>
    <w:basedOn w:val="1"/>
    <w:qFormat/>
    <w:uiPriority w:val="0"/>
    <w:pPr>
      <w:spacing w:line="360" w:lineRule="exact"/>
      <w:ind w:firstLine="0" w:firstLineChars="0"/>
      <w:jc w:val="center"/>
    </w:pPr>
    <w:rPr>
      <w:sz w:val="21"/>
      <w:szCs w:val="20"/>
    </w:rPr>
  </w:style>
  <w:style w:type="paragraph" w:customStyle="1" w:styleId="59">
    <w:name w:val="正文00"/>
    <w:basedOn w:val="1"/>
    <w:qFormat/>
    <w:uiPriority w:val="0"/>
    <w:pPr>
      <w:spacing w:line="500" w:lineRule="exact"/>
      <w:ind w:firstLine="200" w:firstLineChars="200"/>
      <w:jc w:val="left"/>
    </w:pPr>
    <w:rPr>
      <w:sz w:val="28"/>
      <w:szCs w:val="24"/>
    </w:rPr>
  </w:style>
  <w:style w:type="paragraph" w:customStyle="1" w:styleId="60">
    <w:name w:val="_Style 4"/>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customStyle="1" w:styleId="61">
    <w:name w:val="..正文"/>
    <w:basedOn w:val="1"/>
    <w:qFormat/>
    <w:uiPriority w:val="0"/>
    <w:pPr>
      <w:spacing w:line="500" w:lineRule="exact"/>
      <w:ind w:firstLine="480" w:firstLineChars="200"/>
      <w:jc w:val="left"/>
    </w:pPr>
    <w:rPr>
      <w:kern w:val="0"/>
      <w:sz w:val="24"/>
    </w:rPr>
  </w:style>
  <w:style w:type="paragraph" w:customStyle="1" w:styleId="62">
    <w:name w:val="表格"/>
    <w:basedOn w:val="1"/>
    <w:qFormat/>
    <w:uiPriority w:val="0"/>
    <w:pPr>
      <w:spacing w:line="320" w:lineRule="exact"/>
      <w:jc w:val="center"/>
    </w:pPr>
  </w:style>
  <w:style w:type="paragraph" w:customStyle="1" w:styleId="63">
    <w:name w:val=".表1-1-1"/>
    <w:basedOn w:val="1"/>
    <w:qFormat/>
    <w:uiPriority w:val="0"/>
    <w:pPr>
      <w:spacing w:line="500" w:lineRule="exact"/>
      <w:jc w:val="center"/>
    </w:pPr>
    <w:rPr>
      <w:rFonts w:eastAsia="黑体"/>
      <w:kern w:val="0"/>
      <w:sz w:val="24"/>
      <w:szCs w:val="22"/>
    </w:rPr>
  </w:style>
  <w:style w:type="paragraph" w:styleId="64">
    <w:name w:val="No Spacing"/>
    <w:qFormat/>
    <w:uiPriority w:val="1"/>
    <w:pPr>
      <w:widowControl w:val="0"/>
      <w:wordWrap w:val="0"/>
      <w:ind w:firstLine="200" w:firstLineChars="200"/>
      <w:jc w:val="both"/>
    </w:pPr>
    <w:rPr>
      <w:rFonts w:ascii="Times New Roman" w:hAnsi="Times New Roman" w:eastAsia="仿宋_GB2312"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footer" Target="footer3.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wmf"/><Relationship Id="rId44" Type="http://schemas.openxmlformats.org/officeDocument/2006/relationships/oleObject" Target="embeddings/oleObject11.bin"/><Relationship Id="rId43" Type="http://schemas.openxmlformats.org/officeDocument/2006/relationships/image" Target="media/image26.wmf"/><Relationship Id="rId42" Type="http://schemas.openxmlformats.org/officeDocument/2006/relationships/oleObject" Target="embeddings/oleObject10.bin"/><Relationship Id="rId41" Type="http://schemas.openxmlformats.org/officeDocument/2006/relationships/image" Target="media/image25.w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8.bin"/><Relationship Id="rId37" Type="http://schemas.openxmlformats.org/officeDocument/2006/relationships/image" Target="media/image23.wmf"/><Relationship Id="rId36" Type="http://schemas.openxmlformats.org/officeDocument/2006/relationships/oleObject" Target="embeddings/oleObject7.bin"/><Relationship Id="rId35" Type="http://schemas.openxmlformats.org/officeDocument/2006/relationships/image" Target="media/image22.wmf"/><Relationship Id="rId34" Type="http://schemas.openxmlformats.org/officeDocument/2006/relationships/oleObject" Target="embeddings/oleObject6.bin"/><Relationship Id="rId33" Type="http://schemas.openxmlformats.org/officeDocument/2006/relationships/image" Target="media/image21.wmf"/><Relationship Id="rId32" Type="http://schemas.openxmlformats.org/officeDocument/2006/relationships/oleObject" Target="embeddings/oleObject5.bin"/><Relationship Id="rId31" Type="http://schemas.openxmlformats.org/officeDocument/2006/relationships/image" Target="media/image20.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oleObject" Target="embeddings/oleObject3.bin"/><Relationship Id="rId27" Type="http://schemas.openxmlformats.org/officeDocument/2006/relationships/image" Target="media/image18.wmf"/><Relationship Id="rId26" Type="http://schemas.openxmlformats.org/officeDocument/2006/relationships/oleObject" Target="embeddings/oleObject2.bin"/><Relationship Id="rId25" Type="http://schemas.openxmlformats.org/officeDocument/2006/relationships/image" Target="media/image17.wmf"/><Relationship Id="rId24" Type="http://schemas.openxmlformats.org/officeDocument/2006/relationships/oleObject" Target="embeddings/oleObject1.bin"/><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CAE553-F9A8-4642-BF93-3283F5576A8D}">
  <ds:schemaRefs/>
</ds:datastoreItem>
</file>

<file path=docProps/app.xml><?xml version="1.0" encoding="utf-8"?>
<Properties xmlns="http://schemas.openxmlformats.org/officeDocument/2006/extended-properties" xmlns:vt="http://schemas.openxmlformats.org/officeDocument/2006/docPropsVTypes">
  <Template>0</Template>
  <Pages>1</Pages>
  <Words>5648</Words>
  <Characters>32198</Characters>
  <Lines>268</Lines>
  <Paragraphs>75</Paragraphs>
  <TotalTime>0</TotalTime>
  <ScaleCrop>false</ScaleCrop>
  <LinksUpToDate>false</LinksUpToDate>
  <CharactersWithSpaces>37771</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2018-08-30T08:30:00Z</dcterms:created>
  <dc:creator>Administrator</dc:creator>
  <cp:lastModifiedBy>Administrator</cp:lastModifiedBy>
  <dcterms:modified xsi:type="dcterms:W3CDTF">2020-05-21T00:59:47Z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