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cs="Times New Roman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/>
        <w:textAlignment w:val="auto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-153" w:rightChars="-73"/>
        <w:textAlignment w:val="auto"/>
        <w:rPr>
          <w:rFonts w:hint="default" w:ascii="Times New Roman" w:hAnsi="Times New Roman" w:cs="Times New Roman"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同政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调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2019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同江市人民政府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成立同江市农药包装废弃物回收处置工作领导小组的通知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各乡（镇）政府，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市政府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各有关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直属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根据工作需要，市政府决定成立同江市农药包装废弃物回收处置工作领导小组。现就有关事宜通知如下：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" w:firstLineChars="200"/>
        <w:textAlignment w:val="auto"/>
        <w:rPr>
          <w:rFonts w:hint="eastAsia" w:ascii="黑体" w:hAnsi="黑体" w:eastAsia="黑体" w:cs="黑体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w w:val="95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一、组成人员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组  长：市政府分管副市长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副组长：市农业农村局局长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市生态环境局局长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成  员：市委宣传部分管副部长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市财政局分管副局长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市交通运输局分管副局长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市应急管理局分管副局长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市住房城乡建设局分管副局长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市城市管理综合执法局分管副局长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市市场监督管理局负责人      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各乡（镇）政府分管副乡（镇）长</w:t>
      </w:r>
    </w:p>
    <w:p>
      <w:pPr>
        <w:pStyle w:val="6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二、组织机构</w:t>
      </w:r>
    </w:p>
    <w:p>
      <w:pPr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同江市农药包装废弃物回收处置工作领导小组办公室</w:t>
      </w:r>
      <w:r>
        <w:rPr>
          <w:rFonts w:hint="eastAsia" w:ascii="仿宋_GB2312" w:eastAsia="仿宋_GB2312"/>
          <w:sz w:val="32"/>
          <w:szCs w:val="32"/>
          <w:lang w:eastAsia="zh-CN"/>
        </w:rPr>
        <w:t>设在</w:t>
      </w:r>
      <w:r>
        <w:rPr>
          <w:rFonts w:hint="eastAsia" w:ascii="仿宋_GB2312" w:eastAsia="仿宋_GB2312"/>
          <w:sz w:val="32"/>
          <w:szCs w:val="32"/>
        </w:rPr>
        <w:t>市农业农村局，</w:t>
      </w:r>
      <w:r>
        <w:rPr>
          <w:rFonts w:hint="eastAsia" w:ascii="仿宋_GB2312" w:eastAsia="仿宋_GB2312"/>
          <w:sz w:val="32"/>
          <w:szCs w:val="32"/>
          <w:lang w:eastAsia="zh-CN"/>
        </w:rPr>
        <w:t>负责领导小组日常管理工作，</w:t>
      </w:r>
      <w:r>
        <w:rPr>
          <w:rFonts w:hint="eastAsia" w:ascii="仿宋_GB2312" w:eastAsia="仿宋_GB2312"/>
          <w:sz w:val="32"/>
          <w:szCs w:val="32"/>
        </w:rPr>
        <w:t>办公室主任由</w:t>
      </w:r>
      <w:r>
        <w:rPr>
          <w:rFonts w:hint="eastAsia" w:ascii="仿宋_GB2312" w:eastAsia="仿宋_GB2312"/>
          <w:sz w:val="32"/>
          <w:szCs w:val="32"/>
          <w:lang w:eastAsia="zh-CN"/>
        </w:rPr>
        <w:t>市农业农村局局长</w:t>
      </w:r>
      <w:r>
        <w:rPr>
          <w:rFonts w:hint="eastAsia" w:ascii="仿宋_GB2312" w:eastAsia="仿宋_GB2312"/>
          <w:sz w:val="32"/>
          <w:szCs w:val="32"/>
        </w:rPr>
        <w:t xml:space="preserve">兼任。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同江市人民政府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                   2019年12月31日 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  </w:t>
      </w: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抄送：市委宣传部。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                                     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outlineLvl w:val="9"/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　同江市人民政府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eastAsia="zh-CN"/>
        </w:rPr>
        <w:t>办公室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　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201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u w:val="single"/>
          <w:lang w:val="en-US" w:eastAsia="zh-CN"/>
        </w:rPr>
        <w:t>31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>日印发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</w:rPr>
        <w:t xml:space="preserve"> 　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25704"/>
    <w:rsid w:val="036605AC"/>
    <w:rsid w:val="06287901"/>
    <w:rsid w:val="077F52B0"/>
    <w:rsid w:val="08513E17"/>
    <w:rsid w:val="089B5682"/>
    <w:rsid w:val="089D6830"/>
    <w:rsid w:val="0A626972"/>
    <w:rsid w:val="0CA80DDB"/>
    <w:rsid w:val="0D16429A"/>
    <w:rsid w:val="0EA021BE"/>
    <w:rsid w:val="159D5307"/>
    <w:rsid w:val="16585698"/>
    <w:rsid w:val="192B6765"/>
    <w:rsid w:val="19CC6E7D"/>
    <w:rsid w:val="1AC56011"/>
    <w:rsid w:val="1ACD6044"/>
    <w:rsid w:val="1B9C4283"/>
    <w:rsid w:val="1C501CEB"/>
    <w:rsid w:val="1CC92BAC"/>
    <w:rsid w:val="1F29271A"/>
    <w:rsid w:val="1F60349D"/>
    <w:rsid w:val="22750C51"/>
    <w:rsid w:val="24B9440E"/>
    <w:rsid w:val="24DD1260"/>
    <w:rsid w:val="293C7BD5"/>
    <w:rsid w:val="2A20232D"/>
    <w:rsid w:val="2B617110"/>
    <w:rsid w:val="2BF52BC0"/>
    <w:rsid w:val="2CEE223F"/>
    <w:rsid w:val="2D6723FD"/>
    <w:rsid w:val="2D717197"/>
    <w:rsid w:val="2E82464C"/>
    <w:rsid w:val="31A50796"/>
    <w:rsid w:val="361A3CE5"/>
    <w:rsid w:val="37AD2AD7"/>
    <w:rsid w:val="391E3C57"/>
    <w:rsid w:val="39474D78"/>
    <w:rsid w:val="39E26757"/>
    <w:rsid w:val="3AA955AF"/>
    <w:rsid w:val="3CA40D8B"/>
    <w:rsid w:val="3ECA7BBF"/>
    <w:rsid w:val="43025704"/>
    <w:rsid w:val="43BD3C7E"/>
    <w:rsid w:val="441B0DAB"/>
    <w:rsid w:val="4AC87C7A"/>
    <w:rsid w:val="4B2A7A4E"/>
    <w:rsid w:val="4E3D1D1B"/>
    <w:rsid w:val="50EB69BD"/>
    <w:rsid w:val="515D64EF"/>
    <w:rsid w:val="52310333"/>
    <w:rsid w:val="52DA44BD"/>
    <w:rsid w:val="52FD36D9"/>
    <w:rsid w:val="548F7524"/>
    <w:rsid w:val="553147B3"/>
    <w:rsid w:val="56CD10CF"/>
    <w:rsid w:val="57EE7C3C"/>
    <w:rsid w:val="58994B82"/>
    <w:rsid w:val="58D941BF"/>
    <w:rsid w:val="59EC6A09"/>
    <w:rsid w:val="5A814FF7"/>
    <w:rsid w:val="5B1205FB"/>
    <w:rsid w:val="5C7848DB"/>
    <w:rsid w:val="5D032F99"/>
    <w:rsid w:val="5DB514DD"/>
    <w:rsid w:val="620B4415"/>
    <w:rsid w:val="644E7260"/>
    <w:rsid w:val="6708071B"/>
    <w:rsid w:val="6949369E"/>
    <w:rsid w:val="6C3D1384"/>
    <w:rsid w:val="6D043BEC"/>
    <w:rsid w:val="6D8B16F7"/>
    <w:rsid w:val="6DC03F8A"/>
    <w:rsid w:val="6EC93243"/>
    <w:rsid w:val="714B4DA0"/>
    <w:rsid w:val="72716DBD"/>
    <w:rsid w:val="729E5FDE"/>
    <w:rsid w:val="76414BBD"/>
    <w:rsid w:val="792526B9"/>
    <w:rsid w:val="7AF2717A"/>
    <w:rsid w:val="7B575561"/>
    <w:rsid w:val="7D500FB4"/>
    <w:rsid w:val="7FC4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No Spacing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2019-09-02T07:44:00Z</dcterms:created>
  <dc:creator>     Mr. 宝蓝</dc:creator>
  <cp:lastModifiedBy>     Mr. 宝蓝</cp:lastModifiedBy>
  <cp:lastPrinted>2019-10-25T06:40:00Z</cp:lastPrinted>
  <dcterms:modified xsi:type="dcterms:W3CDTF">2020-01-03T00:43:49Z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