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sz w:val="72"/>
          <w:szCs w:val="72"/>
        </w:rPr>
      </w:pPr>
    </w:p>
    <w:p>
      <w:pPr>
        <w:jc w:val="center"/>
        <w:rPr>
          <w:rFonts w:ascii="Times New Roman" w:hAnsi="Times New Roman" w:eastAsia="宋体" w:cs="Times New Roman"/>
          <w:sz w:val="72"/>
          <w:szCs w:val="72"/>
        </w:rPr>
      </w:pPr>
    </w:p>
    <w:p>
      <w:pPr>
        <w:jc w:val="center"/>
        <w:rPr>
          <w:rFonts w:ascii="Times New Roman" w:hAnsi="Times New Roman" w:eastAsia="宋体" w:cs="Times New Roman"/>
          <w:sz w:val="72"/>
          <w:szCs w:val="72"/>
        </w:rPr>
      </w:pPr>
    </w:p>
    <w:p>
      <w:pPr>
        <w:jc w:val="center"/>
        <w:rPr>
          <w:rFonts w:ascii="Times New Roman" w:hAnsi="Times New Roman" w:eastAsia="宋体" w:cs="Times New Roman"/>
          <w:sz w:val="72"/>
          <w:szCs w:val="72"/>
        </w:rPr>
      </w:pPr>
      <w:r>
        <w:rPr>
          <w:rFonts w:ascii="Times New Roman" w:hAnsi="Times New Roman" w:eastAsia="宋体" w:cs="Times New Roman"/>
          <w:sz w:val="72"/>
          <w:szCs w:val="72"/>
        </w:rPr>
        <w:t>建设项目环境影响报告表</w:t>
      </w:r>
    </w:p>
    <w:p>
      <w:pPr>
        <w:jc w:val="center"/>
        <w:rPr>
          <w:rFonts w:ascii="Times New Roman" w:hAnsi="Times New Roman" w:eastAsia="宋体" w:cs="Times New Roman"/>
          <w:sz w:val="28"/>
          <w:szCs w:val="24"/>
        </w:rPr>
      </w:pPr>
    </w:p>
    <w:p>
      <w:pPr>
        <w:rPr>
          <w:rFonts w:ascii="Times New Roman" w:hAnsi="Times New Roman" w:eastAsia="宋体" w:cs="Times New Roman"/>
          <w:sz w:val="28"/>
          <w:szCs w:val="24"/>
        </w:rPr>
      </w:pPr>
    </w:p>
    <w:p>
      <w:pPr>
        <w:rPr>
          <w:rFonts w:ascii="Times New Roman" w:hAnsi="Times New Roman" w:eastAsia="宋体" w:cs="Times New Roman"/>
          <w:sz w:val="28"/>
          <w:szCs w:val="24"/>
        </w:rPr>
      </w:pPr>
    </w:p>
    <w:p>
      <w:pPr>
        <w:spacing w:line="520" w:lineRule="exact"/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>
      <w:pPr>
        <w:spacing w:line="520" w:lineRule="exact"/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>
      <w:pPr>
        <w:spacing w:line="520" w:lineRule="exact"/>
        <w:ind w:left="2106" w:leftChars="250" w:hanging="1506" w:hangingChars="500"/>
        <w:rPr>
          <w:rFonts w:ascii="Times New Roman" w:hAnsi="Times New Roman" w:eastAsia="宋体" w:cs="Times New Roman"/>
          <w:b/>
          <w:bCs/>
          <w:sz w:val="30"/>
          <w:szCs w:val="30"/>
          <w:u w:val="single"/>
          <w:lang w:val="en-US"/>
        </w:rPr>
      </w:pPr>
      <w:r>
        <w:rPr>
          <w:rFonts w:ascii="Times New Roman" w:hAnsi="Times New Roman" w:eastAsia="宋体" w:cs="Times New Roman"/>
          <w:b/>
          <w:bCs/>
          <w:sz w:val="30"/>
          <w:szCs w:val="30"/>
        </w:rPr>
        <w:t>项目名称：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u w:val="thick"/>
          <w:lang w:eastAsia="zh-CN"/>
        </w:rPr>
        <w:t>同江市向阳镇燎原村生物有机肥建设项目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u w:val="single"/>
          <w:lang w:val="en-US" w:eastAsia="zh-CN"/>
        </w:rPr>
        <w:t xml:space="preserve"> </w:t>
      </w:r>
    </w:p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>
      <w:pPr>
        <w:ind w:firstLine="602" w:firstLineChars="200"/>
        <w:rPr>
          <w:rFonts w:hint="eastAsia" w:ascii="Times New Roman" w:hAnsi="Times New Roman" w:eastAsia="宋体" w:cs="Times New Roman"/>
          <w:b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sz w:val="30"/>
          <w:szCs w:val="30"/>
        </w:rPr>
        <w:t>建设单位：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u w:val="thick"/>
          <w:lang w:eastAsia="zh-CN"/>
        </w:rPr>
        <w:t>同江市向阳镇人民政府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u w:val="single"/>
        </w:rPr>
        <w:t>（</w:t>
      </w:r>
      <w:r>
        <w:rPr>
          <w:rFonts w:ascii="Times New Roman" w:hAnsi="Times New Roman" w:eastAsia="宋体" w:cs="Times New Roman"/>
          <w:b/>
          <w:sz w:val="30"/>
          <w:szCs w:val="30"/>
          <w:u w:val="single"/>
        </w:rPr>
        <w:t>盖章</w:t>
      </w:r>
      <w:r>
        <w:rPr>
          <w:rFonts w:hint="eastAsia" w:ascii="Times New Roman" w:hAnsi="Times New Roman" w:eastAsia="宋体" w:cs="Times New Roman"/>
          <w:b/>
          <w:sz w:val="30"/>
          <w:szCs w:val="30"/>
          <w:u w:val="single"/>
        </w:rPr>
        <w:t>）</w:t>
      </w:r>
      <w:r>
        <w:rPr>
          <w:rFonts w:hint="eastAsia" w:ascii="Times New Roman" w:hAnsi="Times New Roman" w:eastAsia="宋体" w:cs="Times New Roman"/>
          <w:b/>
          <w:sz w:val="30"/>
          <w:szCs w:val="30"/>
          <w:u w:val="single"/>
          <w:lang w:val="en-US" w:eastAsia="zh-CN"/>
        </w:rPr>
        <w:t xml:space="preserve">       </w:t>
      </w:r>
    </w:p>
    <w:p>
      <w:pPr>
        <w:spacing w:line="520" w:lineRule="exact"/>
        <w:ind w:firstLine="570"/>
        <w:rPr>
          <w:rFonts w:ascii="Times New Roman" w:hAnsi="Times New Roman" w:eastAsia="宋体" w:cs="Times New Roman"/>
          <w:sz w:val="32"/>
          <w:szCs w:val="24"/>
        </w:rPr>
      </w:pPr>
    </w:p>
    <w:p>
      <w:pPr>
        <w:spacing w:line="520" w:lineRule="exact"/>
        <w:rPr>
          <w:rFonts w:ascii="Times New Roman" w:hAnsi="Times New Roman" w:eastAsia="宋体" w:cs="Times New Roman"/>
          <w:sz w:val="32"/>
          <w:szCs w:val="24"/>
        </w:rPr>
      </w:pPr>
    </w:p>
    <w:p>
      <w:pPr>
        <w:spacing w:line="520" w:lineRule="exact"/>
        <w:ind w:firstLine="570"/>
        <w:rPr>
          <w:rFonts w:ascii="Times New Roman" w:hAnsi="Times New Roman" w:eastAsia="宋体" w:cs="Times New Roman"/>
          <w:sz w:val="32"/>
          <w:szCs w:val="24"/>
        </w:rPr>
      </w:pPr>
    </w:p>
    <w:p>
      <w:pPr>
        <w:spacing w:line="520" w:lineRule="exact"/>
        <w:rPr>
          <w:rFonts w:ascii="Times New Roman" w:hAnsi="Times New Roman" w:eastAsia="宋体" w:cs="Times New Roman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bCs w:val="0"/>
          <w:sz w:val="32"/>
          <w:szCs w:val="32"/>
        </w:rPr>
      </w:pPr>
      <w:r>
        <w:rPr>
          <w:rFonts w:ascii="Times New Roman" w:hAnsi="Times New Roman" w:eastAsia="宋体" w:cs="Times New Roman"/>
          <w:b/>
          <w:bCs w:val="0"/>
          <w:sz w:val="32"/>
          <w:szCs w:val="32"/>
        </w:rPr>
        <w:t>黑龙江环盛环保科技开发有限公司</w:t>
      </w:r>
    </w:p>
    <w:p>
      <w:pPr>
        <w:jc w:val="center"/>
        <w:rPr>
          <w:rFonts w:ascii="Times New Roman" w:hAnsi="Times New Roman" w:eastAsia="宋体" w:cs="Times New Roman"/>
          <w:b/>
          <w:bCs w:val="0"/>
          <w:sz w:val="32"/>
          <w:szCs w:val="32"/>
        </w:rPr>
      </w:pPr>
      <w:r>
        <w:rPr>
          <w:rFonts w:ascii="Times New Roman" w:hAnsi="Times New Roman" w:eastAsia="宋体" w:cs="Times New Roman"/>
          <w:b/>
          <w:bCs w:val="0"/>
          <w:sz w:val="32"/>
          <w:szCs w:val="32"/>
        </w:rPr>
        <w:t>编制日期：201</w:t>
      </w:r>
      <w:r>
        <w:rPr>
          <w:rFonts w:hint="eastAsia" w:ascii="Times New Roman" w:hAnsi="Times New Roman" w:eastAsia="宋体" w:cs="Times New Roman"/>
          <w:b/>
          <w:bCs w:val="0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宋体" w:cs="Times New Roman"/>
          <w:b/>
          <w:bCs w:val="0"/>
          <w:sz w:val="32"/>
          <w:szCs w:val="32"/>
        </w:rPr>
        <w:t>年</w:t>
      </w:r>
      <w:r>
        <w:rPr>
          <w:rFonts w:hint="eastAsia" w:ascii="Times New Roman" w:hAnsi="Times New Roman" w:eastAsia="宋体" w:cs="Times New Roman"/>
          <w:b/>
          <w:bCs w:val="0"/>
          <w:sz w:val="32"/>
          <w:szCs w:val="32"/>
          <w:lang w:val="en-US" w:eastAsia="zh-CN"/>
        </w:rPr>
        <w:t>08</w:t>
      </w:r>
      <w:r>
        <w:rPr>
          <w:rFonts w:ascii="Times New Roman" w:hAnsi="Times New Roman" w:eastAsia="宋体" w:cs="Times New Roman"/>
          <w:b/>
          <w:bCs w:val="0"/>
          <w:sz w:val="32"/>
          <w:szCs w:val="32"/>
        </w:rPr>
        <w:t>月</w:t>
      </w:r>
    </w:p>
    <w:p>
      <w:pPr>
        <w:spacing w:before="156" w:beforeLines="50" w:line="480" w:lineRule="auto"/>
        <w:ind w:left="3360" w:hanging="2520" w:hangingChars="1050"/>
        <w:jc w:val="center"/>
      </w:pPr>
    </w:p>
    <w:p>
      <w:pPr>
        <w:spacing w:before="156" w:beforeLines="50" w:line="480" w:lineRule="auto"/>
        <w:jc w:val="both"/>
      </w:pPr>
    </w:p>
    <w:p>
      <w:pPr>
        <w:pStyle w:val="25"/>
      </w:pPr>
    </w:p>
    <w:p>
      <w:pPr>
        <w:pStyle w:val="47"/>
        <w:adjustRightInd w:val="0"/>
        <w:snapToGrid w:val="0"/>
        <w:spacing w:before="0" w:beforeAutospacing="0" w:after="0" w:afterAutospacing="0"/>
        <w:jc w:val="center"/>
        <w:rPr>
          <w:rFonts w:hint="default" w:cs="宋体"/>
          <w:b/>
          <w:bCs/>
          <w:snapToGrid w:val="0"/>
          <w:color w:val="auto"/>
          <w:sz w:val="28"/>
          <w:szCs w:val="28"/>
        </w:rPr>
      </w:pPr>
      <w:r>
        <w:rPr>
          <w:rFonts w:cs="宋体"/>
          <w:b/>
          <w:bCs/>
          <w:snapToGrid w:val="0"/>
          <w:color w:val="auto"/>
          <w:sz w:val="28"/>
          <w:szCs w:val="28"/>
        </w:rPr>
        <w:t>编制单位和编制人员情况表</w:t>
      </w:r>
    </w:p>
    <w:tbl>
      <w:tblPr>
        <w:tblStyle w:val="17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99"/>
        <w:gridCol w:w="2795"/>
        <w:gridCol w:w="1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建设项目名称</w:t>
            </w:r>
          </w:p>
        </w:tc>
        <w:tc>
          <w:tcPr>
            <w:tcW w:w="4193" w:type="dxa"/>
            <w:gridSpan w:val="2"/>
          </w:tcPr>
          <w:p>
            <w:pPr>
              <w:rPr>
                <w:rFonts w:ascii="Times New Roman" w:hAnsi="Times New Roman" w:eastAsia="宋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同江市向阳镇燎原村生物有机肥建设项目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环境影响评价文件类型</w:t>
            </w:r>
          </w:p>
        </w:tc>
        <w:tc>
          <w:tcPr>
            <w:tcW w:w="4193" w:type="dxa"/>
            <w:gridSpan w:val="2"/>
          </w:tcPr>
          <w:p>
            <w:pPr>
              <w:rPr>
                <w:rFonts w:ascii="Times New Roman" w:hAnsi="Times New Roman" w:eastAsia="宋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</w:rPr>
              <w:t>一般环境影响报告表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522" w:type="dxa"/>
            <w:gridSpan w:val="4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一、建设单位情况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建设单位（签章）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法定代表人或主要负责人（签字）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主管人员及联系电话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杨金彪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13836680177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522" w:type="dxa"/>
            <w:gridSpan w:val="4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二、编制单位情况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主持编制单位名称（签章）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</w:rPr>
              <w:t>黑龙江环盛环保科技开发有限公司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社会信用代码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912301106802517341（1-1）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法定代表人（签字）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522" w:type="dxa"/>
            <w:gridSpan w:val="4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三、编制人员情况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329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编制主持人及联系电话</w:t>
            </w:r>
          </w:p>
        </w:tc>
        <w:tc>
          <w:tcPr>
            <w:tcW w:w="4193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于丽新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/0451-87613574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522" w:type="dxa"/>
            <w:gridSpan w:val="4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1.编制主持人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2130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姓名</w:t>
            </w:r>
          </w:p>
        </w:tc>
        <w:tc>
          <w:tcPr>
            <w:tcW w:w="4994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职业资格证书编号</w:t>
            </w:r>
          </w:p>
        </w:tc>
        <w:tc>
          <w:tcPr>
            <w:tcW w:w="1398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2130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于丽新</w:t>
            </w:r>
          </w:p>
        </w:tc>
        <w:tc>
          <w:tcPr>
            <w:tcW w:w="4994" w:type="dxa"/>
            <w:gridSpan w:val="2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00014156</w:t>
            </w:r>
          </w:p>
        </w:tc>
        <w:tc>
          <w:tcPr>
            <w:tcW w:w="1398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522" w:type="dxa"/>
            <w:gridSpan w:val="4"/>
          </w:tcPr>
          <w:p>
            <w:pPr>
              <w:rPr>
                <w:rFonts w:ascii="Times New Roman" w:hAnsi="Times New Roman" w:eastAsia="宋体" w:cs="Times New Roman"/>
                <w:color w:val="auto"/>
                <w:sz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</w:rPr>
              <w:t>2.主要编制人员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2130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姓名</w:t>
            </w:r>
          </w:p>
        </w:tc>
        <w:tc>
          <w:tcPr>
            <w:tcW w:w="2199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职业资格证书编号</w:t>
            </w:r>
          </w:p>
        </w:tc>
        <w:tc>
          <w:tcPr>
            <w:tcW w:w="2795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主要编写内容</w:t>
            </w:r>
          </w:p>
        </w:tc>
        <w:tc>
          <w:tcPr>
            <w:tcW w:w="1398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2130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于丽新</w:t>
            </w:r>
          </w:p>
        </w:tc>
        <w:tc>
          <w:tcPr>
            <w:tcW w:w="2199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00014156</w:t>
            </w:r>
          </w:p>
        </w:tc>
        <w:tc>
          <w:tcPr>
            <w:tcW w:w="279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lang w:val="en-US" w:eastAsia="zh-CN"/>
              </w:rPr>
              <w:t>全文</w:t>
            </w:r>
          </w:p>
        </w:tc>
        <w:tc>
          <w:tcPr>
            <w:tcW w:w="1398" w:type="dxa"/>
            <w:vAlign w:val="center"/>
          </w:tcPr>
          <w:p>
            <w:pPr>
              <w:pStyle w:val="47"/>
              <w:widowControl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  <w:jc w:val="center"/>
        </w:trPr>
        <w:tc>
          <w:tcPr>
            <w:tcW w:w="8522" w:type="dxa"/>
            <w:gridSpan w:val="4"/>
          </w:tcPr>
          <w:p>
            <w:pPr>
              <w:rPr>
                <w:rFonts w:ascii="Times New Roman" w:hAnsi="Times New Roman" w:eastAsia="宋体" w:cs="Times New Roman"/>
                <w:color w:val="auto"/>
                <w:sz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</w:rPr>
              <w:t>四、参与编制单位和人员情况</w:t>
            </w:r>
          </w:p>
        </w:tc>
      </w:tr>
    </w:tbl>
    <w:p>
      <w:pPr>
        <w:pStyle w:val="2"/>
        <w:tabs>
          <w:tab w:val="right" w:leader="dot" w:pos="8312"/>
        </w:tabs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>
      <w:pPr>
        <w:pStyle w:val="2"/>
        <w:tabs>
          <w:tab w:val="right" w:leader="dot" w:pos="8312"/>
        </w:tabs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>
      <w:pPr>
        <w:pStyle w:val="2"/>
        <w:tabs>
          <w:tab w:val="right" w:leader="dot" w:pos="8312"/>
        </w:tabs>
        <w:ind w:left="0"/>
        <w:jc w:val="both"/>
        <w:rPr>
          <w:rFonts w:ascii="Times New Roman" w:hAnsi="Times New Roman" w:cs="Times New Roman"/>
          <w:b/>
          <w:bCs/>
          <w:sz w:val="52"/>
          <w:szCs w:val="5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8835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1763_WPSOffice_Type1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_Toc17269_WPSOffice_Level1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cd6f4ffe-6f4d-4d7d-a3b6-ae2c579db274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</w:rPr>
                <w:t>一、建设项目基本情况</w:t>
              </w:r>
            </w:sdtContent>
          </w:sdt>
          <w:r>
            <w:tab/>
          </w:r>
          <w:bookmarkStart w:id="1" w:name="_Toc17269_WPSOffice_Level1Page"/>
          <w:r>
            <w:t>1</w:t>
          </w:r>
          <w:bookmarkEnd w:id="1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_Toc21763_WPSOffice_Level1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311da7be-ca15-403f-918d-676385f806fb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</w:rPr>
                <w:t>二、与本项目有关的原有污染情况及环境问题</w:t>
              </w:r>
            </w:sdtContent>
          </w:sdt>
          <w:r>
            <w:tab/>
          </w:r>
          <w:bookmarkStart w:id="2" w:name="_Toc21763_WPSOffice_Level1Page"/>
          <w:r>
            <w:t>8</w:t>
          </w:r>
          <w:bookmarkEnd w:id="2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_Toc29994_WPSOffice_Level1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e8b7a11c-ad7f-4630-994c-f6beb948da3e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三、</w:t>
              </w:r>
              <w:r>
                <w:rPr>
                  <w:rFonts w:ascii="Times New Roman" w:hAnsi="Times New Roman" w:eastAsia="宋体" w:cs="Times New Roman"/>
                </w:rPr>
                <w:t>建设项目所在地自然环境环境简况</w:t>
              </w:r>
            </w:sdtContent>
          </w:sdt>
          <w:r>
            <w:tab/>
          </w:r>
          <w:bookmarkStart w:id="3" w:name="_Toc29994_WPSOffice_Level1Page"/>
          <w:r>
            <w:t>9</w:t>
          </w:r>
          <w:bookmarkEnd w:id="3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_Toc30292_WPSOffice_Level1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7341ac12-8de6-4835-9705-ddae4f00103e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四</w:t>
              </w:r>
              <w:r>
                <w:rPr>
                  <w:rFonts w:ascii="Times New Roman" w:hAnsi="Times New Roman" w:eastAsia="宋体" w:cs="Times New Roman"/>
                </w:rPr>
                <w:t>、环境质量状况</w:t>
              </w:r>
            </w:sdtContent>
          </w:sdt>
          <w:r>
            <w:tab/>
          </w:r>
          <w:bookmarkStart w:id="4" w:name="_Toc30292_WPSOffice_Level1Page"/>
          <w:r>
            <w:t>12</w:t>
          </w:r>
          <w:bookmarkEnd w:id="4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_Toc27304_WPSOffice_Level1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ae9adad1-58fd-48b0-a19a-8fda817c62d6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五</w:t>
              </w:r>
              <w:r>
                <w:rPr>
                  <w:rFonts w:ascii="Times New Roman" w:hAnsi="Times New Roman" w:eastAsia="宋体" w:cs="Times New Roman"/>
                </w:rPr>
                <w:t>、主要环境保护目标（列出名单及保护级别）</w:t>
              </w:r>
            </w:sdtContent>
          </w:sdt>
          <w:r>
            <w:tab/>
          </w:r>
          <w:bookmarkStart w:id="5" w:name="_Toc27304_WPSOffice_Level1Page"/>
          <w:r>
            <w:t>17</w:t>
          </w:r>
          <w:bookmarkEnd w:id="5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_Toc4135_WPSOffice_Level1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75302de0-a819-4c90-b38d-9dab409c786d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六</w:t>
              </w:r>
              <w:r>
                <w:rPr>
                  <w:rFonts w:ascii="Times New Roman" w:hAnsi="Times New Roman" w:eastAsia="宋体" w:cs="Times New Roman"/>
                </w:rPr>
                <w:t>、评价适用标准</w:t>
              </w:r>
            </w:sdtContent>
          </w:sdt>
          <w:r>
            <w:tab/>
          </w:r>
          <w:bookmarkStart w:id="6" w:name="_Toc4135_WPSOffice_Level1Page"/>
          <w:r>
            <w:t>18</w:t>
          </w:r>
          <w:bookmarkEnd w:id="6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_Toc6761_WPSOffice_Level1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6ff5f173-e529-479e-b180-58fb791e897a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七</w:t>
              </w:r>
              <w:r>
                <w:rPr>
                  <w:rFonts w:ascii="Times New Roman" w:hAnsi="Times New Roman" w:eastAsia="宋体" w:cs="Times New Roman"/>
                </w:rPr>
                <w:t>、建设项目工程分析</w:t>
              </w:r>
            </w:sdtContent>
          </w:sdt>
          <w:r>
            <w:tab/>
          </w:r>
          <w:bookmarkStart w:id="7" w:name="_Toc6761_WPSOffice_Level1Page"/>
          <w:r>
            <w:t>21</w:t>
          </w:r>
          <w:bookmarkEnd w:id="7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_Toc17619_WPSOffice_Level1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cc7df1a4-b239-43d8-bf6c-ca5e95cf9c87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八、</w:t>
              </w:r>
              <w:r>
                <w:rPr>
                  <w:rFonts w:ascii="Times New Roman" w:hAnsi="Times New Roman" w:eastAsia="宋体" w:cs="Times New Roman"/>
                </w:rPr>
                <w:t>项目主要污染物产生及预计排放情况</w:t>
              </w:r>
            </w:sdtContent>
          </w:sdt>
          <w:r>
            <w:tab/>
          </w:r>
          <w:bookmarkStart w:id="8" w:name="_Toc17619_WPSOffice_Level1Page"/>
          <w:r>
            <w:t>27</w:t>
          </w:r>
          <w:bookmarkEnd w:id="8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_Toc32178_WPSOffice_Level1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335a39b6-17ee-4787-b765-89bbe9194497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九</w:t>
              </w:r>
              <w:r>
                <w:rPr>
                  <w:rFonts w:ascii="Times New Roman" w:hAnsi="Times New Roman" w:eastAsia="宋体" w:cs="Times New Roman"/>
                </w:rPr>
                <w:t>、环境影响分析</w:t>
              </w:r>
            </w:sdtContent>
          </w:sdt>
          <w:r>
            <w:tab/>
          </w:r>
          <w:bookmarkStart w:id="9" w:name="_Toc32178_WPSOffice_Level1Page"/>
          <w:r>
            <w:t>28</w:t>
          </w:r>
          <w:bookmarkEnd w:id="9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_Toc12209_WPSOffice_Level1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91c048c2-2fb9-4b76-840a-a5684b2102e3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十、</w:t>
              </w:r>
              <w:r>
                <w:rPr>
                  <w:rFonts w:ascii="Times New Roman" w:hAnsi="Times New Roman" w:eastAsia="宋体" w:cs="Times New Roman"/>
                </w:rPr>
                <w:t>建设项目拟采取的防治措施及预期效果</w:t>
              </w:r>
            </w:sdtContent>
          </w:sdt>
          <w:r>
            <w:tab/>
          </w:r>
          <w:bookmarkStart w:id="10" w:name="_Toc12209_WPSOffice_Level1Page"/>
          <w:r>
            <w:t>42</w:t>
          </w:r>
          <w:bookmarkEnd w:id="10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_Toc13587_WPSOffice_Level1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2ff80046-e422-4d1b-95c3-b2331cca5310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十一</w:t>
              </w:r>
              <w:r>
                <w:rPr>
                  <w:rFonts w:ascii="Times New Roman" w:hAnsi="Times New Roman" w:eastAsia="宋体" w:cs="Times New Roman"/>
                </w:rPr>
                <w:t>、结论与建议</w:t>
              </w:r>
            </w:sdtContent>
          </w:sdt>
          <w:r>
            <w:tab/>
          </w:r>
          <w:bookmarkStart w:id="11" w:name="_Toc13587_WPSOffice_Level1Page"/>
          <w:r>
            <w:t>44</w:t>
          </w:r>
          <w:bookmarkEnd w:id="11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_Toc32571_WPSOffice_Level1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a95990fb-a937-4433-a17f-4b9515f4c36d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ascii="Arial" w:hAnsi="Arial" w:eastAsia="黑体" w:cs="Times New Roman"/>
                </w:rPr>
                <w:t>附图1  项目地理位置图</w:t>
              </w:r>
            </w:sdtContent>
          </w:sdt>
          <w:r>
            <w:tab/>
          </w:r>
          <w:bookmarkStart w:id="12" w:name="_Toc32571_WPSOffice_Level1Page"/>
          <w:r>
            <w:t>47</w:t>
          </w:r>
          <w:bookmarkEnd w:id="12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_Toc19592_WPSOffice_Level1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10540136-6ec0-47c3-8cfb-e6709e1b36bb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="Times New Roman"/>
                </w:rPr>
                <w:t>附图2 厂区平面图</w:t>
              </w:r>
            </w:sdtContent>
          </w:sdt>
          <w:r>
            <w:tab/>
          </w:r>
          <w:bookmarkStart w:id="13" w:name="_Toc19592_WPSOffice_Level1Page"/>
          <w:r>
            <w:t>48</w:t>
          </w:r>
          <w:bookmarkEnd w:id="13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_Toc28998_WPSOffice_Level1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d09783ae-f088-46dc-a162-dad51f2e0d93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ascii="Arial" w:hAnsi="Arial" w:eastAsia="黑体" w:cs="Times New Roman"/>
                </w:rPr>
                <w:t>附图</w:t>
              </w:r>
              <w:r>
                <w:rPr>
                  <w:rFonts w:hint="eastAsia" w:ascii="Arial" w:hAnsi="Arial" w:eastAsia="黑体" w:cs="Times New Roman"/>
                </w:rPr>
                <w:t>3</w:t>
              </w:r>
              <w:r>
                <w:rPr>
                  <w:rFonts w:ascii="Arial" w:hAnsi="Arial" w:eastAsia="黑体" w:cs="Times New Roman"/>
                </w:rPr>
                <w:t>项目</w:t>
              </w:r>
              <w:r>
                <w:rPr>
                  <w:rFonts w:hint="eastAsia" w:ascii="Arial" w:hAnsi="Arial" w:eastAsia="黑体" w:cs="Times New Roman"/>
                </w:rPr>
                <w:t>周边环境现状图</w:t>
              </w:r>
            </w:sdtContent>
          </w:sdt>
          <w:r>
            <w:tab/>
          </w:r>
          <w:bookmarkStart w:id="14" w:name="_Toc28998_WPSOffice_Level1Page"/>
          <w:r>
            <w:t>49</w:t>
          </w:r>
          <w:bookmarkEnd w:id="14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_Toc27978_WPSOffice_Level1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c16678d1-7257-4e25-a2fa-d9707ddcddd3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="Times New Roman"/>
                </w:rPr>
                <w:t>附件1 营业执照（项目备案）</w:t>
              </w:r>
            </w:sdtContent>
          </w:sdt>
          <w:r>
            <w:tab/>
          </w:r>
          <w:bookmarkStart w:id="15" w:name="_Toc27978_WPSOffice_Level1Page"/>
          <w:r>
            <w:t>50</w:t>
          </w:r>
          <w:bookmarkEnd w:id="15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_Toc18935_WPSOffice_Level1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61697ce5-b0bd-48ce-9a39-76703a72c49c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="Times New Roman"/>
                </w:rPr>
                <w:t>附件2 土地使用文件</w:t>
              </w:r>
            </w:sdtContent>
          </w:sdt>
          <w:r>
            <w:tab/>
          </w:r>
          <w:bookmarkStart w:id="16" w:name="_Toc18935_WPSOffice_Level1Page"/>
          <w:r>
            <w:t>51</w:t>
          </w:r>
          <w:bookmarkEnd w:id="16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_Toc21364_WPSOffice_Level1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546ef2ac-d9bc-46f4-9e61-8a5d778f4777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="Times New Roman"/>
                </w:rPr>
                <w:t>附件3 引用验收意见和监测报告</w:t>
              </w:r>
            </w:sdtContent>
          </w:sdt>
          <w:r>
            <w:tab/>
          </w:r>
          <w:bookmarkStart w:id="17" w:name="_Toc21364_WPSOffice_Level1Page"/>
          <w:r>
            <w:t>52</w:t>
          </w:r>
          <w:bookmarkEnd w:id="17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_Toc25436_WPSOffice_Level1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ee3cb326-7130-48d8-8c1f-9e73b1b4e182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="Times New Roman"/>
                </w:rPr>
                <w:t>附件4 现状监测报告</w:t>
              </w:r>
            </w:sdtContent>
          </w:sdt>
          <w:r>
            <w:tab/>
          </w:r>
          <w:bookmarkStart w:id="18" w:name="_Toc25436_WPSOffice_Level1Page"/>
          <w:r>
            <w:t>72</w:t>
          </w:r>
          <w:bookmarkEnd w:id="18"/>
          <w:r>
            <w:fldChar w:fldCharType="end"/>
          </w:r>
        </w:p>
        <w:p>
          <w:pPr>
            <w:pStyle w:val="52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_Toc19897_WPSOffice_Level1 </w:instrText>
          </w:r>
          <w:r>
            <w:fldChar w:fldCharType="separate"/>
          </w:r>
          <w:sdt>
            <w:sdt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  <w:id w:val="147468835"/>
              <w:placeholder>
                <w:docPart w:val="{05a7a887-7b35-4f0e-ae0a-69bb057c0b80}"/>
              </w:placeholder>
              <w15:color w:val="509DF3"/>
            </w:sdtPr>
            <w:sdtEndPr>
              <w:rPr>
                <w:rFonts w:ascii="仿宋_GB2312" w:hAnsi="Times New Roman" w:eastAsia="仿宋_GB2312" w:cs="仿宋_GB2312"/>
                <w:color w:val="000000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大气自查表</w:t>
              </w:r>
            </w:sdtContent>
          </w:sdt>
          <w:r>
            <w:tab/>
          </w:r>
          <w:bookmarkStart w:id="19" w:name="_Toc19897_WPSOffice_Level1Page"/>
          <w:r>
            <w:t>89</w:t>
          </w:r>
          <w:bookmarkEnd w:id="19"/>
          <w:r>
            <w:fldChar w:fldCharType="end"/>
          </w:r>
          <w:bookmarkEnd w:id="0"/>
        </w:p>
      </w:sdtContent>
    </w:sdt>
    <w:p>
      <w:pPr>
        <w:pStyle w:val="25"/>
        <w:spacing w:line="500" w:lineRule="exact"/>
        <w:rPr>
          <w:rFonts w:ascii="Times New Roman" w:cs="Times New Roman"/>
        </w:rPr>
        <w:sectPr>
          <w:footerReference r:id="rId3" w:type="default"/>
          <w:pgSz w:w="11906" w:h="16838"/>
          <w:pgMar w:top="1418" w:right="1797" w:bottom="1701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</w:p>
    <w:p>
      <w:pPr>
        <w:keepNext/>
        <w:keepLines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0"/>
          <w:u w:val="single"/>
        </w:rPr>
      </w:pPr>
      <w:bookmarkStart w:id="20" w:name="_Toc17269_WPSOffice_Level1"/>
      <w:bookmarkStart w:id="21" w:name="_Toc28712"/>
      <w:bookmarkStart w:id="22" w:name="_Toc477165775"/>
      <w:bookmarkStart w:id="23" w:name="_Toc3002"/>
      <w:r>
        <w:rPr>
          <w:rFonts w:ascii="Times New Roman" w:hAnsi="Times New Roman" w:eastAsia="宋体" w:cs="Times New Roman"/>
          <w:b/>
          <w:bCs/>
          <w:sz w:val="30"/>
          <w:szCs w:val="30"/>
        </w:rPr>
        <w:t>一、建设项目基本情况</w:t>
      </w:r>
      <w:bookmarkEnd w:id="20"/>
      <w:bookmarkEnd w:id="21"/>
      <w:bookmarkEnd w:id="22"/>
    </w:p>
    <w:tbl>
      <w:tblPr>
        <w:tblStyle w:val="16"/>
        <w:tblpPr w:leftFromText="180" w:rightFromText="180" w:vertAnchor="text" w:horzAnchor="margin" w:tblpXSpec="center" w:tblpY="158"/>
        <w:tblW w:w="93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6"/>
        <w:gridCol w:w="1514"/>
        <w:gridCol w:w="1892"/>
        <w:gridCol w:w="1258"/>
        <w:gridCol w:w="730"/>
        <w:gridCol w:w="258"/>
        <w:gridCol w:w="503"/>
        <w:gridCol w:w="11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项目名称</w:t>
            </w:r>
          </w:p>
        </w:tc>
        <w:tc>
          <w:tcPr>
            <w:tcW w:w="7348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left="1200" w:hanging="1200" w:hangingChars="500"/>
              <w:jc w:val="center"/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同江市向阳镇燎原村生物有机肥建设项目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建设单位</w:t>
            </w:r>
          </w:p>
        </w:tc>
        <w:tc>
          <w:tcPr>
            <w:tcW w:w="7348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法人代表</w:t>
            </w:r>
          </w:p>
        </w:tc>
        <w:tc>
          <w:tcPr>
            <w:tcW w:w="3406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杨金彪</w:t>
            </w:r>
          </w:p>
        </w:tc>
        <w:tc>
          <w:tcPr>
            <w:tcW w:w="2246" w:type="dxa"/>
            <w:gridSpan w:val="3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联系人</w:t>
            </w:r>
          </w:p>
        </w:tc>
        <w:tc>
          <w:tcPr>
            <w:tcW w:w="169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杨金彪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通讯地址</w:t>
            </w:r>
          </w:p>
        </w:tc>
        <w:tc>
          <w:tcPr>
            <w:tcW w:w="7348" w:type="dxa"/>
            <w:gridSpan w:val="7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同江市向阳镇向阳村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联系电话</w:t>
            </w:r>
          </w:p>
        </w:tc>
        <w:tc>
          <w:tcPr>
            <w:tcW w:w="3406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13836680177</w:t>
            </w:r>
          </w:p>
        </w:tc>
        <w:tc>
          <w:tcPr>
            <w:tcW w:w="22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邮政编码</w:t>
            </w:r>
          </w:p>
        </w:tc>
        <w:tc>
          <w:tcPr>
            <w:tcW w:w="169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156400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建设地点</w:t>
            </w:r>
          </w:p>
        </w:tc>
        <w:tc>
          <w:tcPr>
            <w:tcW w:w="7348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同江市向阳镇燎原村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立项审批部门</w:t>
            </w:r>
          </w:p>
        </w:tc>
        <w:tc>
          <w:tcPr>
            <w:tcW w:w="3406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/</w:t>
            </w:r>
          </w:p>
        </w:tc>
        <w:tc>
          <w:tcPr>
            <w:tcW w:w="1988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批准文号</w:t>
            </w:r>
          </w:p>
        </w:tc>
        <w:tc>
          <w:tcPr>
            <w:tcW w:w="1954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建设性质</w:t>
            </w:r>
          </w:p>
        </w:tc>
        <w:tc>
          <w:tcPr>
            <w:tcW w:w="3406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新建</w:t>
            </w:r>
          </w:p>
        </w:tc>
        <w:tc>
          <w:tcPr>
            <w:tcW w:w="1988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行业类别及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代码</w:t>
            </w:r>
          </w:p>
        </w:tc>
        <w:tc>
          <w:tcPr>
            <w:tcW w:w="1954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肥料制造</w:t>
            </w:r>
          </w:p>
          <w:p>
            <w:pPr>
              <w:pStyle w:val="9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C262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用地面积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（平方米）</w:t>
            </w:r>
          </w:p>
        </w:tc>
        <w:tc>
          <w:tcPr>
            <w:tcW w:w="3406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3921</w:t>
            </w:r>
          </w:p>
        </w:tc>
        <w:tc>
          <w:tcPr>
            <w:tcW w:w="1988" w:type="dxa"/>
            <w:gridSpan w:val="2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绿化面积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064817664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2567305</wp:posOffset>
                      </wp:positionV>
                      <wp:extent cx="635" cy="0"/>
                      <wp:effectExtent l="0" t="0" r="0" b="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0.7pt;margin-top:202.15pt;height:0pt;width:0.05pt;z-index:1064817664;mso-width-relative:page;mso-height-relative:page;" filled="f" stroked="t" coordsize="21600,21600" o:gfxdata="UEsDBAoAAAAAAIdO4kAAAAAAAAAAAAAAAAAEAAAAZHJzL1BLAwQUAAAACACHTuJAnyahNtYAAAAJ&#10;AQAADwAAAGRycy9kb3ducmV2LnhtbE2PTU/DMAyG70j7D5EncZm2pFupUGm6A9Ablw3Qrl5j2orG&#10;6ZrsA349QZoER9uPXj9vsb7YXpxo9J1jDclCgSCunem40fD2Ws3vQfiAbLB3TBq+yMO6nNwUmBt3&#10;5g2dtqERMYR9jhraEIZcSl+3ZNEv3EAcbx9utBjiODbSjHiO4baXS6UyabHj+KHFgR5bqj+3R6vB&#10;V+90qL5n9UztVo2j5eHp5Rm1vp0m6gFEoEv4g+FXP6pDGZ327sjGi15DlqSR1JCqdAUiAllyB2J/&#10;XciykP8blD9QSwMEFAAAAAgAh07iQKN2qo7PAQAAcQMAAA4AAABkcnMvZTJvRG9jLnhtbK1TzW4T&#10;MRC+I/EOlu9kk6BWsMqmh1TlUiBSywM4tnfXwvZYHiebvAQvgMQNThy58zYtj8HY+aEtN8QeRjvj&#10;bz7PfDOeXWydZRsd0YBv+GQ05kx7Ccr4ruEfbq9evOIMk/BKWPC64TuN/GL+/NlsCLWeQg9W6ciI&#10;xGM9hIb3KYW6qlD22gkcQdCeDluITiRyY1epKAZid7aajsfn1QBRhQhSI1L0cn/I54W/bbVM79sW&#10;dWK24VRbKjYWu8q2ms9E3UUReiMPZYh/qMIJ4+nSE9WlSIKto/mLyhkZAaFNIwmugrY1UpceqJvJ&#10;+Ek3N70IuvRC4mA4yYT/j1a+2ywjM4pmx5kXjkZ0//nH3aevv35+IXv//RubZJGGgDVhF34Zc5ty&#10;62/CNciPyDwseuE7XYq93QViKBnVo5TsYKCrVsNbUIQR6wRFsW0bXaYkLdi2DGZ3GozeJiYpeP7y&#10;jDN5jFeiPiaFiOmNBsfyT8Ot8VkvUYvNNSYqm6BHSA57uDLWlplbz4aGvz6bZmYXSAD0XclFsEZl&#10;XM7A2K0WNrKNyAtUviwH8T6CRVh7tY9bn/N02b1DEcfm9zKuQO2WMYNznOZa6A47mBfnoV9Qf17K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fJqE21gAAAAkBAAAPAAAAAAAAAAEAIAAAACIAAABk&#10;cnMvZG93bnJldi54bWxQSwECFAAUAAAACACHTuJAo3aqjs8BAABxAwAADgAAAAAAAAABACAAAAAl&#10;AQAAZHJzL2Uyb0RvYy54bWxQSwUGAAAAAAYABgBZAQAAZ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szCs w:val="24"/>
              </w:rPr>
              <w:t>（平方米）</w:t>
            </w:r>
          </w:p>
        </w:tc>
        <w:tc>
          <w:tcPr>
            <w:tcW w:w="1954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2006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总投资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（万元）</w:t>
            </w:r>
          </w:p>
        </w:tc>
        <w:tc>
          <w:tcPr>
            <w:tcW w:w="1514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color w:val="FF000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4"/>
                <w:lang w:val="en-US" w:eastAsia="zh-CN"/>
              </w:rPr>
              <w:t>334</w:t>
            </w:r>
          </w:p>
        </w:tc>
        <w:tc>
          <w:tcPr>
            <w:tcW w:w="1892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其中：环保投资（万元）</w:t>
            </w:r>
          </w:p>
        </w:tc>
        <w:tc>
          <w:tcPr>
            <w:tcW w:w="1258" w:type="dxa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4"/>
                <w:lang w:val="en-US" w:eastAsia="zh-CN"/>
              </w:rPr>
              <w:t>40</w:t>
            </w:r>
          </w:p>
        </w:tc>
        <w:tc>
          <w:tcPr>
            <w:tcW w:w="1491" w:type="dxa"/>
            <w:gridSpan w:val="3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color w:val="auto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4"/>
              </w:rPr>
              <w:t>环保投资占总投资比例</w:t>
            </w:r>
          </w:p>
        </w:tc>
        <w:tc>
          <w:tcPr>
            <w:tcW w:w="11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4"/>
                <w:lang w:val="en-US" w:eastAsia="zh-CN"/>
              </w:rPr>
              <w:t>12.0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exact"/>
          <w:jc w:val="center"/>
        </w:trPr>
        <w:tc>
          <w:tcPr>
            <w:tcW w:w="2006" w:type="dxa"/>
            <w:tcBorders>
              <w:left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评价经费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（万元）</w:t>
            </w:r>
          </w:p>
        </w:tc>
        <w:tc>
          <w:tcPr>
            <w:tcW w:w="1514" w:type="dxa"/>
            <w:tcBorders>
              <w:left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/</w:t>
            </w:r>
          </w:p>
        </w:tc>
        <w:tc>
          <w:tcPr>
            <w:tcW w:w="1892" w:type="dxa"/>
            <w:tcBorders>
              <w:left w:val="single" w:color="auto" w:sz="4" w:space="0"/>
              <w:right w:val="nil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预期投产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日期</w:t>
            </w:r>
          </w:p>
        </w:tc>
        <w:tc>
          <w:tcPr>
            <w:tcW w:w="3942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201</w:t>
            </w: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 w:eastAsia="宋体" w:cs="Times New Roman"/>
                <w:szCs w:val="24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12</w:t>
            </w:r>
            <w:r>
              <w:rPr>
                <w:rFonts w:ascii="Times New Roman" w:hAnsi="Times New Roman" w:eastAsia="宋体" w:cs="Times New Roman"/>
                <w:szCs w:val="24"/>
              </w:rPr>
              <w:t>月</w:t>
            </w:r>
          </w:p>
        </w:tc>
      </w:tr>
    </w:tbl>
    <w:p>
      <w:pPr>
        <w:jc w:val="left"/>
        <w:rPr>
          <w:rFonts w:ascii="Times New Roman" w:hAnsi="Times New Roman" w:eastAsia="宋体" w:cs="Times New Roman"/>
          <w:b/>
          <w:kern w:val="2"/>
          <w:sz w:val="28"/>
          <w:szCs w:val="28"/>
          <w:lang w:val="en-US" w:eastAsia="zh-CN" w:bidi="ar-SA"/>
        </w:rPr>
      </w:pPr>
    </w:p>
    <w:tbl>
      <w:tblPr>
        <w:tblStyle w:val="16"/>
        <w:tblW w:w="9280" w:type="dxa"/>
        <w:jc w:val="center"/>
        <w:tblInd w:w="-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0" w:hRule="atLeast"/>
          <w:jc w:val="center"/>
        </w:trPr>
        <w:tc>
          <w:tcPr>
            <w:tcW w:w="9280" w:type="dxa"/>
          </w:tcPr>
          <w:p>
            <w:pPr>
              <w:rPr>
                <w:rFonts w:ascii="Times New Roman" w:hAnsi="Times New Roman" w:eastAsia="宋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sz w:val="28"/>
                <w:szCs w:val="28"/>
              </w:rPr>
              <w:t>工程内容及规模</w:t>
            </w:r>
          </w:p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hint="default" w:ascii="Times New Roman" w:hAnsi="Times New Roman" w:eastAsia="宋体" w:cs="Times New Roman"/>
                <w:b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4"/>
              </w:rPr>
              <w:t>一、项目由来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textAlignment w:val="bottom"/>
              <w:outlineLvl w:val="9"/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  <w:t>我国是一个拥有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13亿多人口的大国，人均耕地约为1.5亩，仅为世界人均占有量的三分之一。由于人口数量的增长，我国的粮食产量必须每年保持一定的增长比例。作为我国经济发展的一项战略目标，党中央、国务院确定粮食总产量要达到5千亿公斤，以确保人均每年四百公斤粮食的自给。为了实现这个目标，必须大幅度提高单位面积产量。而要达到这个目的，增加化肥生产和调整施肥结构又是主要科技手段之一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同江市有绿色水稻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等农副产品基地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，为满足市场对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生物质有机肥的需求，同江市向阳镇人民政府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结合先进的工艺技术，参考国内外同类生产线的规模，兼顾产品市场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，为贫困村增收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，决定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拟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建年产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15000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吨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生物质有机肥生产线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ind w:firstLine="480"/>
              <w:outlineLvl w:val="9"/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依照《中华人民共和国环境保护法》、《中华人民共和国环境影响评价法》以及国务院令第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682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号《建设项目环境保护管理条例》，必须对该建设项目进行环境影响评价。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根据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《关于切实加强风险防范严格环境影响评价管理的通知》（环发〔2012〕98号）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规定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同时参照中华人民共和国生态环境部“生态环境部部长信箱”中关于“新建加工硫酸铵颗粒肥项目是否必须进园入区的回复”中信息，本项目使用的原料及生产工艺，不会涉及到化学反应，属于纯物理混合，几乎不会引发环境风险，所以本项目不必进入工业园区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ind w:firstLine="480"/>
              <w:outlineLvl w:val="9"/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受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同江市向阳镇人民政府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的委托，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黑龙江环盛环保科技开发有限公司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承担了该项目的环境影响评价工作，并开展现场踏勘、资料收集、整理等工作，对有关环境现状和可能产生的环境影响进行分析后，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highlight w:val="none"/>
                <w:lang w:val="en-US" w:eastAsia="zh-CN"/>
              </w:rPr>
              <w:t>根据《建设项目环境影响评价分类管理名录》中的“废旧资源（含生物质）加工、再生利用”规定，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编制了该项目环境影响报告表，提交环保主管部门及有关专家审查。</w:t>
            </w:r>
          </w:p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二、项目概况</w:t>
            </w:r>
          </w:p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1、项目建设概况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（1）项目名称：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同江市向阳镇燎原村生物有机肥建设项目</w:t>
            </w:r>
          </w:p>
          <w:p>
            <w:pPr>
              <w:ind w:firstLine="480" w:firstLineChars="200"/>
              <w:textAlignment w:val="baseline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（2）建设性质：新建</w:t>
            </w:r>
          </w:p>
          <w:p>
            <w:pPr>
              <w:ind w:firstLine="480" w:firstLineChars="200"/>
              <w:textAlignment w:val="baseline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（3）建设单位：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eastAsia="zh-CN"/>
              </w:rPr>
              <w:t>同江市向阳镇人民政府</w:t>
            </w:r>
          </w:p>
          <w:p>
            <w:pPr>
              <w:ind w:firstLine="480" w:firstLineChars="200"/>
              <w:textAlignment w:val="baseline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（4）建设地点：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同江市向阳镇燎原村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（5）占地面</w:t>
            </w:r>
            <w:r>
              <w:rPr>
                <w:rFonts w:hint="default" w:ascii="Times New Roman" w:hAnsi="Times New Roman" w:cs="Times New Roman" w:eastAsiaTheme="minorEastAsia"/>
                <w:szCs w:val="24"/>
                <w:highlight w:val="none"/>
              </w:rPr>
              <w:t>积：</w:t>
            </w:r>
            <w:r>
              <w:rPr>
                <w:rFonts w:hint="eastAsia" w:ascii="Times New Roman" w:hAnsi="Times New Roman" w:eastAsia="宋体" w:cs="Times New Roman"/>
                <w:szCs w:val="24"/>
                <w:highlight w:val="none"/>
                <w:lang w:val="en-US" w:eastAsia="zh-CN"/>
              </w:rPr>
              <w:t>3921</w:t>
            </w:r>
            <w:r>
              <w:rPr>
                <w:rFonts w:hint="default" w:ascii="Times New Roman" w:hAnsi="Times New Roman" w:cs="Times New Roman" w:eastAsiaTheme="minorEastAsia"/>
                <w:szCs w:val="24"/>
                <w:highlight w:val="none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szCs w:val="24"/>
                <w:highlight w:val="none"/>
                <w:vertAlign w:val="superscript"/>
              </w:rPr>
              <w:t>2</w:t>
            </w:r>
          </w:p>
          <w:p>
            <w:pPr>
              <w:ind w:firstLine="480" w:firstLineChars="200"/>
              <w:rPr>
                <w:rFonts w:hint="eastAsia" w:ascii="Times New Roman" w:hAnsi="Times New Roman" w:cs="Times New Roman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（6）生产规模：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  <w:t>生产能力为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 xml:space="preserve">15000 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t/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a生物质有机肥。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（7）项目投资：该项目总投资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334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万元。</w:t>
            </w:r>
          </w:p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2、项目建设地点及周边概况</w:t>
            </w:r>
          </w:p>
          <w:p>
            <w:pPr>
              <w:ind w:firstLine="480" w:firstLineChars="200"/>
              <w:textAlignment w:val="baseline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项目位于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同江市向阳镇燎原村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。厂界南侧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隔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乡道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为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农田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，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东侧、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西侧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和北侧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  <w:t>为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农田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。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项目地理位置图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同江市向阳镇燎原村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见附图1，项目平面布置示意图见附图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，项目周边现状图见附图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。</w:t>
            </w:r>
          </w:p>
          <w:p>
            <w:pPr>
              <w:ind w:firstLine="482" w:firstLineChars="200"/>
              <w:textAlignment w:val="baseline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3、项目建设内容及规模</w:t>
            </w:r>
          </w:p>
          <w:p>
            <w:pPr>
              <w:ind w:firstLine="480" w:firstLineChars="200"/>
              <w:textAlignment w:val="baseline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项目位于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同江市向阳镇燎原村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，</w:t>
            </w:r>
            <w:r>
              <w:rPr>
                <w:rFonts w:hint="default" w:ascii="Times New Roman" w:hAnsi="Times New Roman" w:cs="Times New Roman" w:eastAsiaTheme="minorEastAsia"/>
                <w:highlight w:val="none"/>
              </w:rPr>
              <w:t>占地面积</w:t>
            </w:r>
            <w:r>
              <w:rPr>
                <w:rFonts w:hint="eastAsia" w:ascii="Times New Roman" w:hAnsi="Times New Roman" w:eastAsia="宋体" w:cs="Times New Roman"/>
                <w:szCs w:val="24"/>
                <w:highlight w:val="none"/>
                <w:lang w:val="en-US" w:eastAsia="zh-CN"/>
              </w:rPr>
              <w:t>3921</w:t>
            </w:r>
            <w:r>
              <w:rPr>
                <w:rFonts w:hint="default" w:ascii="Times New Roman" w:hAnsi="Times New Roman" w:cs="Times New Roman" w:eastAsiaTheme="minorEastAsia"/>
                <w:szCs w:val="24"/>
                <w:highlight w:val="none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szCs w:val="24"/>
                <w:highlight w:val="none"/>
                <w:vertAlign w:val="superscript"/>
              </w:rPr>
              <w:t>2</w:t>
            </w:r>
            <w:r>
              <w:rPr>
                <w:rFonts w:hint="default" w:ascii="Times New Roman" w:hAnsi="Times New Roman" w:cs="Times New Roman" w:eastAsiaTheme="minorEastAsia"/>
                <w:highlight w:val="none"/>
              </w:rPr>
              <w:t>。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新建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1层砖混结构厂房，主要用于原料暂存及发酵，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lang w:val="en-US" w:eastAsia="zh-CN"/>
              </w:rPr>
              <w:t>建筑面积为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879.76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新建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1层砖混结构厂房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vertAlign w:val="baseline"/>
                <w:lang w:eastAsia="zh-CN"/>
              </w:rPr>
              <w:t>主要用于肥料加工及产品暂存，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建筑面积为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696.19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Cs w:val="24"/>
                <w:highlight w:val="none"/>
                <w:lang w:eastAsia="zh-CN"/>
              </w:rPr>
              <w:t>。</w:t>
            </w:r>
            <w:r>
              <w:rPr>
                <w:rFonts w:hint="default" w:ascii="Times New Roman" w:hAnsi="Times New Roman" w:cs="Times New Roman" w:eastAsiaTheme="minorEastAsia"/>
                <w:szCs w:val="24"/>
                <w:highlight w:val="none"/>
                <w:lang w:eastAsia="zh-CN"/>
              </w:rPr>
              <w:t>年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  <w:t>产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生物质有机肥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15000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。本项目主要构筑物详见表1-1。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bottom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 w:val="21"/>
                <w:szCs w:val="21"/>
              </w:rPr>
              <w:t>表1-1  本项目建设内容一览表</w:t>
            </w:r>
          </w:p>
          <w:tbl>
            <w:tblPr>
              <w:tblStyle w:val="16"/>
              <w:tblW w:w="8957" w:type="dxa"/>
              <w:jc w:val="center"/>
              <w:tblInd w:w="119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2"/>
              <w:gridCol w:w="1419"/>
              <w:gridCol w:w="5666"/>
              <w:gridCol w:w="900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工程</w:t>
                  </w:r>
                </w:p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类别</w:t>
                  </w: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工程名称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工程内容及规模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restar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主体</w:t>
                  </w:r>
                </w:p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工程</w:t>
                  </w: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发酵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  <w:t>间</w:t>
                  </w:r>
                </w:p>
              </w:tc>
              <w:tc>
                <w:tcPr>
                  <w:tcW w:w="5666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建设地点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 w:val="21"/>
                      <w:szCs w:val="21"/>
                      <w:lang w:eastAsia="zh-CN"/>
                    </w:rPr>
                    <w:t>同江市向阳镇燎原村，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新建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1层砖混结构厂房，主要用于原料暂存及发酵，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val="en-US" w:eastAsia="zh-CN"/>
                    </w:rPr>
                    <w:t>建筑面积为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879.76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m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粉料车间</w:t>
                  </w:r>
                </w:p>
              </w:tc>
              <w:tc>
                <w:tcPr>
                  <w:tcW w:w="5666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建设地点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 w:val="21"/>
                      <w:szCs w:val="21"/>
                      <w:lang w:eastAsia="zh-CN"/>
                    </w:rPr>
                    <w:t>同江市向阳镇燎原村，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新建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1层砖混结构厂房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vertAlign w:val="baseline"/>
                      <w:lang w:eastAsia="zh-CN"/>
                    </w:rPr>
                    <w:t>主要用于肥料加工及产品暂存，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建筑面积为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696.19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m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辅助工程</w:t>
                  </w: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办公室</w:t>
                  </w:r>
                </w:p>
              </w:tc>
              <w:tc>
                <w:tcPr>
                  <w:tcW w:w="5666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建设地点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 w:val="21"/>
                      <w:szCs w:val="21"/>
                      <w:lang w:eastAsia="zh-CN"/>
                    </w:rPr>
                    <w:t>同江市向阳镇燎原村，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1层砖混结构房屋，建筑面积360m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vertAlign w:val="superscript"/>
                      <w:lang w:val="en-US" w:eastAsia="zh-CN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，用于员工日常办公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二期</w:t>
                  </w:r>
                </w:p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restar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公用</w:t>
                  </w:r>
                </w:p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工程</w:t>
                  </w: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供水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自打水井，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用于日常用水，员工饮用水为桶装矿泉水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供电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由当地供电部门提供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排水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pStyle w:val="28"/>
                    <w:spacing w:beforeLines="0" w:afterLines="0" w:line="360" w:lineRule="auto"/>
                    <w:ind w:firstLine="480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本项目无生产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废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水产生，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废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水主要为生活污水，生活污水</w:t>
                  </w:r>
                  <w:r>
                    <w:rPr>
                      <w:rFonts w:hint="eastAsia" w:hAnsi="宋体"/>
                      <w:color w:val="auto"/>
                      <w:kern w:val="0"/>
                      <w:sz w:val="21"/>
                      <w:szCs w:val="21"/>
                    </w:rPr>
                    <w:t>用于厂区降尘，设防渗旱厕，定期清掏外运堆肥。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  <w:t>供暖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  <w:t>采用电取暖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restart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环保</w:t>
                  </w:r>
                </w:p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工程</w:t>
                  </w: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废水污染防治措施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pStyle w:val="26"/>
                    <w:topLinePunct/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</w:rPr>
                    <w:t>生活污水</w:t>
                  </w: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1"/>
                      <w:szCs w:val="21"/>
                    </w:rPr>
                    <w:t>用于厂区降尘，设防渗旱厕，定期清掏外运堆肥。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大气污染防治措施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pStyle w:val="26"/>
                    <w:topLinePunct/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在产尘处上方安装集气罩，集气效率为9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0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%，经布袋除尘器（除尘效率为99%）处理，由一根15m高排气筒排放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，同时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生产车间内设置通风排风扇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。达到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《大气污染物综合排放标准》（GB16297-1996）表2中二级标准限值以及无组织排放监控浓度限值要求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；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堆肥废气经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RW酵素剂除臭+集气罩负压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收集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+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活性炭吸附处理后，经同一个根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15m排气筒排放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。达到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《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恶臭污染物排放标准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》（GB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14554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-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93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）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排放二级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标准限值要求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。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噪声防治措施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使用低噪声设备、设备安装基础减振弹簧垫、生产时车间封闭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，夜间不生产，达到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《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工业企业厂界环境噪声排放标准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》（GB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12348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-2008）中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类标准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新建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72" w:type="dxa"/>
                  <w:vMerge w:val="continue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</w:p>
              </w:tc>
              <w:tc>
                <w:tcPr>
                  <w:tcW w:w="1419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固废防治措施</w:t>
                  </w:r>
                </w:p>
              </w:tc>
              <w:tc>
                <w:tcPr>
                  <w:tcW w:w="5666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color w:val="auto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生活垃圾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和废活性炭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集中收集，由市政环卫部门统一处理；除尘器收集到的粉尘回用于生产；废包装物，集中收集，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eastAsia="zh-CN"/>
                    </w:rPr>
                    <w:t>外售综合利用，处置效率</w:t>
                  </w: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100%</w:t>
                  </w:r>
                </w:p>
              </w:tc>
              <w:tc>
                <w:tcPr>
                  <w:tcW w:w="900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auto"/>
                      <w:sz w:val="21"/>
                      <w:szCs w:val="21"/>
                    </w:rPr>
                    <w:t>新建</w:t>
                  </w:r>
                </w:p>
              </w:tc>
            </w:tr>
          </w:tbl>
          <w:p>
            <w:pPr>
              <w:ind w:firstLine="482" w:firstLineChars="200"/>
              <w:textAlignment w:val="baseline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4、项目主要设备</w:t>
            </w:r>
          </w:p>
          <w:p>
            <w:pPr>
              <w:ind w:firstLine="480" w:firstLineChars="200"/>
              <w:textAlignment w:val="baseline"/>
              <w:rPr>
                <w:rFonts w:ascii="Times New Roman" w:hAnsi="Times New Roman" w:eastAsia="宋体" w:cs="Times New Roman"/>
                <w:bCs/>
              </w:rPr>
            </w:pPr>
            <w:r>
              <w:rPr>
                <w:rFonts w:ascii="Times New Roman" w:hAnsi="Times New Roman" w:eastAsia="宋体" w:cs="Times New Roman"/>
                <w:bCs/>
              </w:rPr>
              <w:t>项目主要设备如下表所示。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表1-2  主要设备清单一览表</w:t>
            </w:r>
          </w:p>
          <w:tbl>
            <w:tblPr>
              <w:tblStyle w:val="16"/>
              <w:tblW w:w="9071" w:type="dxa"/>
              <w:jc w:val="center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7"/>
              <w:gridCol w:w="2954"/>
              <w:gridCol w:w="3020"/>
              <w:gridCol w:w="2070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9" w:hRule="atLeast"/>
                <w:tblHeader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项目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数量（台，座，件）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>规格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/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>型号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 xml:space="preserve"> 1</w:t>
                  </w:r>
                </w:p>
              </w:tc>
              <w:tc>
                <w:tcPr>
                  <w:tcW w:w="2954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铲车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070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30铲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954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叉车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070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3吨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954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秸秆粉碎机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 xml:space="preserve">JGF-600     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954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水井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070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954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变压器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070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2954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电线电缆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070" w:type="dxa"/>
                  <w:vAlign w:val="top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蛟龙翻抛机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default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JL-14000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调速入料仓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1.8*3.0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卧式粉碎机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650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筛分机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FS-1500型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11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皮带输送机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36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PS-600型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12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自动包装机（粉料）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BZC-300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13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装车输送机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ZC-600型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1027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14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配电柜</w:t>
                  </w:r>
                </w:p>
              </w:tc>
              <w:tc>
                <w:tcPr>
                  <w:tcW w:w="302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070" w:type="dxa"/>
                  <w:vAlign w:val="center"/>
                </w:tcPr>
                <w:p>
                  <w:pPr>
                    <w:pStyle w:val="27"/>
                    <w:jc w:val="center"/>
                    <w:rPr>
                      <w:rFonts w:hint="eastAsia" w:ascii="Times New Roman" w:hAnsi="Times New Roman" w:cs="Times New Roman" w:eastAsiaTheme="minorEastAsia"/>
                      <w:kern w:val="2"/>
                      <w:position w:val="0"/>
                      <w:sz w:val="21"/>
                      <w:szCs w:val="21"/>
                      <w:lang w:val="en-US" w:eastAsia="zh-CN"/>
                    </w:rPr>
                  </w:pPr>
                </w:p>
              </w:tc>
            </w:tr>
          </w:tbl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5、主要原辅材料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 w:val="21"/>
                <w:szCs w:val="21"/>
              </w:rPr>
              <w:t>表</w:t>
            </w: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</w:rPr>
              <w:t>1-3</w:t>
            </w:r>
            <w:r>
              <w:rPr>
                <w:rFonts w:ascii="Times New Roman" w:hAnsi="Times New Roman" w:eastAsia="宋体" w:cs="Times New Roman"/>
                <w:b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b/>
                <w:sz w:val="21"/>
                <w:szCs w:val="21"/>
              </w:rPr>
              <w:t>本项目</w:t>
            </w: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</w:rPr>
              <w:t>主要原材料</w:t>
            </w:r>
          </w:p>
          <w:tbl>
            <w:tblPr>
              <w:tblStyle w:val="16"/>
              <w:tblW w:w="9054" w:type="dxa"/>
              <w:jc w:val="center"/>
              <w:tblInd w:w="-522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24"/>
              <w:gridCol w:w="1514"/>
              <w:gridCol w:w="1334"/>
              <w:gridCol w:w="2085"/>
              <w:gridCol w:w="2497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6" w:hRule="atLeast"/>
                <w:jc w:val="center"/>
              </w:trPr>
              <w:tc>
                <w:tcPr>
                  <w:tcW w:w="1624" w:type="dxa"/>
                  <w:vAlign w:val="center"/>
                </w:tcPr>
                <w:p>
                  <w:pPr>
                    <w:spacing w:line="0" w:lineRule="atLeast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514" w:type="dxa"/>
                  <w:vAlign w:val="center"/>
                </w:tcPr>
                <w:p>
                  <w:pPr>
                    <w:spacing w:line="0" w:lineRule="atLeast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名称</w:t>
                  </w:r>
                </w:p>
              </w:tc>
              <w:tc>
                <w:tcPr>
                  <w:tcW w:w="1334" w:type="dxa"/>
                  <w:vAlign w:val="center"/>
                </w:tcPr>
                <w:p>
                  <w:pPr>
                    <w:spacing w:line="0" w:lineRule="atLeast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单位</w:t>
                  </w:r>
                </w:p>
              </w:tc>
              <w:tc>
                <w:tcPr>
                  <w:tcW w:w="2085" w:type="dxa"/>
                  <w:vAlign w:val="center"/>
                </w:tcPr>
                <w:p>
                  <w:pPr>
                    <w:spacing w:line="0" w:lineRule="atLeast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年用量</w:t>
                  </w:r>
                </w:p>
              </w:tc>
              <w:tc>
                <w:tcPr>
                  <w:tcW w:w="2497" w:type="dxa"/>
                  <w:vAlign w:val="center"/>
                </w:tcPr>
                <w:p>
                  <w:pPr>
                    <w:spacing w:line="0" w:lineRule="atLeast"/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" w:hRule="atLeast"/>
                <w:jc w:val="center"/>
              </w:trPr>
              <w:tc>
                <w:tcPr>
                  <w:tcW w:w="1624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51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秸秆</w:t>
                  </w:r>
                </w:p>
              </w:tc>
              <w:tc>
                <w:tcPr>
                  <w:tcW w:w="133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Ansi="宋体"/>
                      <w:kern w:val="0"/>
                      <w:sz w:val="21"/>
                      <w:szCs w:val="21"/>
                    </w:rPr>
                    <w:t>吨</w:t>
                  </w:r>
                </w:p>
              </w:tc>
              <w:tc>
                <w:tcPr>
                  <w:tcW w:w="2085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0.9万60%</w:t>
                  </w:r>
                </w:p>
              </w:tc>
              <w:tc>
                <w:tcPr>
                  <w:tcW w:w="2497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本地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" w:hRule="atLeast"/>
                <w:jc w:val="center"/>
              </w:trPr>
              <w:tc>
                <w:tcPr>
                  <w:tcW w:w="1624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hAnsi="宋体" w:eastAsia="宋体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151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草炭土</w:t>
                  </w:r>
                </w:p>
              </w:tc>
              <w:tc>
                <w:tcPr>
                  <w:tcW w:w="133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Ansi="宋体"/>
                      <w:kern w:val="0"/>
                      <w:sz w:val="21"/>
                      <w:szCs w:val="21"/>
                    </w:rPr>
                    <w:t>吨</w:t>
                  </w:r>
                </w:p>
              </w:tc>
              <w:tc>
                <w:tcPr>
                  <w:tcW w:w="2085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0.3万20%</w:t>
                  </w:r>
                </w:p>
              </w:tc>
              <w:tc>
                <w:tcPr>
                  <w:tcW w:w="2497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本地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" w:hRule="atLeast"/>
                <w:jc w:val="center"/>
              </w:trPr>
              <w:tc>
                <w:tcPr>
                  <w:tcW w:w="1624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hAnsi="宋体" w:eastAsia="宋体"/>
                      <w:sz w:val="21"/>
                      <w:szCs w:val="21"/>
                      <w:lang w:val="en-US" w:eastAsia="zh-CN"/>
                    </w:rPr>
                    <w:t>3</w:t>
                  </w:r>
                </w:p>
              </w:tc>
              <w:tc>
                <w:tcPr>
                  <w:tcW w:w="151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腐植酸</w:t>
                  </w:r>
                </w:p>
              </w:tc>
              <w:tc>
                <w:tcPr>
                  <w:tcW w:w="133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Ansi="宋体"/>
                      <w:kern w:val="0"/>
                      <w:sz w:val="21"/>
                      <w:szCs w:val="21"/>
                    </w:rPr>
                    <w:t>吨</w:t>
                  </w:r>
                </w:p>
              </w:tc>
              <w:tc>
                <w:tcPr>
                  <w:tcW w:w="2085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0.225万15%</w:t>
                  </w:r>
                </w:p>
              </w:tc>
              <w:tc>
                <w:tcPr>
                  <w:tcW w:w="2497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本地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" w:hRule="atLeast"/>
                <w:jc w:val="center"/>
              </w:trPr>
              <w:tc>
                <w:tcPr>
                  <w:tcW w:w="1624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  <w:lang w:val="en-US" w:eastAsia="zh-CN"/>
                    </w:rPr>
                    <w:t>4</w:t>
                  </w:r>
                </w:p>
              </w:tc>
              <w:tc>
                <w:tcPr>
                  <w:tcW w:w="151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膨润土</w:t>
                  </w:r>
                </w:p>
              </w:tc>
              <w:tc>
                <w:tcPr>
                  <w:tcW w:w="1334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吨</w:t>
                  </w:r>
                </w:p>
              </w:tc>
              <w:tc>
                <w:tcPr>
                  <w:tcW w:w="2085" w:type="dxa"/>
                  <w:vAlign w:val="center"/>
                </w:tcPr>
                <w:p>
                  <w:pPr>
                    <w:widowControl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0.075万5%</w:t>
                  </w:r>
                </w:p>
              </w:tc>
              <w:tc>
                <w:tcPr>
                  <w:tcW w:w="2497" w:type="dxa"/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hAnsi="宋体"/>
                      <w:sz w:val="21"/>
                      <w:szCs w:val="21"/>
                    </w:rPr>
                    <w:t>本地</w:t>
                  </w:r>
                </w:p>
              </w:tc>
            </w:tr>
          </w:tbl>
          <w:p>
            <w:pPr>
              <w:ind w:firstLine="480" w:firstLineChars="200"/>
              <w:jc w:val="both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eastAsia="zh-CN"/>
              </w:rPr>
              <w:t>《有机肥料标准》（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NY525-2012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eastAsia="zh-CN"/>
              </w:rPr>
              <w:t>）中规定此标准适用于畜禽粪便、动植物残体等富含有机质的副产品资源为主要原料，经发酵腐熟后制成的有机肥料，有机肥料的项目指标要求如下：有机质含量（以干基计）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/(%)≥45，水分（游离水）含量/(%)≤30，酸碱度pH为5.5-8.5。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表</w:t>
            </w: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val="en-US" w:eastAsia="zh-CN"/>
              </w:rPr>
              <w:t xml:space="preserve">1-4 </w:t>
            </w: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产品方案一览表</w:t>
            </w:r>
          </w:p>
          <w:tbl>
            <w:tblPr>
              <w:tblStyle w:val="17"/>
              <w:tblW w:w="9138" w:type="dxa"/>
              <w:tblInd w:w="1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85"/>
              <w:gridCol w:w="2200"/>
              <w:gridCol w:w="1538"/>
              <w:gridCol w:w="1512"/>
              <w:gridCol w:w="2803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85" w:type="dxa"/>
                  <w:tcBorders>
                    <w:top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  <w:t>序号</w:t>
                  </w:r>
                </w:p>
              </w:tc>
              <w:tc>
                <w:tcPr>
                  <w:tcW w:w="2200" w:type="dxa"/>
                  <w:tcBorders>
                    <w:top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  <w:t>产品名称</w:t>
                  </w:r>
                </w:p>
              </w:tc>
              <w:tc>
                <w:tcPr>
                  <w:tcW w:w="1538" w:type="dxa"/>
                  <w:tcBorders>
                    <w:top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  <w:t>产量</w:t>
                  </w:r>
                </w:p>
              </w:tc>
              <w:tc>
                <w:tcPr>
                  <w:tcW w:w="1512" w:type="dxa"/>
                  <w:tcBorders>
                    <w:top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  <w:t>单位</w:t>
                  </w:r>
                </w:p>
              </w:tc>
              <w:tc>
                <w:tcPr>
                  <w:tcW w:w="2803" w:type="dxa"/>
                  <w:tcBorders>
                    <w:top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  <w:t>产品去向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85" w:type="dxa"/>
                  <w:tcBorders>
                    <w:bottom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2200" w:type="dxa"/>
                  <w:tcBorders>
                    <w:bottom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>生物质有机肥</w:t>
                  </w:r>
                </w:p>
              </w:tc>
              <w:tc>
                <w:tcPr>
                  <w:tcW w:w="1538" w:type="dxa"/>
                  <w:tcBorders>
                    <w:bottom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val="en-US" w:eastAsia="zh-CN"/>
                    </w:rPr>
                    <w:t>15000</w:t>
                  </w:r>
                </w:p>
              </w:tc>
              <w:tc>
                <w:tcPr>
                  <w:tcW w:w="1512" w:type="dxa"/>
                  <w:tcBorders>
                    <w:bottom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t/a</w:t>
                  </w:r>
                </w:p>
              </w:tc>
              <w:tc>
                <w:tcPr>
                  <w:tcW w:w="2803" w:type="dxa"/>
                  <w:tcBorders>
                    <w:bottom w:val="single" w:color="auto" w:sz="12" w:space="0"/>
                  </w:tcBorders>
                  <w:vAlign w:val="center"/>
                </w:tcPr>
                <w:p>
                  <w:pPr>
                    <w:pStyle w:val="9"/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vertAlign w:val="baseline"/>
                      <w:lang w:eastAsia="zh-CN"/>
                    </w:rPr>
                    <w:t>外售</w:t>
                  </w:r>
                </w:p>
              </w:tc>
            </w:tr>
          </w:tbl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6</w:t>
            </w:r>
            <w:r>
              <w:rPr>
                <w:rFonts w:ascii="Times New Roman" w:hAnsi="Times New Roman" w:eastAsia="宋体" w:cs="Times New Roman"/>
                <w:b/>
                <w:szCs w:val="24"/>
              </w:rPr>
              <w:t>、劳动定员和工作制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度</w:t>
            </w:r>
          </w:p>
          <w:p>
            <w:pPr>
              <w:pStyle w:val="28"/>
              <w:spacing w:beforeLines="0" w:afterLines="0" w:line="360" w:lineRule="auto"/>
              <w:ind w:firstLine="480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项目劳动定员</w:t>
            </w:r>
            <w:r>
              <w:rPr>
                <w:rFonts w:hint="default" w:ascii="Times New Roman" w:hAnsi="Times New Roman" w:cs="Times New Roman" w:eastAsiaTheme="minorEastAsia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</w:rPr>
              <w:t>人；本项目建成后年工作日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275</w:t>
            </w:r>
            <w:r>
              <w:rPr>
                <w:rFonts w:hint="default" w:ascii="Times New Roman" w:hAnsi="Times New Roman" w:cs="Times New Roman" w:eastAsiaTheme="minorEastAsia"/>
              </w:rPr>
              <w:t>天，采每天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 w:eastAsiaTheme="minorEastAsia"/>
              </w:rPr>
              <w:t>小时</w:t>
            </w:r>
            <w:r>
              <w:rPr>
                <w:rFonts w:hint="eastAsia" w:ascii="Times New Roman" w:hAnsi="Times New Roman" w:cs="Times New Roman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 w:eastAsiaTheme="minorEastAsia"/>
              </w:rPr>
              <w:t>班制。</w:t>
            </w:r>
          </w:p>
          <w:p>
            <w:pPr>
              <w:autoSpaceDE w:val="0"/>
              <w:autoSpaceDN w:val="0"/>
              <w:ind w:firstLine="482" w:firstLineChars="200"/>
              <w:textAlignment w:val="bottom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7</w:t>
            </w:r>
            <w:r>
              <w:rPr>
                <w:rFonts w:ascii="Times New Roman" w:hAnsi="Times New Roman" w:eastAsia="宋体" w:cs="Times New Roman"/>
                <w:b/>
                <w:szCs w:val="24"/>
              </w:rPr>
              <w:t>、公用工程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（1）给水</w:t>
            </w:r>
          </w:p>
          <w:p>
            <w:pPr>
              <w:pStyle w:val="28"/>
              <w:spacing w:beforeLines="0" w:afterLines="0" w:line="360" w:lineRule="auto"/>
              <w:ind w:firstLine="480"/>
              <w:rPr>
                <w:rFonts w:hint="default" w:ascii="Times New Roman" w:hAnsi="Times New Roman" w:cs="Times New Roman" w:eastAsiaTheme="minorEastAsia"/>
                <w:color w:val="auto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项目用水为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自打水井提供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，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引用水为桶装水，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无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生产用水，可保证项目生活用水需求。项目建成后工作人员约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人，年工作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275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天，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根据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24"/>
                <w:szCs w:val="24"/>
              </w:rPr>
              <w:t>黑龙江省地方标准用水定额》（DB23/T727-201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24"/>
                <w:szCs w:val="24"/>
              </w:rPr>
              <w:t>）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生活用水按每人30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L/d计，则项目用水量0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.6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t/d，年用水量为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165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t/a。</w:t>
            </w:r>
          </w:p>
          <w:p>
            <w:pPr>
              <w:pStyle w:val="28"/>
              <w:spacing w:beforeLines="0" w:afterLines="0" w:line="360" w:lineRule="auto"/>
              <w:ind w:firstLine="480"/>
              <w:rPr>
                <w:rFonts w:hint="default" w:ascii="Times New Roman" w:hAnsi="Times New Roman" w:cs="Times New Roman" w:eastAsiaTheme="minorEastAsia"/>
                <w:color w:val="auto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（2）排水</w:t>
            </w:r>
          </w:p>
          <w:p>
            <w:pPr>
              <w:pStyle w:val="28"/>
              <w:spacing w:beforeLines="0" w:afterLines="0" w:line="360" w:lineRule="auto"/>
              <w:ind w:firstLine="480"/>
              <w:rPr>
                <w:rFonts w:hint="default" w:ascii="Times New Roman" w:hAnsi="Times New Roman" w:cs="Times New Roman" w:eastAsiaTheme="minorEastAsia"/>
                <w:color w:val="auto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本项目排水主要为生活污水，生活污水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产生量按用水量的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80%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计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算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，则污水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量为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0.48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t/d，年排放量为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132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t/a。生活污水</w:t>
            </w:r>
            <w:r>
              <w:rPr>
                <w:rFonts w:hint="eastAsia" w:hAnsi="宋体"/>
                <w:kern w:val="0"/>
                <w:szCs w:val="21"/>
              </w:rPr>
              <w:t>用于厂区降尘，设防渗旱厕，定期清掏外运堆肥农田。</w:t>
            </w:r>
          </w:p>
          <w:p>
            <w:pPr>
              <w:pStyle w:val="28"/>
              <w:spacing w:beforeLines="0" w:afterLines="0" w:line="360" w:lineRule="auto"/>
              <w:ind w:firstLine="480"/>
              <w:rPr>
                <w:rFonts w:hint="eastAsia" w:ascii="Times New Roman" w:hAnsi="Times New Roman" w:cs="Times New Roman" w:eastAsiaTheme="minorEastAsia"/>
                <w:color w:val="auto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水平衡图：</w:t>
            </w:r>
          </w:p>
          <w:p>
            <w:pPr>
              <w:autoSpaceDE w:val="0"/>
              <w:autoSpaceDN w:val="0"/>
              <w:jc w:val="center"/>
              <w:textAlignment w:val="bottom"/>
            </w:pPr>
            <w:r>
              <w:drawing>
                <wp:inline distT="0" distB="0" distL="114300" distR="114300">
                  <wp:extent cx="3140075" cy="920750"/>
                  <wp:effectExtent l="0" t="0" r="3175" b="1270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 w:val="0"/>
              <w:autoSpaceDN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Cs w:val="24"/>
                <w:lang w:eastAsia="zh-CN"/>
              </w:rPr>
              <w:t>图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Cs w:val="24"/>
                <w:lang w:val="en-US" w:eastAsia="zh-CN"/>
              </w:rPr>
              <w:t xml:space="preserve">1-2 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Cs w:val="24"/>
                <w:lang w:eastAsia="zh-CN"/>
              </w:rPr>
              <w:t>水平衡图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（3）供电</w:t>
            </w:r>
          </w:p>
          <w:p>
            <w:pPr>
              <w:spacing w:line="360" w:lineRule="auto"/>
              <w:ind w:firstLine="480" w:firstLineChars="200"/>
              <w:jc w:val="left"/>
              <w:rPr>
                <w:color w:val="auto"/>
                <w:sz w:val="24"/>
                <w:highlight w:val="none"/>
              </w:rPr>
            </w:pPr>
            <w:r>
              <w:rPr>
                <w:color w:val="auto"/>
                <w:sz w:val="24"/>
                <w:highlight w:val="none"/>
              </w:rPr>
              <w:t>本项目用电由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市政电网提供</w:t>
            </w:r>
            <w:r>
              <w:rPr>
                <w:color w:val="auto"/>
                <w:sz w:val="24"/>
                <w:highlight w:val="none"/>
              </w:rPr>
              <w:t>。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（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）供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  <w:t>热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本项目生产车间无需供暖，办公室采取电取暖。</w:t>
            </w:r>
          </w:p>
          <w:p>
            <w:pPr>
              <w:pStyle w:val="9"/>
              <w:numPr>
                <w:ilvl w:val="0"/>
                <w:numId w:val="0"/>
              </w:numPr>
              <w:ind w:left="480" w:leftChars="0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8</w:t>
            </w:r>
            <w:r>
              <w:rPr>
                <w:rFonts w:ascii="Times New Roman" w:hAnsi="Times New Roman" w:eastAsia="宋体" w:cs="Times New Roman"/>
                <w:b/>
                <w:szCs w:val="24"/>
              </w:rPr>
              <w:t>、项目总投资</w:t>
            </w:r>
          </w:p>
          <w:p>
            <w:pPr>
              <w:ind w:firstLine="480" w:firstLineChars="200"/>
              <w:jc w:val="left"/>
              <w:rPr>
                <w:rFonts w:hint="default" w:ascii="Times New Roman" w:hAnsi="Times New Roman" w:cs="Times New Roman" w:eastAsiaTheme="minorEastAsia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</w:rPr>
              <w:t>本项目总投资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334</w:t>
            </w:r>
            <w:r>
              <w:rPr>
                <w:rFonts w:hint="default" w:ascii="Times New Roman" w:hAnsi="Times New Roman" w:cs="Times New Roman" w:eastAsiaTheme="minorEastAsia"/>
                <w:color w:val="000000"/>
              </w:rPr>
              <w:t>万元，其中环保投资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40</w:t>
            </w:r>
            <w:r>
              <w:rPr>
                <w:rFonts w:hint="default" w:ascii="Times New Roman" w:hAnsi="Times New Roman" w:cs="Times New Roman" w:eastAsiaTheme="minorEastAsia"/>
                <w:color w:val="000000"/>
              </w:rPr>
              <w:t>万元，占总投资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12.0</w:t>
            </w:r>
            <w:r>
              <w:rPr>
                <w:rFonts w:hint="default" w:ascii="Times New Roman" w:hAnsi="Times New Roman" w:cs="Times New Roman" w:eastAsiaTheme="minorEastAsia"/>
                <w:color w:val="000000"/>
              </w:rPr>
              <w:t>%。该环保投资的构成情况详见表1-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 w:eastAsiaTheme="minorEastAsia"/>
                <w:color w:val="000000"/>
              </w:rPr>
              <w:t>。</w:t>
            </w:r>
          </w:p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</w:rPr>
            </w:pPr>
            <w:r>
              <w:rPr>
                <w:b/>
                <w:bCs/>
              </w:rPr>
              <w:t>表</w:t>
            </w:r>
            <w:r>
              <w:rPr>
                <w:rFonts w:hint="eastAsia"/>
                <w:b/>
                <w:bCs/>
              </w:rPr>
              <w:t>1-</w:t>
            </w:r>
            <w:r>
              <w:rPr>
                <w:rFonts w:hint="eastAsia"/>
                <w:b/>
                <w:bCs/>
                <w:lang w:val="en-US" w:eastAsia="zh-CN"/>
              </w:rPr>
              <w:t>5</w:t>
            </w:r>
            <w:r>
              <w:rPr>
                <w:b/>
                <w:bCs/>
              </w:rPr>
              <w:t xml:space="preserve">  建设项目污染治理措施一览表</w:t>
            </w:r>
          </w:p>
          <w:tbl>
            <w:tblPr>
              <w:tblStyle w:val="16"/>
              <w:tblW w:w="8867" w:type="dxa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7"/>
              <w:gridCol w:w="1162"/>
              <w:gridCol w:w="5313"/>
              <w:gridCol w:w="1395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时段</w:t>
                  </w:r>
                </w:p>
              </w:tc>
              <w:tc>
                <w:tcPr>
                  <w:tcW w:w="1162" w:type="dxa"/>
                  <w:tcBorders>
                    <w:top w:val="single" w:color="auto" w:sz="12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治理项目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防治措施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投资（万元）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施工期</w:t>
                  </w: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扬尘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施工围挡设施、降尘措施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1.5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固废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施工期固废处理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噪声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设置隔声屏障等隔声降噪措施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1.5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营运期</w:t>
                  </w: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废水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防渗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旱厕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Theme="minor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地下水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生产车间、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原料和成品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仓库、防渗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旱厕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、面均采取防渗措施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废气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spacing w:line="264" w:lineRule="auto"/>
                    <w:ind w:firstLine="420" w:firstLineChars="200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在产尘处上方安装集气罩，集气效率为9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0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%，经布袋除尘器（除尘效率为99%）处理，由一根15m高排气筒排放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，同时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生产车间内设置通风排风扇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。达到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《大气污染物综合排放标准》（GB16297-1996）表2中二级标准限值以及无组织排放监控浓度限值要求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；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堆肥废气经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RW酵素剂除臭+集气罩负压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收集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+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活性炭吸附处理后，经同一个根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15m排气筒排放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。达到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《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恶臭污染物排放标准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》（GB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14554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-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93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）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排放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标准限值要求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15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噪声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设置独立设备间，设备安装减振弹簧垫等措施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固废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厂区内设置垃圾箱收集生活垃圾；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Theme="minor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9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设施运行维护</w:t>
                  </w:r>
                </w:p>
              </w:tc>
              <w:tc>
                <w:tcPr>
                  <w:tcW w:w="5313" w:type="dxa"/>
                  <w:tcBorders>
                    <w:left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环保设施维护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费用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Theme="minor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7472" w:type="dxa"/>
                  <w:gridSpan w:val="3"/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总   计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7472" w:type="dxa"/>
                  <w:gridSpan w:val="3"/>
                  <w:noWrap w:val="0"/>
                  <w:vAlign w:val="center"/>
                </w:tcPr>
                <w:p>
                  <w:pPr>
                    <w:widowControl/>
                    <w:snapToGrid w:val="0"/>
                    <w:jc w:val="center"/>
                    <w:textAlignment w:val="baseline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项目总投资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widowControl/>
                    <w:snapToGrid w:val="0"/>
                    <w:jc w:val="center"/>
                    <w:textAlignment w:val="baseline"/>
                    <w:rPr>
                      <w:rFonts w:hint="default" w:eastAsiaTheme="minor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334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7472" w:type="dxa"/>
                  <w:gridSpan w:val="3"/>
                  <w:noWrap w:val="0"/>
                  <w:vAlign w:val="center"/>
                </w:tcPr>
                <w:p>
                  <w:pPr>
                    <w:widowControl/>
                    <w:snapToGrid w:val="0"/>
                    <w:jc w:val="center"/>
                    <w:textAlignment w:val="baseline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环保投资比</w:t>
                  </w:r>
                </w:p>
              </w:tc>
              <w:tc>
                <w:tcPr>
                  <w:tcW w:w="1395" w:type="dxa"/>
                  <w:noWrap w:val="0"/>
                  <w:vAlign w:val="center"/>
                </w:tcPr>
                <w:p>
                  <w:pPr>
                    <w:widowControl/>
                    <w:snapToGrid w:val="0"/>
                    <w:jc w:val="center"/>
                    <w:textAlignment w:val="baseline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12.0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%</w:t>
                  </w:r>
                </w:p>
              </w:tc>
            </w:tr>
          </w:tbl>
          <w:p>
            <w:pPr>
              <w:pStyle w:val="25"/>
              <w:rPr>
                <w:b/>
                <w:bCs/>
              </w:rPr>
            </w:pPr>
          </w:p>
          <w:p>
            <w:pPr>
              <w:ind w:firstLine="482" w:firstLineChars="200"/>
              <w:textAlignment w:val="center"/>
              <w:rPr>
                <w:rFonts w:ascii="Times New Roman" w:hAnsi="Times New Roman" w:eastAsia="宋体" w:cs="Times New Roman"/>
                <w:b/>
              </w:rPr>
            </w:pPr>
            <w:r>
              <w:rPr>
                <w:rFonts w:ascii="Times New Roman" w:hAnsi="Times New Roman" w:eastAsia="宋体" w:cs="Times New Roman"/>
                <w:b/>
              </w:rPr>
              <w:t>三、产业政策符合性</w:t>
            </w:r>
          </w:p>
          <w:p>
            <w:pPr>
              <w:ind w:firstLine="480" w:firstLineChars="200"/>
              <w:textAlignment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根据国家发展和改革委员会《产业结构调整指导目录（2011年本）》（2016年修正本），本项目不属于鼓励类、限制类及淘汰类项目，属于国家允许类项目，因此，本项目的建设符合国家产业政策。</w:t>
            </w:r>
          </w:p>
          <w:p>
            <w:pPr>
              <w:ind w:firstLine="482" w:firstLineChars="200"/>
              <w:textAlignment w:val="center"/>
              <w:rPr>
                <w:rFonts w:ascii="Times New Roman" w:hAnsi="Times New Roman" w:eastAsia="宋体" w:cs="Times New Roman"/>
                <w:b w:val="0"/>
                <w:bCs/>
                <w:color w:val="auto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</w:rPr>
              <w:t>四、选址合理性分析</w:t>
            </w:r>
          </w:p>
          <w:p>
            <w:pPr>
              <w:pStyle w:val="25"/>
              <w:numPr>
                <w:ilvl w:val="0"/>
                <w:numId w:val="1"/>
              </w:numPr>
              <w:spacing w:line="360" w:lineRule="auto"/>
              <w:ind w:firstLine="480" w:firstLineChars="20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Cs w:val="24"/>
              </w:rPr>
              <w:t>项目位于</w:t>
            </w:r>
            <w:r>
              <w:rPr>
                <w:rFonts w:hint="eastAsia" w:ascii="Times New Roman" w:eastAsia="宋体" w:cs="Times New Roman"/>
                <w:szCs w:val="24"/>
                <w:lang w:eastAsia="zh-CN"/>
              </w:rPr>
              <w:t>同江市向阳镇燎原村</w:t>
            </w:r>
            <w:r>
              <w:rPr>
                <w:rFonts w:hint="default" w:ascii="Times New Roman" w:hAnsi="Times New Roman" w:eastAsia="宋体" w:cs="Times New Roman"/>
                <w:szCs w:val="24"/>
              </w:rPr>
              <w:t>。</w:t>
            </w:r>
            <w:r>
              <w:rPr>
                <w:rFonts w:hint="eastAsia" w:ascii="Times New Roman" w:eastAsia="宋体" w:cs="Times New Roman"/>
                <w:szCs w:val="24"/>
                <w:lang w:eastAsia="zh-CN"/>
              </w:rPr>
              <w:t>同江市向阳镇向阳村</w:t>
            </w:r>
            <w:r>
              <w:rPr>
                <w:rFonts w:hint="default" w:ascii="Times New Roman" w:hAnsi="Times New Roman" w:eastAsia="宋体" w:cs="Times New Roman"/>
                <w:szCs w:val="24"/>
              </w:rPr>
              <w:t>厂界南侧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隔</w:t>
            </w:r>
            <w:r>
              <w:rPr>
                <w:rFonts w:hint="eastAsia" w:ascii="Times New Roman" w:eastAsia="宋体" w:cs="Times New Roman"/>
                <w:szCs w:val="24"/>
                <w:lang w:eastAsia="zh-CN"/>
              </w:rPr>
              <w:t>乡</w:t>
            </w:r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道</w:t>
            </w:r>
            <w:r>
              <w:rPr>
                <w:rFonts w:hint="default" w:ascii="Times New Roman" w:hAnsi="Times New Roman" w:eastAsia="宋体" w:cs="Times New Roman"/>
                <w:szCs w:val="24"/>
              </w:rPr>
              <w:t>为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农田</w:t>
            </w:r>
            <w:r>
              <w:rPr>
                <w:rFonts w:hint="default" w:ascii="Times New Roman" w:hAnsi="Times New Roman" w:eastAsia="宋体" w:cs="Times New Roman"/>
                <w:szCs w:val="24"/>
              </w:rPr>
              <w:t>，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东侧、</w:t>
            </w:r>
            <w:r>
              <w:rPr>
                <w:rFonts w:hint="default" w:ascii="Times New Roman" w:hAnsi="Times New Roman" w:eastAsia="宋体" w:cs="Times New Roman"/>
                <w:szCs w:val="24"/>
              </w:rPr>
              <w:t>西侧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和北侧</w:t>
            </w:r>
            <w:r>
              <w:rPr>
                <w:rFonts w:hint="default" w:ascii="Times New Roman" w:hAnsi="Times New Roman" w:eastAsia="宋体" w:cs="Times New Roman"/>
                <w:szCs w:val="24"/>
                <w:lang w:eastAsia="zh-CN"/>
              </w:rPr>
              <w:t>为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农田</w:t>
            </w:r>
            <w:r>
              <w:rPr>
                <w:rFonts w:hint="default" w:ascii="Times New Roman" w:hAnsi="Times New Roman" w:eastAsia="宋体" w:cs="Times New Roman"/>
                <w:szCs w:val="24"/>
                <w:lang w:val="en-US" w:eastAsia="zh-CN"/>
              </w:rPr>
              <w:t>。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厂址附近没有文物古迹，风景名胜及生态功能区。本项目地理位置优越，交通便利，有利于产品的运输和销售。</w:t>
            </w:r>
          </w:p>
          <w:p>
            <w:pPr>
              <w:pStyle w:val="25"/>
              <w:numPr>
                <w:ilvl w:val="0"/>
                <w:numId w:val="1"/>
              </w:numPr>
              <w:spacing w:line="360" w:lineRule="auto"/>
              <w:ind w:firstLine="480" w:firstLineChars="200"/>
              <w:jc w:val="both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项目建设过程中产生的废水、噪声、固废对周围环境将产生一定影响，但通过采取相应的环保措施可使该项目的环境影响降低，对周边环境影响较小。在严格落实本报告表提出的污染防治措施，保证各项污染物稳定达标排放前提下，项目选址合理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bidi w:val="0"/>
              <w:adjustRightInd/>
              <w:snapToGrid/>
              <w:ind w:left="0" w:leftChars="0" w:firstLine="480" w:firstLineChars="200"/>
              <w:outlineLvl w:val="9"/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根据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《关于切实加强风险防范严格环境影响评价管理的通知》（环发〔2012〕98号）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规定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lang w:val="en-US" w:eastAsia="zh-CN"/>
              </w:rPr>
              <w:t>同时参照中华人民共和国生态环境部“生态环境部部长信箱”中关于“新建加工硫酸铵颗粒肥项目是否必须进园入区的回复”中信息，本项目使用的原料及生产工艺，不会涉及到化学反应，属于纯物理混合，几乎不会引发环境风险，所以本项目不必进入工业园区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ind w:leftChars="200"/>
              <w:outlineLvl w:val="9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综上所述，本项目选址合理。</w:t>
            </w:r>
          </w:p>
          <w:p>
            <w:pPr>
              <w:adjustRightInd w:val="0"/>
              <w:snapToGrid w:val="0"/>
              <w:spacing w:line="360" w:lineRule="auto"/>
              <w:rPr>
                <w:rFonts w:eastAsia="黑体"/>
                <w:b/>
                <w:bCs/>
                <w:color w:val="auto"/>
                <w:sz w:val="24"/>
              </w:rPr>
            </w:pPr>
            <w:r>
              <w:rPr>
                <w:rFonts w:hint="eastAsia" w:eastAsia="黑体"/>
                <w:color w:val="auto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4"/>
                <w:szCs w:val="24"/>
                <w:lang w:eastAsia="zh-CN"/>
              </w:rPr>
              <w:t>五、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“三线一单”符合性分析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本项目“三线一单”符合性分析见表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1-6</w:t>
            </w:r>
            <w:r>
              <w:rPr>
                <w:rFonts w:hint="eastAsia"/>
                <w:color w:val="auto"/>
                <w:sz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center"/>
              <w:rPr>
                <w:rFonts w:hint="default" w:ascii="Times New Roman" w:hAnsi="Times New Roman" w:eastAsia="黑体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sz w:val="24"/>
              </w:rPr>
              <w:t>表</w:t>
            </w:r>
            <w:r>
              <w:rPr>
                <w:rFonts w:hint="default" w:ascii="Times New Roman" w:hAnsi="Times New Roman" w:eastAsia="黑体" w:cs="Times New Roman"/>
                <w:color w:val="auto"/>
                <w:sz w:val="24"/>
                <w:lang w:val="en-US" w:eastAsia="zh-CN"/>
              </w:rPr>
              <w:t>1-</w:t>
            </w:r>
            <w:r>
              <w:rPr>
                <w:rFonts w:hint="eastAsia" w:ascii="Times New Roman" w:hAnsi="Times New Roman" w:eastAsia="黑体" w:cs="Times New Roman"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default" w:ascii="Times New Roman" w:hAnsi="Times New Roman" w:eastAsia="黑体" w:cs="Times New Roman"/>
                <w:color w:val="auto"/>
                <w:sz w:val="24"/>
              </w:rPr>
              <w:t xml:space="preserve">  “三线一单”符合性分析</w:t>
            </w:r>
          </w:p>
          <w:tbl>
            <w:tblPr>
              <w:tblStyle w:val="17"/>
              <w:tblW w:w="8864" w:type="dxa"/>
              <w:jc w:val="center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55"/>
              <w:gridCol w:w="6809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055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内容</w:t>
                  </w:r>
                </w:p>
              </w:tc>
              <w:tc>
                <w:tcPr>
                  <w:tcW w:w="6809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符合性分析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055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生态保护红线</w:t>
                  </w:r>
                </w:p>
              </w:tc>
              <w:tc>
                <w:tcPr>
                  <w:tcW w:w="6809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本项目位于</w:t>
                  </w:r>
                  <w:r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eastAsia="zh-CN"/>
                    </w:rPr>
                    <w:t>同江市向阳镇燎原村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，周边无自然保护区、饮用水源保护区等生态保护目标，符合各类生态功能区要求。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055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资源利用上线</w:t>
                  </w:r>
                </w:p>
              </w:tc>
              <w:tc>
                <w:tcPr>
                  <w:tcW w:w="6809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本项目运营过程中消耗一定量的电力、水资源。项目资源消耗量相对区域资源利用总量较少，符合资源利用上线要求。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055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  <w:highlight w:val="yellow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环境质量底线</w:t>
                  </w:r>
                </w:p>
              </w:tc>
              <w:tc>
                <w:tcPr>
                  <w:tcW w:w="6809" w:type="dxa"/>
                  <w:vAlign w:val="center"/>
                </w:tcPr>
                <w:p>
                  <w:pPr>
                    <w:adjustRightInd w:val="0"/>
                    <w:snapToGrid w:val="0"/>
                    <w:jc w:val="left"/>
                    <w:rPr>
                      <w:color w:val="auto"/>
                      <w:sz w:val="21"/>
                      <w:szCs w:val="21"/>
                      <w:highlight w:val="yellow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本项目主要污染物为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生产工序产生的粉尘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和发酵工序产生的废气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在产尘处上方安装集气罩，集气效率为9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0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%，经布袋除尘器（除尘效率为99%）处理，由一根15m高排气筒排放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，同时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生产车间内设置通风排风扇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。达到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《大气污染物综合排放标准》（GB16297-1996）表2中二级标准限值以及无组织排放监控浓度限值要求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；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堆肥废气经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RW酵素剂除臭+集气罩负压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收集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+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活性炭吸附处理后，经同一个跟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15m排气筒排放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。达到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《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恶臭污染物排放标准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》（GB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14554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-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93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）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排放</w:t>
                  </w:r>
                  <w:r>
                    <w:rPr>
                      <w:color w:val="auto"/>
                      <w:sz w:val="21"/>
                      <w:szCs w:val="21"/>
                      <w:highlight w:val="none"/>
                    </w:rPr>
                    <w:t>标准限值要求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。上述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lang w:eastAsia="zh-CN"/>
                    </w:rPr>
                    <w:t>污染物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</w:rPr>
                    <w:t>经过相应的处理设施处理后，对周边环境影响很小，符合环境质量底线要求。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2055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负面清单</w:t>
                  </w:r>
                </w:p>
              </w:tc>
              <w:tc>
                <w:tcPr>
                  <w:tcW w:w="6809" w:type="dxa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无负面清单。</w:t>
                  </w:r>
                </w:p>
              </w:tc>
            </w:tr>
          </w:tbl>
          <w:p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outlineLvl w:val="9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24" w:name="_Toc21763_WPSOffice_Level1"/>
      <w:r>
        <w:rPr>
          <w:rFonts w:ascii="Times New Roman" w:hAnsi="Times New Roman" w:eastAsia="宋体"/>
          <w:sz w:val="30"/>
          <w:szCs w:val="30"/>
        </w:rPr>
        <w:t>二、与本项目有关的原有污染情况及环境问题</w:t>
      </w:r>
      <w:bookmarkEnd w:id="23"/>
      <w:bookmarkEnd w:id="24"/>
    </w:p>
    <w:tbl>
      <w:tblPr>
        <w:tblStyle w:val="16"/>
        <w:tblW w:w="9354" w:type="dxa"/>
        <w:jc w:val="center"/>
        <w:tblInd w:w="-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2" w:hRule="atLeast"/>
          <w:jc w:val="center"/>
        </w:trPr>
        <w:tc>
          <w:tcPr>
            <w:tcW w:w="9354" w:type="dxa"/>
          </w:tcPr>
          <w:p>
            <w:pPr>
              <w:ind w:firstLine="480" w:firstLineChars="200"/>
              <w:textAlignment w:val="baseline"/>
              <w:rPr>
                <w:rFonts w:hint="eastAsia"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本项目为新建项目</w:t>
            </w:r>
            <w:r>
              <w:rPr>
                <w:rFonts w:hint="eastAsia" w:ascii="Times New Roman" w:hAnsi="Times New Roman" w:cs="Times New Roman"/>
                <w:szCs w:val="24"/>
              </w:rPr>
              <w:t>，厂区原有为空地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和闲置库房</w:t>
            </w:r>
            <w:r>
              <w:rPr>
                <w:rFonts w:hint="eastAsia" w:ascii="Times New Roman" w:hAnsi="Times New Roman" w:cs="Times New Roman"/>
                <w:szCs w:val="24"/>
              </w:rPr>
              <w:t>，因此无原有环境污染问题。</w:t>
            </w:r>
          </w:p>
          <w:p>
            <w:pPr>
              <w:pStyle w:val="9"/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</w:p>
        </w:tc>
      </w:tr>
    </w:tbl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25" w:name="_Toc29994_WPSOffice_Level1"/>
      <w:bookmarkStart w:id="26" w:name="_Toc17348"/>
      <w:r>
        <w:rPr>
          <w:rFonts w:hint="eastAsia" w:ascii="Times New Roman" w:hAnsi="Times New Roman" w:eastAsia="宋体"/>
          <w:sz w:val="30"/>
          <w:szCs w:val="30"/>
        </w:rPr>
        <w:t>三、</w:t>
      </w:r>
      <w:r>
        <w:rPr>
          <w:rFonts w:ascii="Times New Roman" w:hAnsi="Times New Roman" w:eastAsia="宋体"/>
          <w:sz w:val="30"/>
          <w:szCs w:val="30"/>
        </w:rPr>
        <w:t>建设项目所在地自然环境环境简况</w:t>
      </w:r>
      <w:bookmarkEnd w:id="25"/>
      <w:bookmarkEnd w:id="26"/>
    </w:p>
    <w:tbl>
      <w:tblPr>
        <w:tblStyle w:val="16"/>
        <w:tblW w:w="9354" w:type="dxa"/>
        <w:jc w:val="center"/>
        <w:tblInd w:w="-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2" w:hRule="atLeast"/>
          <w:jc w:val="center"/>
        </w:trPr>
        <w:tc>
          <w:tcPr>
            <w:tcW w:w="9354" w:type="dxa"/>
          </w:tcPr>
          <w:p>
            <w:pPr>
              <w:textAlignment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自然环境简况（地形、地貌、地质、气候、气象、水文、植被、生物多样性等）</w:t>
            </w:r>
          </w:p>
          <w:p>
            <w:pPr>
              <w:adjustRightInd w:val="0"/>
              <w:snapToGrid w:val="0"/>
              <w:spacing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一、地理位置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</w:pPr>
            <w:r>
              <w:rPr>
                <w:color w:val="000000"/>
                <w:shd w:val="clear" w:color="auto" w:fill="FFFFFF"/>
              </w:rPr>
              <w:t>同江市位于三江平原腹地</w:t>
            </w:r>
            <w:r>
              <w:rPr>
                <w:rFonts w:hint="eastAsia"/>
                <w:color w:val="000000"/>
                <w:shd w:val="clear" w:color="auto" w:fill="FFFFFF"/>
              </w:rPr>
              <w:t>，</w:t>
            </w:r>
            <w:r>
              <w:rPr>
                <w:color w:val="000000"/>
                <w:shd w:val="clear" w:color="auto" w:fill="FFFFFF"/>
              </w:rPr>
              <w:t>黑龙江与松花江汇合处南岸。地理坐标为东经</w:t>
            </w:r>
            <w:r>
              <w:rPr>
                <w:rFonts w:eastAsia="微软雅黑"/>
                <w:color w:val="000000"/>
                <w:shd w:val="clear" w:color="auto" w:fill="FFFFFF"/>
              </w:rPr>
              <w:t>132°18′32″</w:t>
            </w:r>
            <w:r>
              <w:rPr>
                <w:color w:val="000000"/>
                <w:shd w:val="clear" w:color="auto" w:fill="FFFFFF"/>
              </w:rPr>
              <w:t>至</w:t>
            </w:r>
            <w:r>
              <w:rPr>
                <w:rFonts w:eastAsia="微软雅黑"/>
                <w:color w:val="000000"/>
                <w:shd w:val="clear" w:color="auto" w:fill="FFFFFF"/>
              </w:rPr>
              <w:t>134°7′15″</w:t>
            </w:r>
            <w:r>
              <w:rPr>
                <w:color w:val="000000"/>
                <w:shd w:val="clear" w:color="auto" w:fill="FFFFFF"/>
              </w:rPr>
              <w:t>，北纬</w:t>
            </w:r>
            <w:r>
              <w:rPr>
                <w:rFonts w:eastAsia="微软雅黑"/>
                <w:color w:val="000000"/>
                <w:shd w:val="clear" w:color="auto" w:fill="FFFFFF"/>
              </w:rPr>
              <w:t>47°25′47″</w:t>
            </w:r>
            <w:r>
              <w:rPr>
                <w:color w:val="000000"/>
                <w:shd w:val="clear" w:color="auto" w:fill="FFFFFF"/>
              </w:rPr>
              <w:t>至</w:t>
            </w:r>
            <w:r>
              <w:rPr>
                <w:rFonts w:eastAsia="微软雅黑"/>
                <w:color w:val="000000"/>
                <w:shd w:val="clear" w:color="auto" w:fill="FFFFFF"/>
              </w:rPr>
              <w:t>48°17′20″</w:t>
            </w:r>
            <w:r>
              <w:rPr>
                <w:color w:val="000000"/>
                <w:shd w:val="clear" w:color="auto" w:fill="FFFFFF"/>
              </w:rPr>
              <w:t>。辖区东与抚远县接壤，南与富锦市、</w:t>
            </w:r>
            <w:r>
              <w:rPr>
                <w:color w:val="000000"/>
                <w:shd w:val="clear" w:color="auto" w:fill="FFFFFF"/>
              </w:rPr>
              <w:fldChar w:fldCharType="begin"/>
            </w:r>
            <w:r>
              <w:rPr>
                <w:color w:val="000000"/>
                <w:shd w:val="clear" w:color="auto" w:fill="FFFFFF"/>
              </w:rPr>
              <w:instrText xml:space="preserve"> HYPERLINK "http://baike.baidu.com/view/289791.htm" \t "_blank" </w:instrText>
            </w:r>
            <w:r>
              <w:rPr>
                <w:color w:val="000000"/>
                <w:shd w:val="clear" w:color="auto" w:fill="FFFFFF"/>
              </w:rPr>
              <w:fldChar w:fldCharType="separate"/>
            </w:r>
            <w:r>
              <w:rPr>
                <w:color w:val="000000"/>
                <w:shd w:val="clear" w:color="auto" w:fill="FFFFFF"/>
              </w:rPr>
              <w:t>饶河县</w:t>
            </w:r>
            <w:r>
              <w:rPr>
                <w:color w:val="000000"/>
                <w:shd w:val="clear" w:color="auto" w:fill="FFFFFF"/>
              </w:rPr>
              <w:fldChar w:fldCharType="end"/>
            </w:r>
            <w:r>
              <w:rPr>
                <w:color w:val="000000"/>
                <w:shd w:val="clear" w:color="auto" w:fill="FFFFFF"/>
              </w:rPr>
              <w:t>为邻，西临松花江与</w:t>
            </w:r>
            <w:r>
              <w:rPr>
                <w:color w:val="000000"/>
                <w:shd w:val="clear" w:color="auto" w:fill="FFFFFF"/>
              </w:rPr>
              <w:fldChar w:fldCharType="begin"/>
            </w:r>
            <w:r>
              <w:rPr>
                <w:color w:val="000000"/>
                <w:shd w:val="clear" w:color="auto" w:fill="FFFFFF"/>
              </w:rPr>
              <w:instrText xml:space="preserve"> HYPERLINK "http://baike.baidu.com/view/838056.htm" \t "_blank" </w:instrText>
            </w:r>
            <w:r>
              <w:rPr>
                <w:color w:val="000000"/>
                <w:shd w:val="clear" w:color="auto" w:fill="FFFFFF"/>
              </w:rPr>
              <w:fldChar w:fldCharType="separate"/>
            </w:r>
            <w:r>
              <w:rPr>
                <w:color w:val="000000"/>
                <w:shd w:val="clear" w:color="auto" w:fill="FFFFFF"/>
              </w:rPr>
              <w:t>绥滨县</w:t>
            </w:r>
            <w:r>
              <w:rPr>
                <w:color w:val="000000"/>
                <w:shd w:val="clear" w:color="auto" w:fill="FFFFFF"/>
              </w:rPr>
              <w:fldChar w:fldCharType="end"/>
            </w:r>
            <w:r>
              <w:rPr>
                <w:color w:val="000000"/>
                <w:shd w:val="clear" w:color="auto" w:fill="FFFFFF"/>
              </w:rPr>
              <w:t>相连，北隔黑龙江与俄罗斯</w:t>
            </w:r>
            <w:r>
              <w:rPr>
                <w:color w:val="000000"/>
                <w:shd w:val="clear" w:color="auto" w:fill="FFFFFF"/>
              </w:rPr>
              <w:fldChar w:fldCharType="begin"/>
            </w:r>
            <w:r>
              <w:rPr>
                <w:color w:val="000000"/>
                <w:shd w:val="clear" w:color="auto" w:fill="FFFFFF"/>
              </w:rPr>
              <w:instrText xml:space="preserve"> HYPERLINK "http://baike.baidu.com/view/200767.htm" \t "_blank" </w:instrText>
            </w:r>
            <w:r>
              <w:rPr>
                <w:color w:val="000000"/>
                <w:shd w:val="clear" w:color="auto" w:fill="FFFFFF"/>
              </w:rPr>
              <w:fldChar w:fldCharType="separate"/>
            </w:r>
            <w:r>
              <w:rPr>
                <w:color w:val="000000"/>
                <w:shd w:val="clear" w:color="auto" w:fill="FFFFFF"/>
              </w:rPr>
              <w:t>哈巴罗夫斯克边疆区</w:t>
            </w:r>
            <w:r>
              <w:rPr>
                <w:color w:val="000000"/>
                <w:shd w:val="clear" w:color="auto" w:fill="FFFFFF"/>
              </w:rPr>
              <w:fldChar w:fldCharType="end"/>
            </w:r>
            <w:r>
              <w:rPr>
                <w:color w:val="000000"/>
                <w:shd w:val="clear" w:color="auto" w:fill="FFFFFF"/>
              </w:rPr>
              <w:t>相望。</w:t>
            </w:r>
            <w:r>
              <w:rPr>
                <w:rFonts w:hint="eastAsia"/>
                <w:color w:val="000000"/>
                <w:shd w:val="clear" w:color="auto" w:fill="FFFFFF"/>
              </w:rPr>
              <w:t>同江市</w:t>
            </w:r>
            <w:r>
              <w:rPr>
                <w:color w:val="000000"/>
                <w:shd w:val="clear" w:color="auto" w:fill="FFFFFF"/>
              </w:rPr>
              <w:t>边境线长</w:t>
            </w:r>
            <w:r>
              <w:rPr>
                <w:rFonts w:eastAsia="微软雅黑"/>
                <w:color w:val="000000"/>
                <w:shd w:val="clear" w:color="auto" w:fill="FFFFFF"/>
              </w:rPr>
              <w:t>170</w:t>
            </w:r>
            <w:r>
              <w:rPr>
                <w:color w:val="000000"/>
                <w:shd w:val="clear" w:color="auto" w:fill="FFFFFF"/>
              </w:rPr>
              <w:t>公里，</w:t>
            </w:r>
            <w:r>
              <w:rPr>
                <w:rFonts w:hint="eastAsia"/>
                <w:color w:val="000000"/>
                <w:shd w:val="clear" w:color="auto" w:fill="FFFFFF"/>
              </w:rPr>
              <w:t>是国家一类口岸，</w:t>
            </w:r>
            <w:r>
              <w:rPr>
                <w:color w:val="000000"/>
                <w:shd w:val="clear" w:color="auto" w:fill="FFFFFF"/>
              </w:rPr>
              <w:t>全市总面积</w:t>
            </w:r>
            <w:r>
              <w:rPr>
                <w:rFonts w:eastAsia="微软雅黑"/>
                <w:color w:val="000000"/>
                <w:shd w:val="clear" w:color="auto" w:fill="FFFFFF"/>
              </w:rPr>
              <w:t>6300</w:t>
            </w:r>
            <w:r>
              <w:t xml:space="preserve"> km</w:t>
            </w:r>
            <w:r>
              <w:rPr>
                <w:vertAlign w:val="superscript"/>
              </w:rPr>
              <w:t>2</w:t>
            </w:r>
            <w:r>
              <w:rPr>
                <w:rFonts w:hint="eastAsia"/>
                <w:color w:val="000000"/>
                <w:shd w:val="clear" w:color="auto" w:fill="FFFFFF"/>
              </w:rPr>
              <w:t>，辖5镇5乡、6个国营农场，总人口20万人，是国家确定的63个重点商品粮和畜牧基地之一，是国家第二轮扶贫开发和“兴边富民”行动重点市</w:t>
            </w:r>
            <w:r>
              <w:rPr>
                <w:color w:val="000000"/>
                <w:shd w:val="clear" w:color="auto" w:fill="FFFFFF"/>
              </w:rPr>
              <w:t>。</w:t>
            </w:r>
          </w:p>
          <w:p>
            <w:pPr>
              <w:adjustRightInd w:val="0"/>
              <w:snapToGrid w:val="0"/>
              <w:spacing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二、地形地貌</w:t>
            </w:r>
            <w:r>
              <w:rPr>
                <w:b/>
              </w:rPr>
              <w:tab/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hAnsi="仿宋_GB2312"/>
              </w:rPr>
            </w:pPr>
            <w:r>
              <w:rPr>
                <w:rFonts w:hAnsi="仿宋_GB2312"/>
              </w:rPr>
              <w:t>同江市地形属古老冲积沉降的沼泽平原，同时有外兴安岭零星余脉形成的少量山地，总的地势西南高、东北低，平均</w:t>
            </w:r>
            <w:r>
              <w:rPr>
                <w:rFonts w:hint="eastAsia" w:hAnsi="仿宋_GB2312"/>
              </w:rPr>
              <w:t>海拔高度</w:t>
            </w:r>
            <w:r>
              <w:rPr>
                <w:rFonts w:hAnsi="仿宋_GB2312"/>
              </w:rPr>
              <w:t>45</w:t>
            </w:r>
            <w:r>
              <w:rPr>
                <w:rFonts w:hint="eastAsia" w:hAnsi="仿宋_GB2312"/>
              </w:rPr>
              <w:t>m</w:t>
            </w:r>
            <w:r>
              <w:rPr>
                <w:rFonts w:hAnsi="仿宋_GB2312"/>
              </w:rPr>
              <w:t>至65</w:t>
            </w:r>
            <w:r>
              <w:rPr>
                <w:rFonts w:hint="eastAsia" w:hAnsi="仿宋_GB2312"/>
              </w:rPr>
              <w:t>m</w:t>
            </w:r>
            <w:r>
              <w:rPr>
                <w:rFonts w:hAnsi="仿宋_GB2312"/>
              </w:rPr>
              <w:t>，坡降1/5000～1/8000，地貌组合差异不大。</w:t>
            </w:r>
            <w:r>
              <w:rPr>
                <w:rFonts w:hint="eastAsia"/>
                <w:color w:val="000000"/>
              </w:rPr>
              <w:t>西部为漫川漫岗，中部为低山残丘和平原。东部为低平地，沿江是泛滥地。由于黑龙江多次泛滥冲积和沉积作用，在沿江一带形成高漫滩。地势绝大部分比较平坦，局部地区是“钱搭子”地形，俗称漫川漫岗，坡度平缓，岗顶平坦，海拔在</w:t>
            </w:r>
            <w:r>
              <w:rPr>
                <w:color w:val="000000"/>
              </w:rPr>
              <w:t>62m</w:t>
            </w:r>
            <w:r>
              <w:rPr>
                <w:rFonts w:hint="eastAsia"/>
                <w:color w:val="000000"/>
              </w:rPr>
              <w:t>~65</w:t>
            </w:r>
            <w:r>
              <w:rPr>
                <w:color w:val="000000"/>
              </w:rPr>
              <w:t>m</w:t>
            </w:r>
            <w:r>
              <w:rPr>
                <w:rFonts w:hint="eastAsia"/>
                <w:color w:val="000000"/>
              </w:rPr>
              <w:t>，缓坡地带，坡度一般在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度以下，主要土壤类型是黑土、白浆土和草甸土，成土母质为黄土状粘土和砂壤质冲积物。</w:t>
            </w:r>
          </w:p>
          <w:p>
            <w:pPr>
              <w:adjustRightInd w:val="0"/>
              <w:snapToGrid w:val="0"/>
              <w:spacing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三、气候气象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</w:t>
            </w:r>
            <w:r>
              <w:rPr>
                <w:color w:val="000000"/>
              </w:rPr>
              <w:t>20</w:t>
            </w:r>
            <w:r>
              <w:rPr>
                <w:rFonts w:hint="eastAsia"/>
                <w:color w:val="000000"/>
              </w:rPr>
              <w:t>年来，同江市年平均气温为</w:t>
            </w:r>
            <w:r>
              <w:rPr>
                <w:color w:val="000000"/>
              </w:rPr>
              <w:t>4.1</w:t>
            </w:r>
            <w:r>
              <w:rPr>
                <w:rFonts w:hint="eastAsia"/>
                <w:color w:val="000000"/>
              </w:rPr>
              <w:t>℃，年极端最高气温</w:t>
            </w:r>
            <w:r>
              <w:rPr>
                <w:color w:val="000000"/>
              </w:rPr>
              <w:t>37.2</w:t>
            </w:r>
            <w:r>
              <w:rPr>
                <w:rFonts w:hint="eastAsia"/>
                <w:color w:val="000000"/>
              </w:rPr>
              <w:t>℃（</w:t>
            </w:r>
            <w:r>
              <w:rPr>
                <w:color w:val="000000"/>
              </w:rPr>
              <w:t>1982</w:t>
            </w:r>
            <w:r>
              <w:rPr>
                <w:rFonts w:hint="eastAsia"/>
                <w:color w:val="000000"/>
              </w:rPr>
              <w:t>年</w:t>
            </w:r>
            <w:r>
              <w:rPr>
                <w:color w:val="000000"/>
              </w:rPr>
              <w:t>8</w:t>
            </w:r>
            <w:r>
              <w:rPr>
                <w:rFonts w:hint="eastAsia"/>
                <w:color w:val="000000"/>
              </w:rPr>
              <w:t>月），年极端最低气温</w:t>
            </w:r>
            <w:r>
              <w:rPr>
                <w:color w:val="000000"/>
              </w:rPr>
              <w:t>-37.0</w:t>
            </w:r>
            <w:r>
              <w:rPr>
                <w:rFonts w:hint="eastAsia"/>
                <w:color w:val="000000"/>
              </w:rPr>
              <w:t>℃（</w:t>
            </w:r>
            <w:r>
              <w:rPr>
                <w:color w:val="000000"/>
              </w:rPr>
              <w:t>1980</w:t>
            </w:r>
            <w:r>
              <w:rPr>
                <w:rFonts w:hint="eastAsia"/>
                <w:color w:val="000000"/>
              </w:rPr>
              <w:t>年</w:t>
            </w: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月）。同江市降水主要集中在七、八月份，多年平均降水量为</w:t>
            </w:r>
            <w:r>
              <w:rPr>
                <w:color w:val="000000"/>
              </w:rPr>
              <w:t>510.7mm</w:t>
            </w:r>
            <w:r>
              <w:rPr>
                <w:rFonts w:hint="eastAsia"/>
                <w:color w:val="000000"/>
              </w:rPr>
              <w:t>，年最大降水量</w:t>
            </w:r>
            <w:r>
              <w:rPr>
                <w:color w:val="000000"/>
              </w:rPr>
              <w:t>827.8mm</w:t>
            </w:r>
            <w:r>
              <w:rPr>
                <w:rFonts w:hint="eastAsia"/>
                <w:color w:val="000000"/>
              </w:rPr>
              <w:t>。同江市20年主导风向为</w:t>
            </w:r>
            <w:r>
              <w:rPr>
                <w:color w:val="000000"/>
              </w:rPr>
              <w:t>W</w:t>
            </w:r>
            <w:r>
              <w:rPr>
                <w:rFonts w:hint="eastAsia"/>
                <w:color w:val="000000"/>
              </w:rPr>
              <w:t>风，年最大风速</w:t>
            </w:r>
            <w:r>
              <w:rPr>
                <w:color w:val="000000"/>
              </w:rPr>
              <w:t>25</w:t>
            </w:r>
            <w:r>
              <w:rPr>
                <w:rFonts w:hint="eastAsia"/>
                <w:color w:val="000000"/>
              </w:rPr>
              <w:t>.0</w:t>
            </w:r>
            <w:r>
              <w:rPr>
                <w:color w:val="000000"/>
              </w:rPr>
              <w:t>m/s</w:t>
            </w:r>
            <w:r>
              <w:rPr>
                <w:rFonts w:hint="eastAsia"/>
                <w:color w:val="000000"/>
              </w:rPr>
              <w:t>，多年平均风速在</w:t>
            </w:r>
            <w:r>
              <w:rPr>
                <w:color w:val="000000"/>
              </w:rPr>
              <w:t>3.8m/s</w:t>
            </w:r>
            <w:r>
              <w:rPr>
                <w:rFonts w:hint="eastAsia"/>
                <w:color w:val="000000"/>
              </w:rPr>
              <w:t>。年平均相对湿度约</w:t>
            </w:r>
            <w:r>
              <w:rPr>
                <w:color w:val="000000"/>
              </w:rPr>
              <w:t>66</w:t>
            </w:r>
            <w:r>
              <w:rPr>
                <w:rFonts w:hint="eastAsia"/>
                <w:color w:val="000000"/>
              </w:rPr>
              <w:t>％。近20年统计的平均风向玫瑰图见图3。</w:t>
            </w:r>
          </w:p>
          <w:p>
            <w:pPr>
              <w:jc w:val="center"/>
              <w:rPr>
                <w:szCs w:val="20"/>
              </w:rPr>
            </w:pPr>
            <w:r>
              <w:drawing>
                <wp:inline distT="0" distB="0" distL="114300" distR="114300">
                  <wp:extent cx="1486535" cy="1410970"/>
                  <wp:effectExtent l="0" t="0" r="18415" b="17780"/>
                  <wp:docPr id="1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60" w:firstLineChars="900"/>
            </w:pPr>
            <w:r>
              <w:rPr>
                <w:rFonts w:hint="eastAsia"/>
                <w:szCs w:val="22"/>
              </w:rPr>
              <w:t>图3</w:t>
            </w:r>
            <w:r>
              <w:rPr>
                <w:szCs w:val="22"/>
              </w:rPr>
              <w:t xml:space="preserve">  </w:t>
            </w:r>
            <w:r>
              <w:rPr>
                <w:rFonts w:hint="eastAsia"/>
                <w:szCs w:val="22"/>
              </w:rPr>
              <w:t>同江市20年统计的风向玫瑰图</w:t>
            </w:r>
          </w:p>
          <w:p>
            <w:pPr>
              <w:adjustRightInd w:val="0"/>
              <w:snapToGrid w:val="0"/>
              <w:spacing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四、水文地质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同江境内有黑龙江、松花江两大干流及</w:t>
            </w:r>
            <w:r>
              <w:rPr>
                <w:color w:val="000000"/>
              </w:rPr>
              <w:t>12</w:t>
            </w:r>
            <w:r>
              <w:rPr>
                <w:rFonts w:hint="eastAsia"/>
                <w:color w:val="000000"/>
              </w:rPr>
              <w:t>条主要支流，河叉、江通</w:t>
            </w:r>
            <w:r>
              <w:rPr>
                <w:color w:val="000000"/>
              </w:rPr>
              <w:t>43</w:t>
            </w:r>
            <w:r>
              <w:rPr>
                <w:rFonts w:hint="eastAsia"/>
                <w:color w:val="000000"/>
              </w:rPr>
              <w:t>条，泡沼</w:t>
            </w:r>
            <w:r>
              <w:rPr>
                <w:color w:val="000000"/>
              </w:rPr>
              <w:t>400</w:t>
            </w:r>
            <w:r>
              <w:rPr>
                <w:rFonts w:hint="eastAsia"/>
                <w:color w:val="000000"/>
              </w:rPr>
              <w:t>余处。黑龙江为境内第一大河，位于同江东北部。该河西起三江口，东至黑鱼泡河口。境内流长</w:t>
            </w:r>
            <w:r>
              <w:rPr>
                <w:color w:val="000000"/>
              </w:rPr>
              <w:t>166km</w:t>
            </w:r>
            <w:r>
              <w:rPr>
                <w:rFonts w:hint="eastAsia"/>
                <w:color w:val="000000"/>
              </w:rPr>
              <w:t>，江宽</w:t>
            </w: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~</w:t>
            </w:r>
            <w:r>
              <w:rPr>
                <w:color w:val="000000"/>
              </w:rPr>
              <w:t>2km</w:t>
            </w:r>
            <w:r>
              <w:rPr>
                <w:rFonts w:hint="eastAsia"/>
                <w:color w:val="000000"/>
              </w:rPr>
              <w:t>，水域面积</w:t>
            </w:r>
            <w:r>
              <w:rPr>
                <w:color w:val="000000"/>
              </w:rPr>
              <w:t>144756</w:t>
            </w:r>
            <w:r>
              <w:rPr>
                <w:rFonts w:hint="eastAsia"/>
                <w:color w:val="000000"/>
              </w:rPr>
              <w:t>亩，江水墨绿，水深流急，是同江航运的主动脉。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松花江是古往今来同江与内地联系的唯一航道。松花江从乐业平安村入境，由南向北，缓缓流去，在县城东北</w:t>
            </w:r>
            <w:r>
              <w:rPr>
                <w:color w:val="000000"/>
              </w:rPr>
              <w:t>4km</w:t>
            </w:r>
            <w:r>
              <w:rPr>
                <w:rFonts w:hint="eastAsia"/>
                <w:color w:val="000000"/>
              </w:rPr>
              <w:t>的三江口汇入黑龙江。境内流长</w:t>
            </w:r>
            <w:r>
              <w:rPr>
                <w:color w:val="000000"/>
              </w:rPr>
              <w:t>33km</w:t>
            </w:r>
            <w:r>
              <w:rPr>
                <w:rFonts w:hint="eastAsia"/>
                <w:color w:val="000000"/>
              </w:rPr>
              <w:t>，江面冬季宽度</w:t>
            </w:r>
            <w:r>
              <w:rPr>
                <w:color w:val="000000"/>
              </w:rPr>
              <w:t>为400~800m，夏季宽度为1000~1500m</w:t>
            </w:r>
            <w:r>
              <w:rPr>
                <w:rFonts w:hint="eastAsia"/>
                <w:color w:val="000000"/>
              </w:rPr>
              <w:t>，洪水期宽度为</w:t>
            </w:r>
            <w:r>
              <w:rPr>
                <w:color w:val="000000"/>
              </w:rPr>
              <w:t>1500-2000m</w:t>
            </w:r>
            <w:r>
              <w:rPr>
                <w:rFonts w:hint="eastAsia"/>
                <w:color w:val="000000"/>
              </w:rPr>
              <w:t>。松花江同江段最大流量</w:t>
            </w:r>
            <w:r>
              <w:rPr>
                <w:color w:val="000000"/>
              </w:rPr>
              <w:t>16000m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/s</w:t>
            </w:r>
            <w:r>
              <w:rPr>
                <w:rFonts w:hint="eastAsia"/>
                <w:color w:val="000000"/>
              </w:rPr>
              <w:t>，最小流量</w:t>
            </w:r>
            <w:r>
              <w:rPr>
                <w:color w:val="000000"/>
              </w:rPr>
              <w:t>130m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/s</w:t>
            </w:r>
            <w:r>
              <w:rPr>
                <w:rFonts w:hint="eastAsia"/>
                <w:color w:val="000000"/>
              </w:rPr>
              <w:t>，平均流量</w:t>
            </w:r>
            <w:r>
              <w:rPr>
                <w:color w:val="000000"/>
              </w:rPr>
              <w:t>8460 m3/s</w:t>
            </w:r>
            <w:r>
              <w:rPr>
                <w:rFonts w:hint="eastAsia"/>
                <w:color w:val="000000"/>
              </w:rPr>
              <w:t>。五十年一遇洪水位</w:t>
            </w:r>
            <w:r>
              <w:rPr>
                <w:color w:val="000000"/>
              </w:rPr>
              <w:t>55.6m</w:t>
            </w:r>
            <w:r>
              <w:rPr>
                <w:rFonts w:hint="eastAsia"/>
                <w:color w:val="000000"/>
              </w:rPr>
              <w:t>，历史最高洪水位</w:t>
            </w:r>
            <w:r>
              <w:rPr>
                <w:color w:val="000000"/>
              </w:rPr>
              <w:t>56.5m</w:t>
            </w:r>
            <w:r>
              <w:rPr>
                <w:rFonts w:hint="eastAsia"/>
                <w:color w:val="000000"/>
              </w:rPr>
              <w:t>（</w:t>
            </w:r>
            <w:r>
              <w:rPr>
                <w:color w:val="000000"/>
              </w:rPr>
              <w:t>1960</w:t>
            </w:r>
            <w:r>
              <w:rPr>
                <w:rFonts w:hint="eastAsia"/>
                <w:color w:val="000000"/>
              </w:rPr>
              <w:t>年），最低水位</w:t>
            </w:r>
            <w:r>
              <w:rPr>
                <w:color w:val="000000"/>
              </w:rPr>
              <w:t>47.4m</w:t>
            </w:r>
            <w:r>
              <w:rPr>
                <w:rFonts w:hint="eastAsia"/>
                <w:color w:val="000000"/>
              </w:rPr>
              <w:t>，警戒水位</w:t>
            </w:r>
            <w:r>
              <w:rPr>
                <w:color w:val="000000"/>
              </w:rPr>
              <w:t>53.5m</w:t>
            </w:r>
            <w:r>
              <w:rPr>
                <w:rFonts w:hint="eastAsia"/>
                <w:color w:val="000000"/>
              </w:rPr>
              <w:t>，平均水位</w:t>
            </w:r>
            <w:r>
              <w:rPr>
                <w:color w:val="000000"/>
              </w:rPr>
              <w:t>52.4m</w:t>
            </w:r>
            <w:r>
              <w:rPr>
                <w:rFonts w:hint="eastAsia"/>
                <w:color w:val="000000"/>
              </w:rPr>
              <w:t>。</w:t>
            </w:r>
          </w:p>
          <w:p>
            <w:pPr>
              <w:snapToGrid w:val="0"/>
              <w:spacing w:line="360" w:lineRule="auto"/>
              <w:ind w:firstLine="480" w:firstLineChars="200"/>
            </w:pPr>
            <w:r>
              <w:rPr>
                <w:rFonts w:hint="eastAsia"/>
                <w:color w:val="000000"/>
              </w:rPr>
              <w:t>同江市区东北</w:t>
            </w:r>
            <w:r>
              <w:rPr>
                <w:color w:val="000000"/>
              </w:rPr>
              <w:t>45</w:t>
            </w:r>
            <w:r>
              <w:rPr>
                <w:rFonts w:hint="eastAsia"/>
                <w:color w:val="000000"/>
              </w:rPr>
              <w:t>km处有一座街津山，山脚下有一条莲花河。莲花河在街津山脚下注入黑龙江。莲花河全长</w:t>
            </w:r>
            <w:r>
              <w:rPr>
                <w:color w:val="000000"/>
              </w:rPr>
              <w:t>141km</w:t>
            </w:r>
            <w:r>
              <w:rPr>
                <w:rFonts w:hint="eastAsia"/>
                <w:color w:val="000000"/>
              </w:rPr>
              <w:t>，由乐业乡庆丰村入境，水浅处不足</w:t>
            </w:r>
            <w:r>
              <w:rPr>
                <w:color w:val="000000"/>
              </w:rPr>
              <w:t>1m</w:t>
            </w:r>
            <w:r>
              <w:rPr>
                <w:rFonts w:hint="eastAsia"/>
                <w:color w:val="000000"/>
              </w:rPr>
              <w:t>，深入</w:t>
            </w:r>
            <w:r>
              <w:rPr>
                <w:color w:val="000000"/>
              </w:rPr>
              <w:t>2m</w:t>
            </w:r>
            <w:r>
              <w:rPr>
                <w:rFonts w:hint="eastAsia"/>
                <w:color w:val="000000"/>
              </w:rPr>
              <w:t>开外，河宽</w:t>
            </w:r>
            <w:r>
              <w:rPr>
                <w:color w:val="000000"/>
              </w:rPr>
              <w:t>30m</w:t>
            </w:r>
            <w:r>
              <w:rPr>
                <w:rFonts w:hint="eastAsia"/>
                <w:color w:val="000000"/>
              </w:rPr>
              <w:t>~</w:t>
            </w:r>
            <w:r>
              <w:rPr>
                <w:color w:val="000000"/>
              </w:rPr>
              <w:t>50m</w:t>
            </w:r>
            <w:r>
              <w:rPr>
                <w:rFonts w:hint="eastAsia"/>
                <w:color w:val="000000"/>
              </w:rPr>
              <w:t>。莲花河自西南向东北，流经青龙山，而后转北向，经街津口注入黑龙江。当黑龙江洪泛期到来时，黑龙</w:t>
            </w:r>
            <w:r>
              <w:rPr>
                <w:rFonts w:hint="eastAsia"/>
              </w:rPr>
              <w:t>江水大量倒灌，河槽溢出，淹没大片沼泽地，形成了大面积泛水区。洪水消落后，又形成了大量的泛水泡沼，大者常年有水，小者按季节时见时隐。</w:t>
            </w:r>
          </w:p>
          <w:p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在莲花河两侧分布有</w:t>
            </w:r>
            <w:r>
              <w:t>5</w:t>
            </w:r>
            <w:r>
              <w:rPr>
                <w:rFonts w:hint="eastAsia"/>
              </w:rPr>
              <w:t>条较大的支流，即：青龙河、拉起河、寒葱河、新富河、东莲花河，这些河的形态特征从属于莲花河。拉起河为莲花河支流，拉起河发源于同江市南门外沼泽地，河长</w:t>
            </w:r>
            <w:r>
              <w:t>2km</w:t>
            </w:r>
            <w:r>
              <w:rPr>
                <w:rFonts w:hint="eastAsia"/>
              </w:rPr>
              <w:t>，水深</w:t>
            </w:r>
            <w:r>
              <w:t>0.6</w:t>
            </w:r>
            <w:r>
              <w:rPr>
                <w:rFonts w:hint="eastAsia"/>
              </w:rPr>
              <w:t>~</w:t>
            </w:r>
            <w:r>
              <w:t>2.8m</w:t>
            </w:r>
            <w:r>
              <w:rPr>
                <w:rFonts w:hint="eastAsia"/>
              </w:rPr>
              <w:t>，河宽</w:t>
            </w:r>
            <w:r>
              <w:t>30</w:t>
            </w:r>
            <w:r>
              <w:rPr>
                <w:rFonts w:hint="eastAsia"/>
              </w:rPr>
              <w:t>~</w:t>
            </w:r>
            <w:r>
              <w:t>40m</w:t>
            </w:r>
            <w:r>
              <w:rPr>
                <w:rFonts w:hint="eastAsia"/>
              </w:rPr>
              <w:t>，向东流入莲花河。该河是同江市的主要排污河流。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</w:rPr>
            </w:pPr>
            <w:r>
              <w:rPr>
                <w:rFonts w:hint="eastAsia"/>
              </w:rPr>
              <w:t>同江市地质构造位于三江新断陷带内。地层按第三级一第四纪时期分区，属三江平原分区。进入新生代以来，本区地壳整体下降，沉积了大厚度的第四系及第三系，</w:t>
            </w:r>
            <w:r>
              <w:rPr>
                <w:rFonts w:hint="eastAsia" w:hAnsi="仿宋_GB2312"/>
              </w:rPr>
              <w:t>其中第四系厚度达</w:t>
            </w:r>
            <w:r>
              <w:t>159m</w:t>
            </w:r>
            <w:r>
              <w:rPr>
                <w:rFonts w:hint="eastAsia"/>
              </w:rPr>
              <w:t>。第四系之下为第三系碎屑岩及侏罗系上统火山岩。同江市供水新水源地厂址位于松花江与黑龙江汇合处的高漫滩上。第四系松散沉积物厚度达</w:t>
            </w:r>
            <w:r>
              <w:t>159m</w:t>
            </w:r>
            <w:r>
              <w:rPr>
                <w:rFonts w:hint="eastAsia"/>
              </w:rPr>
              <w:t>，其中砂、砂砾石层厚度达</w:t>
            </w:r>
            <w:r>
              <w:t>155m</w:t>
            </w:r>
            <w:r>
              <w:rPr>
                <w:rFonts w:hint="eastAsia"/>
              </w:rPr>
              <w:t>左右。同时，厂址毗邻松花江和黑龙江。这些，为地下水的形成、赋存提供了良好的条件。</w:t>
            </w:r>
          </w:p>
          <w:p>
            <w:pPr>
              <w:adjustRightInd w:val="0"/>
              <w:snapToGrid w:val="0"/>
              <w:spacing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五、动物、植物及矿产资源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 w:hAnsi="仿宋_GB2312"/>
              </w:rPr>
              <w:t>同江市境内野生动物有熊、野猪、狍子、野鸡等。鱼类主要有黑龙江野鲤、大白鱼、草鱼、鲫鱼等，还有比较名贵的鲟鳇鱼、鲑鱼，多达16类73种。同江市管辖范围内森林面积71万亩，森林覆盖率达18.2%，有桦树、实生柞、落叶松、黄菠萝、水曲柳等20余个树种，有榛子、核桃、</w:t>
            </w:r>
            <w:r>
              <w:rPr>
                <w:rFonts w:hAnsi="仿宋_GB2312"/>
              </w:rPr>
              <w:fldChar w:fldCharType="begin"/>
            </w:r>
            <w:r>
              <w:rPr>
                <w:rFonts w:hAnsi="仿宋_GB2312"/>
              </w:rPr>
              <w:instrText xml:space="preserve"> HYPERLINK "http://baike.baidu.com/view/5119.htm" \t "_blank" </w:instrText>
            </w:r>
            <w:r>
              <w:rPr>
                <w:rFonts w:hAnsi="仿宋_GB2312"/>
              </w:rPr>
              <w:fldChar w:fldCharType="separate"/>
            </w:r>
            <w:r>
              <w:rPr>
                <w:rFonts w:hint="eastAsia" w:hAnsi="仿宋_GB2312"/>
              </w:rPr>
              <w:t>葡萄</w:t>
            </w:r>
            <w:r>
              <w:rPr>
                <w:rFonts w:hAnsi="仿宋_GB2312"/>
              </w:rPr>
              <w:fldChar w:fldCharType="end"/>
            </w:r>
            <w:r>
              <w:rPr>
                <w:rFonts w:hint="eastAsia" w:hAnsi="仿宋_GB2312"/>
              </w:rPr>
              <w:t>等干果与浆果，有蕨菜、蘑菇、木耳、猴头等菌类，有刺五加、黄芪、党参、穿地龙等山药材229种，总贮量近300万公斤。截至2012年，已发现探明的矿产资源有铜、锌、硫铁矿化点和砂金、高岭土、褐煤、石灰石等70多种，铁矿石储量为44亿吨，锰矿储量达640万吨，煤炭储量达298亿吨，萨哈林岛上的石油天然气资源储量高达50亿吨，水镁石矿储量1400万吨，氧化镁含量高达62%。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</w:p>
        </w:tc>
      </w:tr>
    </w:tbl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27" w:name="_Toc477165777"/>
      <w:bookmarkStart w:id="28" w:name="_Toc29590"/>
      <w:bookmarkStart w:id="29" w:name="_Toc30292_WPSOffice_Level1"/>
      <w:r>
        <w:rPr>
          <w:rFonts w:hint="eastAsia" w:ascii="Times New Roman" w:hAnsi="Times New Roman" w:eastAsia="宋体"/>
          <w:sz w:val="30"/>
          <w:szCs w:val="30"/>
        </w:rPr>
        <w:t>四</w:t>
      </w:r>
      <w:r>
        <w:rPr>
          <w:rFonts w:ascii="Times New Roman" w:hAnsi="Times New Roman" w:eastAsia="宋体"/>
          <w:sz w:val="30"/>
          <w:szCs w:val="30"/>
        </w:rPr>
        <w:t>、环境质量状况</w:t>
      </w:r>
      <w:bookmarkEnd w:id="27"/>
      <w:bookmarkEnd w:id="28"/>
      <w:bookmarkEnd w:id="29"/>
    </w:p>
    <w:tbl>
      <w:tblPr>
        <w:tblStyle w:val="16"/>
        <w:tblW w:w="93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2" w:hRule="atLeast"/>
          <w:jc w:val="center"/>
        </w:trPr>
        <w:tc>
          <w:tcPr>
            <w:tcW w:w="9354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4"/>
              </w:rPr>
              <w:t>建设项目所在地区域环境质量现状及主要环境问题（环境空气、地面水、声环境）：</w:t>
            </w:r>
          </w:p>
          <w:p>
            <w:pPr>
              <w:spacing w:before="120" w:beforeLines="50" w:line="360" w:lineRule="auto"/>
              <w:ind w:firstLine="482" w:firstLineChars="200"/>
              <w:rPr>
                <w:b/>
              </w:rPr>
            </w:pPr>
            <w:r>
              <w:rPr>
                <w:b/>
              </w:rPr>
              <w:t>1. 大气环境</w:t>
            </w:r>
          </w:p>
          <w:p>
            <w:pPr>
              <w:spacing w:line="360" w:lineRule="auto"/>
              <w:ind w:firstLine="480" w:firstLineChars="200"/>
            </w:pPr>
            <w:r>
              <w:t>根</w:t>
            </w:r>
            <w:r>
              <w:rPr>
                <w:rFonts w:hint="eastAsia"/>
              </w:rPr>
              <w:t>据</w:t>
            </w:r>
            <w:r>
              <w:t>《</w:t>
            </w:r>
            <w:r>
              <w:rPr>
                <w:rFonts w:hint="eastAsia"/>
              </w:rPr>
              <w:t>环境空气质量标准</w:t>
            </w:r>
            <w:r>
              <w:t>》</w:t>
            </w:r>
            <w:r>
              <w:rPr>
                <w:rFonts w:hint="eastAsia"/>
              </w:rPr>
              <w:t>（GB3095-2012）</w:t>
            </w:r>
            <w:r>
              <w:t>，本项目所在地环境空气质量功能为二类区，区域环境空气质量执行国家二级标准。</w:t>
            </w:r>
          </w:p>
          <w:p>
            <w:pPr>
              <w:spacing w:line="360" w:lineRule="auto"/>
              <w:ind w:firstLine="482" w:firstLineChars="200"/>
              <w:rPr>
                <w:rFonts w:hint="eastAsia"/>
                <w:b/>
              </w:rPr>
            </w:pPr>
            <w:r>
              <w:rPr>
                <w:b/>
              </w:rPr>
              <w:t>2. 地表水环境</w:t>
            </w:r>
          </w:p>
          <w:p>
            <w:pPr>
              <w:spacing w:line="360" w:lineRule="auto"/>
              <w:ind w:firstLine="480" w:firstLineChars="2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根据《全国重要江河湖泊水功能区划（</w:t>
            </w:r>
            <w:r>
              <w:rPr>
                <w:color w:val="000000"/>
              </w:rPr>
              <w:t>2011-2030</w:t>
            </w:r>
            <w:r>
              <w:rPr>
                <w:rFonts w:hint="eastAsia"/>
                <w:color w:val="000000"/>
              </w:rPr>
              <w:t>）》（黑龙江省）可知，本项目所在地地表水体为松花江干流</w:t>
            </w:r>
            <w:r>
              <w:rPr>
                <w:rFonts w:hint="eastAsia" w:hAnsi="宋体" w:eastAsia="宋体"/>
                <w:bCs/>
                <w:color w:val="000000"/>
                <w:sz w:val="24"/>
              </w:rPr>
              <w:t>Ⅲ</w:t>
            </w:r>
            <w:r>
              <w:rPr>
                <w:rFonts w:hint="eastAsia"/>
                <w:color w:val="000000"/>
              </w:rPr>
              <w:t>类水体段，执行《地表水环境质量标准》（</w:t>
            </w:r>
            <w:r>
              <w:rPr>
                <w:color w:val="000000"/>
              </w:rPr>
              <w:t>GB3838-2002</w:t>
            </w:r>
            <w:r>
              <w:rPr>
                <w:rFonts w:hint="eastAsia"/>
                <w:color w:val="000000"/>
              </w:rPr>
              <w:t>）中的</w:t>
            </w:r>
            <w:r>
              <w:rPr>
                <w:rFonts w:hint="eastAsia" w:hAnsi="宋体" w:eastAsia="宋体"/>
                <w:bCs/>
                <w:color w:val="000000"/>
                <w:sz w:val="24"/>
              </w:rPr>
              <w:t>Ⅲ</w:t>
            </w:r>
            <w:r>
              <w:rPr>
                <w:rFonts w:hint="eastAsia"/>
                <w:color w:val="000000"/>
              </w:rPr>
              <w:t>类水体标准。</w:t>
            </w:r>
          </w:p>
          <w:p>
            <w:pPr>
              <w:spacing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  <w:r>
              <w:rPr>
                <w:b/>
              </w:rPr>
              <w:t>. 声环境</w:t>
            </w:r>
          </w:p>
          <w:p>
            <w:pPr>
              <w:spacing w:line="360" w:lineRule="auto"/>
              <w:ind w:firstLine="480" w:firstLineChars="200"/>
              <w:rPr>
                <w:b/>
              </w:rPr>
            </w:pPr>
            <w:r>
              <w:rPr>
                <w:rFonts w:hAnsi="仿宋_GB2312"/>
                <w:color w:val="000000"/>
              </w:rPr>
              <w:t>根据</w:t>
            </w:r>
            <w:r>
              <w:rPr>
                <w:rFonts w:hint="eastAsia" w:hAnsi="仿宋_GB2312"/>
                <w:color w:val="000000"/>
              </w:rPr>
              <w:t>同江市</w:t>
            </w:r>
            <w:r>
              <w:rPr>
                <w:rFonts w:hAnsi="仿宋_GB2312"/>
                <w:color w:val="000000"/>
              </w:rPr>
              <w:t>声</w:t>
            </w:r>
            <w:r>
              <w:rPr>
                <w:rFonts w:hint="eastAsia" w:hAnsi="仿宋_GB2312"/>
                <w:color w:val="000000"/>
              </w:rPr>
              <w:t>环境</w:t>
            </w:r>
            <w:r>
              <w:rPr>
                <w:rFonts w:hAnsi="仿宋_GB2312"/>
                <w:color w:val="000000"/>
              </w:rPr>
              <w:t>功能区划</w:t>
            </w:r>
            <w:r>
              <w:rPr>
                <w:rFonts w:hint="eastAsia" w:hAnsi="仿宋_GB2312"/>
                <w:color w:val="000000"/>
              </w:rPr>
              <w:t>分方案，该</w:t>
            </w:r>
            <w:r>
              <w:rPr>
                <w:color w:val="000000"/>
              </w:rPr>
              <w:t>建设项目</w:t>
            </w:r>
            <w:r>
              <w:rPr>
                <w:rFonts w:hint="eastAsia"/>
                <w:color w:val="000000"/>
              </w:rPr>
              <w:t>不在同江市声环境功能区划范围内，</w:t>
            </w:r>
            <w:r>
              <w:rPr>
                <w:rFonts w:hint="eastAsia"/>
              </w:rPr>
              <w:t>根据《声环境质量标准》（GB3095-2008）的相关要求，项目所在地为同江市向阳镇</w:t>
            </w:r>
            <w:r>
              <w:rPr>
                <w:rFonts w:hint="eastAsia"/>
                <w:lang w:eastAsia="zh-CN"/>
              </w:rPr>
              <w:t>燎原</w:t>
            </w:r>
            <w:r>
              <w:rPr>
                <w:rFonts w:hint="eastAsia"/>
              </w:rPr>
              <w:t>村，可参照1类声环境功能区标准执行</w:t>
            </w:r>
            <w:r>
              <w:t>。</w:t>
            </w:r>
          </w:p>
          <w:p>
            <w:pPr>
              <w:spacing w:before="120" w:beforeLines="50" w:line="360" w:lineRule="auto"/>
              <w:ind w:firstLine="482" w:firstLineChars="200"/>
              <w:rPr>
                <w:b/>
              </w:rPr>
            </w:pPr>
            <w:r>
              <w:rPr>
                <w:b/>
              </w:rPr>
              <w:t>二、环境质量现状</w:t>
            </w:r>
          </w:p>
          <w:p>
            <w:pPr>
              <w:spacing w:before="120" w:beforeLines="50" w:line="360" w:lineRule="auto"/>
              <w:ind w:firstLine="482" w:firstLineChars="200"/>
              <w:rPr>
                <w:rFonts w:hint="eastAsia"/>
                <w:b/>
              </w:rPr>
            </w:pPr>
            <w:r>
              <w:rPr>
                <w:b/>
              </w:rPr>
              <w:t>1. 大气环境质量现状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000000"/>
                <w:szCs w:val="22"/>
              </w:rPr>
            </w:pPr>
            <w:r>
              <w:rPr>
                <w:rFonts w:hint="eastAsia" w:hAnsi="仿宋_GB2312"/>
              </w:rPr>
              <w:t>环境空气质量现状采用评价基准年2018年同江市环境空气质量自动监测数据。2018年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同江市环境空气质量全年有效监测天数为322天，环境空气质量指数AQI达到和好于二级的优良天数为309天，达标比例为95.96%；其中一级优为205天，二级良为104天，三级轻度污染为13天。同江市环境空气质量现状评价见表6。</w:t>
            </w:r>
          </w:p>
          <w:p>
            <w:pPr>
              <w:spacing w:after="48" w:afterLines="20"/>
              <w:ind w:firstLine="482" w:firstLineChars="200"/>
              <w:jc w:val="center"/>
              <w:rPr>
                <w:rFonts w:hint="eastAsia"/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表6  同江市空气质量现状评价表</w:t>
            </w:r>
          </w:p>
          <w:tbl>
            <w:tblPr>
              <w:tblStyle w:val="16"/>
              <w:tblW w:w="8460" w:type="dxa"/>
              <w:tblInd w:w="36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49"/>
              <w:gridCol w:w="1906"/>
              <w:gridCol w:w="1260"/>
              <w:gridCol w:w="1546"/>
              <w:gridCol w:w="1344"/>
              <w:gridCol w:w="1255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3" w:hRule="atLeast"/>
              </w:trPr>
              <w:tc>
                <w:tcPr>
                  <w:tcW w:w="1149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污染物</w:t>
                  </w: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年评价指标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现状浓度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二级标准值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占标率（%）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达标情况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1149" w:type="dxa"/>
                  <w:vMerge w:val="restart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SO</w:t>
                  </w:r>
                  <w:r>
                    <w:rPr>
                      <w:rFonts w:hint="eastAsia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年平均质量浓度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13.3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149" w:type="dxa"/>
                  <w:vMerge w:val="continue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第98百分位数日平均质量浓度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11.3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5" w:hRule="atLeast"/>
              </w:trPr>
              <w:tc>
                <w:tcPr>
                  <w:tcW w:w="1149" w:type="dxa"/>
                  <w:vMerge w:val="restart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NO</w:t>
                  </w:r>
                  <w:r>
                    <w:rPr>
                      <w:rFonts w:hint="eastAsia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年平均质量浓度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0" w:hRule="atLeast"/>
              </w:trPr>
              <w:tc>
                <w:tcPr>
                  <w:tcW w:w="1149" w:type="dxa"/>
                  <w:vMerge w:val="continue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第98百分位数日平均质量浓度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37.5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1149" w:type="dxa"/>
                  <w:vMerge w:val="restart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PM</w:t>
                  </w:r>
                  <w:r>
                    <w:rPr>
                      <w:rFonts w:hint="eastAsia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年平均质量浓度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81.4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149" w:type="dxa"/>
                  <w:vMerge w:val="continue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第95百分位数日平均质量浓度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40.0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5" w:hRule="atLeast"/>
              </w:trPr>
              <w:tc>
                <w:tcPr>
                  <w:tcW w:w="1149" w:type="dxa"/>
                  <w:vMerge w:val="restart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PM</w:t>
                  </w:r>
                  <w:r>
                    <w:rPr>
                      <w:rFonts w:hint="eastAsia"/>
                      <w:sz w:val="24"/>
                      <w:szCs w:val="24"/>
                      <w:vertAlign w:val="subscript"/>
                    </w:rPr>
                    <w:t>2.5</w:t>
                  </w: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年平均质量浓度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57.1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1149" w:type="dxa"/>
                  <w:vMerge w:val="continue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第95百分位数日平均质量浓度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58.7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149" w:type="dxa"/>
                  <w:vMerge w:val="restart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24小时平均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3.8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95.0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5" w:hRule="atLeast"/>
              </w:trPr>
              <w:tc>
                <w:tcPr>
                  <w:tcW w:w="1149" w:type="dxa"/>
                  <w:vMerge w:val="continue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tcBorders>
                    <w:bottom w:val="single" w:color="auto" w:sz="4" w:space="0"/>
                  </w:tcBorders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第95百分位数日平均质量浓度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3.8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95.0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0" w:hRule="atLeast"/>
              </w:trPr>
              <w:tc>
                <w:tcPr>
                  <w:tcW w:w="1149" w:type="dxa"/>
                  <w:vMerge w:val="restart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O</w:t>
                  </w:r>
                  <w:r>
                    <w:rPr>
                      <w:rFonts w:hint="eastAsia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906" w:type="dxa"/>
                  <w:tcBorders>
                    <w:top w:val="single" w:color="auto" w:sz="4" w:space="0"/>
                  </w:tcBorders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pacing w:val="-11"/>
                      <w:sz w:val="24"/>
                      <w:szCs w:val="24"/>
                    </w:rPr>
                    <w:t>日最大8小时平均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61.3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0" w:hRule="atLeast"/>
              </w:trPr>
              <w:tc>
                <w:tcPr>
                  <w:tcW w:w="1149" w:type="dxa"/>
                  <w:vMerge w:val="continue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rPr>
                      <w:rFonts w:hint="eastAsia"/>
                      <w:spacing w:val="-11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第90百分位数8h平均质量浓度</w:t>
                  </w:r>
                </w:p>
              </w:tc>
              <w:tc>
                <w:tcPr>
                  <w:tcW w:w="1260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46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344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60.6</w:t>
                  </w:r>
                </w:p>
              </w:tc>
              <w:tc>
                <w:tcPr>
                  <w:tcW w:w="1255" w:type="dxa"/>
                  <w:shd w:val="clear" w:color="auto" w:fill="auto"/>
                  <w:noWrap w:val="0"/>
                  <w:vAlign w:val="center"/>
                </w:tcPr>
                <w:p>
                  <w:pPr>
                    <w:spacing w:before="48" w:beforeLines="20" w:after="48" w:afterLines="20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达标</w:t>
                  </w:r>
                </w:p>
              </w:tc>
            </w:tr>
          </w:tbl>
          <w:p>
            <w:pPr>
              <w:spacing w:line="360" w:lineRule="auto"/>
              <w:ind w:firstLine="630" w:firstLineChars="300"/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</w:rPr>
              <w:t>注：SO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、NO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、PM</w:t>
            </w:r>
            <w:r>
              <w:rPr>
                <w:sz w:val="21"/>
                <w:szCs w:val="21"/>
                <w:vertAlign w:val="subscript"/>
              </w:rPr>
              <w:t>10</w:t>
            </w:r>
            <w:r>
              <w:rPr>
                <w:sz w:val="21"/>
                <w:szCs w:val="21"/>
              </w:rPr>
              <w:t>、PM</w:t>
            </w:r>
            <w:r>
              <w:rPr>
                <w:sz w:val="21"/>
                <w:szCs w:val="21"/>
                <w:vertAlign w:val="subscript"/>
              </w:rPr>
              <w:t>2.5</w:t>
            </w:r>
            <w:r>
              <w:rPr>
                <w:sz w:val="21"/>
                <w:szCs w:val="21"/>
              </w:rPr>
              <w:t>、O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单位为</w: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>μg/m</w:t>
            </w:r>
            <w:r>
              <w:rPr>
                <w:color w:val="333333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>；</w:t>
            </w:r>
            <w:r>
              <w:rPr>
                <w:sz w:val="21"/>
                <w:szCs w:val="21"/>
              </w:rPr>
              <w:t>CO单位：</w: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>mg/m</w:t>
            </w:r>
            <w:r>
              <w:rPr>
                <w:color w:val="333333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color w:val="000000"/>
                <w:szCs w:val="22"/>
              </w:rPr>
            </w:pPr>
            <w:r>
              <w:rPr>
                <w:rFonts w:hint="eastAsia" w:hAnsi="Arial"/>
                <w:color w:val="333333"/>
                <w:shd w:val="clear" w:color="auto" w:fill="FFFFFF"/>
              </w:rPr>
              <w:t>由上表可知，SO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2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、NO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2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、PM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10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、PM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2.5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、CO、</w:t>
            </w:r>
            <w:r>
              <w:rPr>
                <w:rFonts w:hint="eastAsia"/>
                <w:color w:val="333333"/>
                <w:shd w:val="clear" w:color="auto" w:fill="FFFFFF"/>
              </w:rPr>
              <w:t>O</w:t>
            </w:r>
            <w:r>
              <w:rPr>
                <w:rFonts w:hint="eastAsia"/>
                <w:color w:val="333333"/>
                <w:shd w:val="clear" w:color="auto" w:fill="FFFFFF"/>
                <w:vertAlign w:val="subscript"/>
              </w:rPr>
              <w:t>3</w:t>
            </w:r>
            <w:r>
              <w:rPr>
                <w:rFonts w:hint="eastAsia"/>
                <w:color w:val="333333"/>
                <w:shd w:val="clear" w:color="auto" w:fill="FFFFFF"/>
              </w:rPr>
              <w:t>各项污染物年均值及日均值均</w:t>
            </w:r>
            <w:r>
              <w:rPr>
                <w:rFonts w:hint="eastAsia"/>
                <w:color w:val="000000"/>
                <w:szCs w:val="22"/>
              </w:rPr>
              <w:t>满足《环境空气质量标准》</w:t>
            </w:r>
            <w:r>
              <w:rPr>
                <w:color w:val="000000"/>
                <w:szCs w:val="22"/>
              </w:rPr>
              <w:t>(GB3095-2012)</w:t>
            </w:r>
            <w:r>
              <w:rPr>
                <w:rFonts w:hint="eastAsia"/>
                <w:color w:val="000000"/>
                <w:szCs w:val="22"/>
              </w:rPr>
              <w:t>二级标准要求，故同江市为环境空气质量达标区。</w:t>
            </w:r>
          </w:p>
          <w:p>
            <w:pPr>
              <w:spacing w:before="120" w:beforeLines="50" w:line="360" w:lineRule="auto"/>
              <w:ind w:firstLine="482" w:firstLineChars="200"/>
              <w:rPr>
                <w:rFonts w:hint="eastAsia"/>
                <w:b/>
              </w:rPr>
            </w:pPr>
            <w:r>
              <w:rPr>
                <w:b/>
              </w:rPr>
              <w:t>2. 地表水环境质量现状</w:t>
            </w:r>
          </w:p>
          <w:p>
            <w:pPr>
              <w:spacing w:line="360" w:lineRule="auto"/>
              <w:ind w:firstLine="480" w:firstLineChars="200"/>
              <w:rPr>
                <w:rFonts w:hAnsi="仿宋_GB2312"/>
                <w:color w:val="000000"/>
              </w:rPr>
            </w:pPr>
            <w:r>
              <w:rPr>
                <w:rFonts w:hint="eastAsia" w:hAnsi="仿宋_GB2312"/>
              </w:rPr>
              <w:t>地表水环境质量现状采用评价基准年2018年松花江同江断面采测分离数据。松花江同江断面2018年监测9期，具体时间为一月、二月、五月、六月、七月、八月、九月、十月、十一月，</w:t>
            </w:r>
            <w:r>
              <w:rPr>
                <w:rFonts w:hAnsi="仿宋_GB2312"/>
              </w:rPr>
              <w:t>监测</w:t>
            </w:r>
            <w:r>
              <w:rPr>
                <w:rFonts w:hint="eastAsia" w:hAnsi="仿宋_GB2312"/>
              </w:rPr>
              <w:t>指标</w:t>
            </w:r>
            <w:r>
              <w:rPr>
                <w:rFonts w:hAnsi="仿宋_GB2312"/>
              </w:rPr>
              <w:t>为</w:t>
            </w:r>
            <w:r>
              <w:rPr>
                <w:rFonts w:hint="eastAsia" w:hAnsi="仿宋_GB2312"/>
              </w:rPr>
              <w:t>31</w:t>
            </w:r>
            <w:r>
              <w:rPr>
                <w:rFonts w:hAnsi="仿宋_GB2312"/>
              </w:rPr>
              <w:t>项</w:t>
            </w:r>
            <w:r>
              <w:rPr>
                <w:rFonts w:hint="eastAsia" w:hAnsi="仿宋_GB2312"/>
              </w:rPr>
              <w:t>。监测</w:t>
            </w:r>
            <w:r>
              <w:rPr>
                <w:rFonts w:hint="eastAsia" w:hAnsi="仿宋_GB2312"/>
                <w:color w:val="000000"/>
              </w:rPr>
              <w:t>结果显示：</w:t>
            </w:r>
            <w:r>
              <w:rPr>
                <w:rFonts w:hAnsi="仿宋_GB2312"/>
                <w:color w:val="000000"/>
              </w:rPr>
              <w:t>201</w:t>
            </w:r>
            <w:r>
              <w:rPr>
                <w:rFonts w:hint="eastAsia" w:hAnsi="仿宋_GB2312"/>
                <w:color w:val="000000"/>
              </w:rPr>
              <w:t>8年松花江干流同江断面丰水期（七月份）水质类别符合Ⅲ类水质，水质状况良好，丰水期（八月份、九月份）水质为Ⅳ类水质，主要污染指标为总氮、总磷超标；平水期（五月份）水质为劣Ⅴ类水质，主要污染指标为总氮、PH超标；平水期（五月份、六月份、十月份、十一月份）水质为Ⅳ类水质，主要污染指标为化学需氧量（COD）总氮、总磷超标。</w:t>
            </w:r>
          </w:p>
          <w:p>
            <w:pPr>
              <w:spacing w:line="360" w:lineRule="auto"/>
              <w:ind w:firstLine="480" w:firstLineChars="200"/>
              <w:rPr>
                <w:rFonts w:hint="eastAsia" w:hAnsi="仿宋_GB2312"/>
                <w:color w:val="000000"/>
              </w:rPr>
            </w:pPr>
            <w:r>
              <w:rPr>
                <w:rFonts w:hint="eastAsia" w:hAnsi="仿宋_GB2312"/>
                <w:color w:val="000000"/>
              </w:rPr>
              <w:t>本项目所在地为同江市向阳镇</w:t>
            </w:r>
            <w:r>
              <w:rPr>
                <w:rFonts w:hint="eastAsia" w:hAnsi="仿宋_GB2312"/>
                <w:color w:val="000000"/>
                <w:lang w:eastAsia="zh-CN"/>
              </w:rPr>
              <w:t>燎原</w:t>
            </w:r>
            <w:r>
              <w:rPr>
                <w:rFonts w:hint="eastAsia" w:hAnsi="仿宋_GB2312"/>
                <w:color w:val="000000"/>
              </w:rPr>
              <w:t>村，属松花江干流段，地表水环境质量现状《地表水环境质量标准》（</w:t>
            </w:r>
            <w:r>
              <w:rPr>
                <w:rFonts w:hAnsi="仿宋_GB2312"/>
                <w:color w:val="000000"/>
              </w:rPr>
              <w:t>GB</w:t>
            </w:r>
            <w:r>
              <w:rPr>
                <w:rFonts w:hint="eastAsia" w:hAnsi="仿宋_GB2312"/>
                <w:color w:val="000000"/>
              </w:rPr>
              <w:t xml:space="preserve"> 3838</w:t>
            </w:r>
            <w:r>
              <w:rPr>
                <w:rFonts w:hAnsi="仿宋_GB2312"/>
                <w:color w:val="000000"/>
              </w:rPr>
              <w:t>-2</w:t>
            </w:r>
            <w:r>
              <w:rPr>
                <w:rFonts w:hint="eastAsia" w:hAnsi="仿宋_GB2312"/>
                <w:color w:val="000000"/>
              </w:rPr>
              <w:t>002）不满足Ⅲ类水体要求。</w:t>
            </w:r>
          </w:p>
          <w:p>
            <w:pPr>
              <w:spacing w:before="120" w:beforeLines="50" w:line="360" w:lineRule="auto"/>
              <w:ind w:firstLine="482" w:firstLineChars="200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  <w:r>
              <w:rPr>
                <w:b/>
              </w:rPr>
              <w:t>. 声环境质量现状</w:t>
            </w:r>
          </w:p>
          <w:p>
            <w:pPr>
              <w:pStyle w:val="8"/>
              <w:tabs>
                <w:tab w:val="left" w:pos="-180"/>
              </w:tabs>
              <w:spacing w:line="360" w:lineRule="auto"/>
              <w:ind w:firstLine="480" w:firstLineChars="200"/>
              <w:jc w:val="both"/>
              <w:rPr>
                <w:rFonts w:hint="eastAsia" w:ascii="黑体" w:eastAsia="黑体"/>
              </w:rPr>
            </w:pPr>
            <w:r>
              <w:t>本项目位于</w:t>
            </w:r>
            <w:r>
              <w:rPr>
                <w:rFonts w:hint="eastAsia"/>
              </w:rPr>
              <w:t>黑龙江省同江市向阳镇</w:t>
            </w:r>
            <w:r>
              <w:rPr>
                <w:rFonts w:hint="eastAsia"/>
                <w:lang w:eastAsia="zh-CN"/>
              </w:rPr>
              <w:t>燎原</w:t>
            </w:r>
            <w:r>
              <w:rPr>
                <w:rFonts w:hint="eastAsia"/>
              </w:rPr>
              <w:t>村</w:t>
            </w:r>
            <w:r>
              <w:t>，</w:t>
            </w:r>
            <w:r>
              <w:rPr>
                <w:rFonts w:hint="eastAsia"/>
                <w:lang w:eastAsia="zh-CN"/>
              </w:rPr>
              <w:t>厂区为新规划的工业用地，周围为农田，除偶发性的虫鸣、鸟叫、车辆行驶噪声外，</w:t>
            </w:r>
            <w:r>
              <w:t>噪声现状满足</w:t>
            </w:r>
            <w:r>
              <w:rPr>
                <w:spacing w:val="-4"/>
              </w:rPr>
              <w:t>《声环境质量标准》</w:t>
            </w:r>
            <w:r>
              <w:rPr>
                <w:rFonts w:hint="eastAsia"/>
              </w:rPr>
              <w:t>（</w:t>
            </w:r>
            <w:r>
              <w:t>GB3096-2008</w:t>
            </w:r>
            <w:r>
              <w:rPr>
                <w:rFonts w:hint="eastAsia"/>
              </w:rPr>
              <w:t>）</w:t>
            </w:r>
            <w:r>
              <w:rPr>
                <w:spacing w:val="-4"/>
              </w:rPr>
              <w:t>中的</w:t>
            </w:r>
            <w:r>
              <w:rPr>
                <w:rFonts w:hint="eastAsia"/>
                <w:spacing w:val="-4"/>
              </w:rPr>
              <w:t>1</w:t>
            </w:r>
            <w:r>
              <w:rPr>
                <w:spacing w:val="-4"/>
              </w:rPr>
              <w:t>类区标准</w:t>
            </w:r>
            <w:r>
              <w:rPr>
                <w:rFonts w:hint="eastAsia"/>
                <w:spacing w:val="-4"/>
              </w:rPr>
              <w:t>限值。</w:t>
            </w:r>
          </w:p>
          <w:p>
            <w:pPr>
              <w:spacing w:line="360" w:lineRule="auto"/>
              <w:ind w:firstLine="482" w:firstLineChars="200"/>
              <w:textAlignment w:val="center"/>
              <w:rPr>
                <w:rFonts w:hint="default" w:eastAsiaTheme="minorEastAsia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  <w:t>4.土壤环境质量现状</w:t>
            </w:r>
          </w:p>
          <w:p>
            <w:pPr>
              <w:pStyle w:val="50"/>
              <w:widowControl/>
              <w:autoSpaceDE w:val="0"/>
              <w:autoSpaceDN w:val="0"/>
              <w:spacing w:line="360" w:lineRule="auto"/>
              <w:ind w:firstLine="480" w:firstLineChars="200"/>
              <w:jc w:val="both"/>
              <w:textAlignment w:val="bottom"/>
              <w:rPr>
                <w:rFonts w:hint="eastAsia" w:ascii="Times New Roman" w:eastAsia="宋体"/>
                <w:szCs w:val="24"/>
                <w:highlight w:val="none"/>
                <w:lang w:eastAsia="zh-CN"/>
              </w:rPr>
            </w:pPr>
            <w:r>
              <w:rPr>
                <w:rFonts w:hint="eastAsia" w:ascii="Times New Roman"/>
                <w:szCs w:val="24"/>
                <w:highlight w:val="none"/>
                <w:lang w:eastAsia="zh-CN"/>
              </w:rPr>
              <w:t>本项目对厂区土壤环境质量现状进行了监测，监测结果如下</w:t>
            </w:r>
          </w:p>
          <w:tbl>
            <w:tblPr>
              <w:tblStyle w:val="17"/>
              <w:tblpPr w:leftFromText="180" w:rightFromText="180" w:vertAnchor="text" w:tblpXSpec="center" w:tblpY="1"/>
              <w:tblOverlap w:val="never"/>
              <w:tblW w:w="9138" w:type="dxa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07"/>
              <w:gridCol w:w="2378"/>
              <w:gridCol w:w="1550"/>
              <w:gridCol w:w="1502"/>
              <w:gridCol w:w="1472"/>
              <w:gridCol w:w="1429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序号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检测项目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标准限值mg/kg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1号点位监测值mg/kg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2号点位监测值mg/kg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3号点位监测值mg/kg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10.2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10.8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9.81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镉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0.152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0.212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0.165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铬（六价）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5.7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2.28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2.60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2.52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铜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18000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22.5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26.4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23.8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铅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800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23.4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35.1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21.2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汞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38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0.171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0.919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0.184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7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镍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900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17.5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21.8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18.2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8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四氯化碳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2.8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0.03L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0.03L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9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氯仿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0.9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10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氯甲烷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37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1.0L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1.0L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11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1,1-二氯乙烷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9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12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1,2-二氯乙烷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0.01L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0.01L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13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1,1-二氯乙烯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66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0.01L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0.01L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14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顺-1,2-二氯乙烯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596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0.008L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0.008L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15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反-1,2-二氯乙烯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54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16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二氯甲烷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616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17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1,2-二氯丙烷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0.008L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0.008L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18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1,1,1,2-四氯乙烷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19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1,1,2,2-四氯乙烷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6.8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四氯乙烯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53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21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1,1,1-三氯乙烷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840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22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1,1,2-三氯乙烷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2.8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23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三氯乙烯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2.8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0.009L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0.009L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24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1,2,3-三氯丙烷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0.5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25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0.43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26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0.01L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0.01L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27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氯苯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270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28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1,2-二氯苯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560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29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1,4-二氯苯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0.008L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0.008L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乙苯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28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0.006L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0.006L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31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苯乙烯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1290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32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甲苯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1200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0.006L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0.006L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33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间二甲苯+对二甲苯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570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0.009L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0.009L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34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邻二甲苯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640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0.02L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35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硝基苯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76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0.09L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0.09L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36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苯胺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260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37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2-氯酚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2256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0.04L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0.04L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38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苯并[a]蒽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4L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4L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39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苯并[a]芘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1.5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bookmarkStart w:id="30" w:name="OLE_LINK1"/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苯并[b]荧蒽</w:t>
                  </w:r>
                  <w:bookmarkEnd w:id="30"/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41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苯并[k]荧蒽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151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42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䓛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1293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3L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3L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43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二苯并[a，h]蒽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1.5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44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茚并[1,2,3-cd]芘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15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4L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4L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45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萘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70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0.007L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0.007L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46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滴滴涕</w:t>
                  </w:r>
                  <w:r>
                    <w:rPr>
                      <w:rFonts w:ascii="Times New Roman" w:hAnsi="Times New Roman"/>
                      <w:sz w:val="24"/>
                    </w:rPr>
                    <w:t>(μg/kg)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6.7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0.15L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0.15L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" w:hRule="atLeast"/>
              </w:trPr>
              <w:tc>
                <w:tcPr>
                  <w:tcW w:w="807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47</w:t>
                  </w:r>
                </w:p>
              </w:tc>
              <w:tc>
                <w:tcPr>
                  <w:tcW w:w="2378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氯丹</w:t>
                  </w:r>
                  <w:r>
                    <w:rPr>
                      <w:rFonts w:ascii="Times New Roman" w:hAnsi="Times New Roman"/>
                      <w:sz w:val="24"/>
                    </w:rPr>
                    <w:t>(μg/kg)</w:t>
                  </w:r>
                </w:p>
              </w:tc>
              <w:tc>
                <w:tcPr>
                  <w:tcW w:w="1550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6.2</w:t>
                  </w:r>
                </w:p>
              </w:tc>
              <w:tc>
                <w:tcPr>
                  <w:tcW w:w="150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</w:rPr>
                    <w:t>.</w:t>
                  </w:r>
                  <w:r>
                    <w:rPr>
                      <w:rFonts w:hint="eastAsia" w:ascii="Times New Roman" w:hAnsi="Times New Roman"/>
                      <w:sz w:val="24"/>
                    </w:rPr>
                    <w:t>10</w:t>
                  </w:r>
                  <w:r>
                    <w:rPr>
                      <w:rFonts w:ascii="Times New Roman" w:hAnsi="Times New Roman"/>
                      <w:sz w:val="24"/>
                    </w:rPr>
                    <w:t>L</w:t>
                  </w:r>
                </w:p>
              </w:tc>
              <w:tc>
                <w:tcPr>
                  <w:tcW w:w="1472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429" w:type="dxa"/>
                  <w:shd w:val="clear" w:color="auto" w:fill="auto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</w:rPr>
                    <w:t>.</w:t>
                  </w:r>
                  <w:r>
                    <w:rPr>
                      <w:rFonts w:hint="eastAsia" w:ascii="Times New Roman" w:hAnsi="Times New Roman"/>
                      <w:sz w:val="24"/>
                    </w:rPr>
                    <w:t>10</w:t>
                  </w:r>
                  <w:r>
                    <w:rPr>
                      <w:rFonts w:ascii="Times New Roman" w:hAnsi="Times New Roman"/>
                      <w:sz w:val="24"/>
                    </w:rPr>
                    <w:t>L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baseline"/>
              <w:rPr>
                <w:rFonts w:ascii="Times New Roman" w:hAnsi="Times New Roman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根据监测结果分析，项目所在区域土壤环境质量现状满足《土壤环境质量 建设用地土壤污染风险管控标准（试行）》（GB36600-2018）筛选值 第二类用地标准。</w:t>
            </w:r>
          </w:p>
        </w:tc>
      </w:tr>
    </w:tbl>
    <w:p>
      <w:pPr>
        <w:pStyle w:val="4"/>
        <w:spacing w:before="0" w:after="156" w:afterLines="50" w:line="360" w:lineRule="auto"/>
        <w:rPr>
          <w:rFonts w:ascii="Times New Roman" w:hAnsi="Times New Roman" w:eastAsia="宋体"/>
          <w:sz w:val="30"/>
          <w:szCs w:val="30"/>
          <w:highlight w:val="none"/>
        </w:rPr>
      </w:pPr>
      <w:bookmarkStart w:id="31" w:name="_Toc206692022"/>
      <w:bookmarkStart w:id="32" w:name="_Toc206686294"/>
      <w:bookmarkStart w:id="33" w:name="_Toc238101350"/>
      <w:bookmarkStart w:id="34" w:name="_Toc243216976"/>
      <w:bookmarkStart w:id="35" w:name="_Toc228024761"/>
      <w:bookmarkStart w:id="36" w:name="_Toc13250"/>
      <w:bookmarkStart w:id="37" w:name="_Toc477165778"/>
      <w:bookmarkStart w:id="38" w:name="_Toc291591452"/>
      <w:bookmarkStart w:id="39" w:name="_Toc27304_WPSOffice_Level1"/>
      <w:r>
        <w:rPr>
          <w:rFonts w:hint="eastAsia" w:ascii="Times New Roman" w:hAnsi="Times New Roman" w:eastAsia="宋体"/>
          <w:sz w:val="30"/>
          <w:szCs w:val="30"/>
          <w:highlight w:val="none"/>
        </w:rPr>
        <w:t>五</w:t>
      </w:r>
      <w:r>
        <w:rPr>
          <w:rFonts w:ascii="Times New Roman" w:hAnsi="Times New Roman" w:eastAsia="宋体"/>
          <w:sz w:val="30"/>
          <w:szCs w:val="30"/>
          <w:highlight w:val="none"/>
        </w:rPr>
        <w:t>、主要环境保护目标（列出名单及保护级别）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Style w:val="16"/>
        <w:tblW w:w="9354" w:type="dxa"/>
        <w:jc w:val="center"/>
        <w:tblInd w:w="-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5" w:hRule="atLeast"/>
          <w:jc w:val="center"/>
        </w:trPr>
        <w:tc>
          <w:tcPr>
            <w:tcW w:w="9354" w:type="dxa"/>
          </w:tcPr>
          <w:p>
            <w:pPr>
              <w:tabs>
                <w:tab w:val="left" w:pos="2385"/>
                <w:tab w:val="left" w:pos="2520"/>
                <w:tab w:val="left" w:pos="2940"/>
                <w:tab w:val="center" w:pos="4423"/>
              </w:tabs>
              <w:ind w:firstLine="480" w:firstLineChars="200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厂址周围环境现状如下：</w:t>
            </w:r>
          </w:p>
          <w:p>
            <w:pPr>
              <w:pStyle w:val="28"/>
              <w:spacing w:before="0" w:beforeLines="0" w:after="0" w:afterLines="0" w:line="360" w:lineRule="auto"/>
              <w:ind w:firstLine="480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项目位于</w:t>
            </w:r>
            <w:r>
              <w:rPr>
                <w:rFonts w:hint="eastAsia" w:ascii="Times New Roman" w:hAnsi="Times New Roman" w:eastAsia="宋体" w:cs="Times New Roman"/>
                <w:szCs w:val="24"/>
                <w:lang w:eastAsia="zh-CN"/>
              </w:rPr>
              <w:t>同江市向阳镇燎原村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。厂界南侧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隔</w:t>
            </w:r>
            <w:r>
              <w:rPr>
                <w:rFonts w:hint="eastAsia" w:ascii="Times New Roman" w:hAnsi="Times New Roman" w:cs="Times New Roman"/>
                <w:szCs w:val="24"/>
                <w:lang w:val="en-US" w:eastAsia="zh-CN"/>
              </w:rPr>
              <w:t>乡道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为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农田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，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东侧、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西侧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和北侧</w:t>
            </w:r>
            <w:r>
              <w:rPr>
                <w:rFonts w:hint="default" w:ascii="Times New Roman" w:hAnsi="Times New Roman" w:cs="Times New Roman" w:eastAsiaTheme="minorEastAsia"/>
                <w:szCs w:val="24"/>
                <w:lang w:eastAsia="zh-CN"/>
              </w:rPr>
              <w:t>为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农田；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项目评价范围内无自然保护区、风景旅游点和文物古迹等需要特殊保护的环境敏感对象，总体上不因本项目的实施而改变区域环境现有功能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Times New Roman" w:hAnsi="Times New Roman"/>
                <w:color w:val="auto"/>
                <w:highlight w:val="none"/>
                <w:lang w:eastAsia="zh-CN"/>
              </w:rPr>
              <w:t>项目厂界外</w:t>
            </w:r>
            <w:r>
              <w:rPr>
                <w:rFonts w:hint="eastAsia" w:ascii="Times New Roman" w:hAnsi="Times New Roman"/>
                <w:color w:val="auto"/>
                <w:highlight w:val="none"/>
                <w:lang w:val="en-US" w:eastAsia="zh-CN"/>
              </w:rPr>
              <w:t>200米范围内无居民作为本项目的声环境保护目标。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9"/>
              <w:jc w:val="both"/>
              <w:rPr>
                <w:rFonts w:ascii="Times New Roman" w:hAnsi="Times New Roman" w:eastAsia="宋体" w:cs="Times New Roman"/>
                <w:szCs w:val="24"/>
              </w:rPr>
            </w:pPr>
          </w:p>
        </w:tc>
      </w:tr>
    </w:tbl>
    <w:p>
      <w:pPr>
        <w:pStyle w:val="4"/>
        <w:spacing w:before="0" w:after="0" w:line="240" w:lineRule="auto"/>
        <w:ind w:firstLine="420" w:firstLineChars="0"/>
        <w:rPr>
          <w:rFonts w:ascii="Times New Roman" w:hAnsi="Times New Roman" w:eastAsia="宋体"/>
          <w:sz w:val="30"/>
          <w:szCs w:val="30"/>
        </w:rPr>
      </w:pPr>
      <w:bookmarkStart w:id="40" w:name="_Toc15879"/>
      <w:bookmarkStart w:id="41" w:name="_Toc477165779"/>
      <w:bookmarkStart w:id="42" w:name="_Toc4135_WPSOffice_Level1"/>
      <w:bookmarkStart w:id="43" w:name="_Toc20944"/>
      <w:bookmarkStart w:id="44" w:name="_Toc477165780"/>
      <w:r>
        <w:rPr>
          <w:rFonts w:hint="eastAsia" w:ascii="Times New Roman" w:hAnsi="Times New Roman" w:eastAsia="宋体"/>
          <w:sz w:val="30"/>
          <w:szCs w:val="30"/>
        </w:rPr>
        <w:t>六</w:t>
      </w:r>
      <w:r>
        <w:rPr>
          <w:rFonts w:ascii="Times New Roman" w:hAnsi="Times New Roman" w:eastAsia="宋体"/>
          <w:sz w:val="30"/>
          <w:szCs w:val="30"/>
        </w:rPr>
        <w:t>、评价适用标准</w:t>
      </w:r>
      <w:bookmarkEnd w:id="40"/>
      <w:bookmarkEnd w:id="41"/>
      <w:bookmarkEnd w:id="42"/>
    </w:p>
    <w:tbl>
      <w:tblPr>
        <w:tblStyle w:val="16"/>
        <w:tblW w:w="93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8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8" w:hRule="atLeast"/>
          <w:jc w:val="center"/>
        </w:trPr>
        <w:tc>
          <w:tcPr>
            <w:tcW w:w="92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环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境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质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量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标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准</w:t>
            </w:r>
          </w:p>
        </w:tc>
        <w:tc>
          <w:tcPr>
            <w:tcW w:w="8428" w:type="dxa"/>
            <w:vAlign w:val="center"/>
          </w:tcPr>
          <w:p>
            <w:pPr>
              <w:pStyle w:val="30"/>
              <w:spacing w:line="500" w:lineRule="exact"/>
              <w:rPr>
                <w:b/>
                <w:bCs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b/>
                <w:bCs/>
              </w:rPr>
              <w:t>1</w:t>
            </w:r>
            <w:r>
              <w:rPr>
                <w:rFonts w:ascii="宋体" w:hAnsi="宋体"/>
                <w:b/>
                <w:bCs/>
              </w:rPr>
              <w:t>、环境空气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本项目所在地环境空气质量执行《环境空气质量标准》（GB3095-2012）二级标准的浓度限值，标准值见表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6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-1。</w:t>
            </w:r>
          </w:p>
          <w:p>
            <w:pPr>
              <w:jc w:val="center"/>
              <w:rPr>
                <w:rFonts w:ascii="Times New Roman" w:hAnsi="Times New Roman"/>
                <w:color w:val="auto"/>
                <w:szCs w:val="21"/>
                <w:highlight w:val="none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6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 xml:space="preserve">-1 本项目大气环境空气质量标准限值 </w:t>
            </w:r>
            <w:r>
              <w:rPr>
                <w:rFonts w:ascii="Times New Roman" w:hAnsi="Times New Roman"/>
                <w:b/>
                <w:bCs/>
                <w:color w:val="auto"/>
                <w:szCs w:val="21"/>
                <w:highlight w:val="none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 xml:space="preserve">     </w:t>
            </w:r>
          </w:p>
          <w:tbl>
            <w:tblPr>
              <w:tblStyle w:val="16"/>
              <w:tblW w:w="8337" w:type="dxa"/>
              <w:jc w:val="center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52"/>
              <w:gridCol w:w="1701"/>
              <w:gridCol w:w="1866"/>
              <w:gridCol w:w="311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13" w:hRule="atLeast"/>
                <w:jc w:val="center"/>
              </w:trPr>
              <w:tc>
                <w:tcPr>
                  <w:tcW w:w="165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污染物名称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平均时间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浓度限值</w:t>
                  </w:r>
                </w:p>
              </w:tc>
              <w:tc>
                <w:tcPr>
                  <w:tcW w:w="311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标准来源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0" w:hRule="atLeast"/>
                <w:jc w:val="center"/>
              </w:trPr>
              <w:tc>
                <w:tcPr>
                  <w:tcW w:w="165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SO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bscript"/>
                    </w:rPr>
                    <w:t>2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年平均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60μg/m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《环境空气质量标准》</w:t>
                  </w:r>
                </w:p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(GB3095-2012)二级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0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24小时平均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150μg/m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0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1小时平均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500μg/m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0" w:hRule="atLeast"/>
                <w:jc w:val="center"/>
              </w:trPr>
              <w:tc>
                <w:tcPr>
                  <w:tcW w:w="165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bscript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NO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bscript"/>
                    </w:rPr>
                    <w:t>2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年平均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40μg/m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68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24小时平均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80μg/m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68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1小时平均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200μg/m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68" w:hRule="atLeast"/>
                <w:jc w:val="center"/>
              </w:trPr>
              <w:tc>
                <w:tcPr>
                  <w:tcW w:w="1652" w:type="dxa"/>
                  <w:vMerge w:val="restart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NO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bscript"/>
                    </w:rPr>
                    <w:t>x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年平均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50g/m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68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24小时平均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100g/m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68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1小时平均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250g/m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64" w:hRule="atLeast"/>
                <w:jc w:val="center"/>
              </w:trPr>
              <w:tc>
                <w:tcPr>
                  <w:tcW w:w="165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颗粒物（PM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softHyphen/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bscript"/>
                    </w:rPr>
                    <w:t>10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）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年平均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  <w:t>70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64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24小时平均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  <w:t>150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37" w:hRule="atLeast"/>
                <w:jc w:val="center"/>
              </w:trPr>
              <w:tc>
                <w:tcPr>
                  <w:tcW w:w="165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颗粒物（PM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bscript"/>
                    </w:rPr>
                    <w:t>2.5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）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年平均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  <w:t>35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37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24小时平均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  <w:t>75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37" w:hRule="atLeast"/>
                <w:jc w:val="center"/>
              </w:trPr>
              <w:tc>
                <w:tcPr>
                  <w:tcW w:w="165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TSP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年平均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  <w:t>200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37" w:hRule="atLeast"/>
                <w:jc w:val="center"/>
              </w:trPr>
              <w:tc>
                <w:tcPr>
                  <w:tcW w:w="1652" w:type="dxa"/>
                  <w:vMerge w:val="continue"/>
                  <w:noWrap w:val="0"/>
                  <w:vAlign w:val="top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24小时平均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  <w:t>300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  <w:t>g/m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top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37" w:hRule="atLeast"/>
                <w:jc w:val="center"/>
              </w:trPr>
              <w:tc>
                <w:tcPr>
                  <w:tcW w:w="165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</w:rPr>
                    <w:t>NH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  <w:vertAlign w:val="subscript"/>
                    </w:rPr>
                    <w:t>3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eastAsia="zh-CN"/>
                    </w:rPr>
                    <w:t>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kern w:val="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</w:rPr>
                    <w:t>0.2mg/m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restart"/>
                  <w:noWrap w:val="0"/>
                  <w:vAlign w:val="top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eastAsia="zh-CN"/>
                    </w:rPr>
                    <w:t>环境影响评价技术导则</w:t>
                  </w: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val="en-US" w:eastAsia="zh-CN"/>
                    </w:rPr>
                    <w:t xml:space="preserve"> 大气环境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</w:rPr>
                    <w:t>》（</w:t>
                  </w: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val="en-US" w:eastAsia="zh-CN"/>
                    </w:rPr>
                    <w:t>HJ2.2-2018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</w:rPr>
                    <w:t>）</w:t>
                  </w: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eastAsia="zh-CN"/>
                    </w:rPr>
                    <w:t>附录</w:t>
                  </w: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val="en-US" w:eastAsia="zh-CN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37" w:hRule="atLeast"/>
                <w:jc w:val="center"/>
              </w:trPr>
              <w:tc>
                <w:tcPr>
                  <w:tcW w:w="165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H</w:t>
                  </w:r>
                  <w:r>
                    <w:rPr>
                      <w:rFonts w:hint="eastAsia"/>
                      <w:vertAlign w:val="subscript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lang w:val="en-US" w:eastAsia="zh-CN"/>
                    </w:rPr>
                    <w:t>S</w:t>
                  </w:r>
                </w:p>
              </w:tc>
              <w:tc>
                <w:tcPr>
                  <w:tcW w:w="170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eastAsia="zh-CN"/>
                    </w:rPr>
                    <w:t>小时平均</w:t>
                  </w:r>
                </w:p>
              </w:tc>
              <w:tc>
                <w:tcPr>
                  <w:tcW w:w="1866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sz w:val="21"/>
                      <w:szCs w:val="21"/>
                      <w:lang w:val="en-US" w:eastAsia="zh-CN"/>
                    </w:rPr>
                    <w:t>10u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</w:rPr>
                    <w:t>g/m</w:t>
                  </w:r>
                  <w:r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3118" w:type="dxa"/>
                  <w:vMerge w:val="continue"/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lang w:eastAsia="zh-CN"/>
                    </w:rPr>
                  </w:pPr>
                </w:p>
              </w:tc>
            </w:tr>
          </w:tbl>
          <w:p>
            <w:pPr>
              <w:pStyle w:val="30"/>
              <w:spacing w:line="500" w:lineRule="exact"/>
              <w:ind w:left="0" w:leftChars="0" w:firstLine="241" w:firstLineChars="10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</w:t>
            </w:r>
            <w:r>
              <w:rPr>
                <w:rFonts w:ascii="宋体" w:hAnsi="宋体"/>
                <w:b/>
                <w:bCs/>
              </w:rPr>
              <w:t>、</w:t>
            </w:r>
            <w:r>
              <w:rPr>
                <w:rFonts w:hint="eastAsia" w:ascii="宋体" w:hAnsi="宋体"/>
                <w:b/>
                <w:bCs/>
              </w:rPr>
              <w:t>声环境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本项目厂界声环境执行《声环境质量标准》（GB3096-2008）中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类标准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具体标准限值见表6-2。</w:t>
            </w:r>
          </w:p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表</w:t>
            </w:r>
            <w:r>
              <w:rPr>
                <w:rFonts w:hint="eastAsia"/>
                <w:b/>
                <w:bCs/>
                <w:sz w:val="21"/>
                <w:szCs w:val="21"/>
              </w:rPr>
              <w:t>6</w:t>
            </w:r>
            <w:r>
              <w:rPr>
                <w:b/>
                <w:bCs/>
                <w:sz w:val="21"/>
                <w:szCs w:val="21"/>
              </w:rPr>
              <w:t>-</w:t>
            </w:r>
            <w:r>
              <w:rPr>
                <w:rFonts w:hint="eastAsia"/>
                <w:b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 xml:space="preserve">  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  <w:t>《声环境质量标准》（GB3096-2008）（等效声级Leq:dB（A））</w:t>
            </w:r>
          </w:p>
          <w:tbl>
            <w:tblPr>
              <w:tblStyle w:val="16"/>
              <w:tblW w:w="8212" w:type="dxa"/>
              <w:jc w:val="center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40"/>
              <w:gridCol w:w="2639"/>
              <w:gridCol w:w="2933"/>
            </w:tblGrid>
            <w:tr>
              <w:tblPrEx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  <w:jc w:val="center"/>
              </w:trPr>
              <w:tc>
                <w:tcPr>
                  <w:tcW w:w="2640" w:type="dxa"/>
                  <w:tcBorders>
                    <w:top w:val="single" w:color="auto" w:sz="12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类别</w:t>
                  </w:r>
                </w:p>
              </w:tc>
              <w:tc>
                <w:tcPr>
                  <w:tcW w:w="2639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昼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>间</w:t>
                  </w:r>
                </w:p>
              </w:tc>
              <w:tc>
                <w:tcPr>
                  <w:tcW w:w="2933" w:type="dxa"/>
                  <w:tcBorders>
                    <w:top w:val="single" w:color="auto" w:sz="12" w:space="0"/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夜间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  <w:jc w:val="center"/>
              </w:trPr>
              <w:tc>
                <w:tcPr>
                  <w:tcW w:w="2640" w:type="dxa"/>
                  <w:tcBorders>
                    <w:top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类</w:t>
                  </w:r>
                </w:p>
              </w:tc>
              <w:tc>
                <w:tcPr>
                  <w:tcW w:w="2639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 w:eastAsiaTheme="minor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55</w:t>
                  </w:r>
                </w:p>
              </w:tc>
              <w:tc>
                <w:tcPr>
                  <w:tcW w:w="2933" w:type="dxa"/>
                  <w:tcBorders>
                    <w:top w:val="single" w:color="auto" w:sz="4" w:space="0"/>
                    <w:left w:val="single" w:color="auto" w:sz="4" w:space="0"/>
                    <w:bottom w:val="single" w:color="auto" w:sz="12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45</w:t>
                  </w:r>
                </w:p>
              </w:tc>
            </w:tr>
          </w:tbl>
          <w:p>
            <w:pPr>
              <w:ind w:firstLine="482" w:firstLineChars="200"/>
            </w:pPr>
            <w:r>
              <w:rPr>
                <w:rFonts w:hint="eastAsia"/>
                <w:b/>
                <w:bCs/>
              </w:rPr>
              <w:t>3</w:t>
            </w:r>
            <w:r>
              <w:rPr>
                <w:rFonts w:ascii="宋体" w:hAnsi="宋体"/>
                <w:b/>
                <w:bCs/>
              </w:rPr>
              <w:t>、</w:t>
            </w:r>
            <w:r>
              <w:rPr>
                <w:rFonts w:hint="eastAsia" w:ascii="宋体" w:hAnsi="宋体"/>
                <w:b/>
                <w:bCs/>
              </w:rPr>
              <w:t>地表水</w:t>
            </w:r>
          </w:p>
          <w:p>
            <w:pPr>
              <w:ind w:firstLine="480" w:firstLineChars="200"/>
              <w:rPr>
                <w:rFonts w:hint="default" w:ascii="Times New Roman" w:hAnsi="Times New Roman" w:cs="Times New Roman" w:eastAsiaTheme="minorEastAsia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Cs w:val="24"/>
              </w:rPr>
              <w:t>根据《黑龙江省地面水环境质量功能区划分和水环境质量补充标准》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zCs w:val="24"/>
              </w:rPr>
              <w:t>（DB23/485-1998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），</w:t>
            </w:r>
            <w:r>
              <w:rPr>
                <w:rFonts w:hint="eastAsia" w:ascii="Times New Roman" w:hAnsi="Times New Roman" w:cs="Times New Roman"/>
                <w:szCs w:val="24"/>
                <w:lang w:eastAsia="zh-CN"/>
              </w:rPr>
              <w:t>松花江“福合村至同江市”段</w:t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规划为</w:t>
            </w:r>
            <w:r>
              <w:rPr>
                <w:rFonts w:hint="default" w:ascii="Times New Roman" w:hAnsi="Times New Roman" w:cs="Times New Roman"/>
                <w:sz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</w:rPr>
              <w:instrText xml:space="preserve"> = 3 \* ROMAN </w:instrText>
            </w:r>
            <w:r>
              <w:rPr>
                <w:rFonts w:hint="default" w:ascii="Times New Roman" w:hAnsi="Times New Roman" w:cs="Times New Roman"/>
                <w:sz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4"/>
              </w:rPr>
              <w:t>III</w:t>
            </w:r>
            <w:r>
              <w:rPr>
                <w:rFonts w:hint="default" w:ascii="Times New Roman" w:hAnsi="Times New Roman" w:cs="Times New Roman"/>
                <w:sz w:val="24"/>
              </w:rPr>
              <w:fldChar w:fldCharType="end"/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类水体，地表水环境质量执行《地表水环境质量标准》（GB3838-2002）中的</w:t>
            </w:r>
            <w:r>
              <w:rPr>
                <w:rFonts w:hint="default" w:ascii="Times New Roman" w:hAnsi="Times New Roman" w:cs="Times New Roman"/>
                <w:sz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</w:rPr>
              <w:instrText xml:space="preserve"> = 3 \* ROMAN </w:instrText>
            </w:r>
            <w:r>
              <w:rPr>
                <w:rFonts w:hint="default" w:ascii="Times New Roman" w:hAnsi="Times New Roman" w:cs="Times New Roman"/>
                <w:sz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4"/>
              </w:rPr>
              <w:t>III</w:t>
            </w:r>
            <w:r>
              <w:rPr>
                <w:rFonts w:hint="default" w:ascii="Times New Roman" w:hAnsi="Times New Roman" w:cs="Times New Roman"/>
                <w:sz w:val="24"/>
              </w:rPr>
              <w:fldChar w:fldCharType="end"/>
            </w:r>
            <w:r>
              <w:rPr>
                <w:rFonts w:hint="default" w:ascii="Times New Roman" w:hAnsi="Times New Roman" w:cs="Times New Roman" w:eastAsiaTheme="minorEastAsia"/>
                <w:szCs w:val="24"/>
              </w:rPr>
              <w:t>类标准，具体标准值见表6-3。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表6-3  《地表水环境质量标准》(GB3838-2002)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I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II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类标准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 xml:space="preserve"> 单位：mg/L</w:t>
            </w:r>
          </w:p>
          <w:tbl>
            <w:tblPr>
              <w:tblStyle w:val="16"/>
              <w:tblW w:w="7950" w:type="dxa"/>
              <w:tblInd w:w="281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83"/>
              <w:gridCol w:w="1856"/>
              <w:gridCol w:w="3075"/>
              <w:gridCol w:w="1168"/>
              <w:gridCol w:w="116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83" w:type="dxa"/>
                  <w:vMerge w:val="restart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地表水</w:t>
                  </w:r>
                </w:p>
              </w:tc>
              <w:tc>
                <w:tcPr>
                  <w:tcW w:w="1856" w:type="dxa"/>
                  <w:vMerge w:val="restart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textAlignment w:val="bottom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地表水环境质量标准》（GB3838-2002）中</w:t>
                  </w:r>
                  <w:r>
                    <w:rPr>
                      <w:szCs w:val="21"/>
                    </w:rPr>
                    <w:fldChar w:fldCharType="begin"/>
                  </w:r>
                  <w:r>
                    <w:rPr>
                      <w:szCs w:val="21"/>
                    </w:rPr>
                    <w:instrText xml:space="preserve"> </w:instrText>
                  </w:r>
                  <w:r>
                    <w:rPr>
                      <w:rFonts w:hint="eastAsia"/>
                      <w:szCs w:val="21"/>
                    </w:rPr>
                    <w:instrText xml:space="preserve">= 3 \* ROMAN</w:instrText>
                  </w:r>
                  <w:r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>
                    <w:rPr>
                      <w:szCs w:val="21"/>
                    </w:rPr>
                    <w:t>III</w:t>
                  </w:r>
                  <w:r>
                    <w:rPr>
                      <w:szCs w:val="21"/>
                    </w:rPr>
                    <w:fldChar w:fldCharType="end"/>
                  </w:r>
                  <w:r>
                    <w:rPr>
                      <w:szCs w:val="20"/>
                    </w:rPr>
                    <w:t>类标准</w:t>
                  </w: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pH</w:t>
                  </w: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textAlignment w:val="bottom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无量纲</w:t>
                  </w: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6~9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textAlignment w:val="bottom"/>
                    <w:rPr>
                      <w:szCs w:val="20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溶解氧</w:t>
                  </w:r>
                </w:p>
              </w:tc>
              <w:tc>
                <w:tcPr>
                  <w:tcW w:w="1168" w:type="dxa"/>
                  <w:vMerge w:val="restart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mg/L</w:t>
                  </w: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≥</w:t>
                  </w:r>
                  <w:r>
                    <w:rPr>
                      <w:rFonts w:hint="eastAsia"/>
                      <w:szCs w:val="24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高锰酸盐指数</w:t>
                  </w:r>
                </w:p>
              </w:tc>
              <w:tc>
                <w:tcPr>
                  <w:tcW w:w="1168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≤</w:t>
                  </w:r>
                  <w:r>
                    <w:rPr>
                      <w:rFonts w:hint="eastAsia"/>
                      <w:szCs w:val="24"/>
                    </w:rPr>
                    <w:t>6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COD</w:t>
                  </w:r>
                </w:p>
              </w:tc>
              <w:tc>
                <w:tcPr>
                  <w:tcW w:w="1168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≤</w:t>
                  </w:r>
                  <w:r>
                    <w:rPr>
                      <w:rFonts w:hint="eastAsia"/>
                      <w:szCs w:val="24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BOD</w:t>
                  </w:r>
                  <w:r>
                    <w:rPr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1168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≤</w:t>
                  </w:r>
                  <w:r>
                    <w:rPr>
                      <w:rFonts w:hint="eastAsia"/>
                      <w:szCs w:val="24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氨氮</w:t>
                  </w:r>
                </w:p>
              </w:tc>
              <w:tc>
                <w:tcPr>
                  <w:tcW w:w="1168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≤1.</w:t>
                  </w:r>
                  <w:r>
                    <w:rPr>
                      <w:rFonts w:hint="eastAsia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总氮</w:t>
                  </w:r>
                </w:p>
              </w:tc>
              <w:tc>
                <w:tcPr>
                  <w:tcW w:w="1168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≤1.</w:t>
                  </w:r>
                  <w:r>
                    <w:rPr>
                      <w:rFonts w:hint="eastAsia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</w:trPr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856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3075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总磷</w:t>
                  </w:r>
                </w:p>
              </w:tc>
              <w:tc>
                <w:tcPr>
                  <w:tcW w:w="1168" w:type="dxa"/>
                  <w:vMerge w:val="continue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</w:p>
              </w:tc>
              <w:tc>
                <w:tcPr>
                  <w:tcW w:w="1168" w:type="dxa"/>
                  <w:noWrap w:val="0"/>
                  <w:vAlign w:val="center"/>
                </w:tcPr>
                <w:p>
                  <w:pPr>
                    <w:pStyle w:val="45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≤0.</w:t>
                  </w:r>
                  <w:r>
                    <w:rPr>
                      <w:rFonts w:hint="eastAsia"/>
                      <w:szCs w:val="24"/>
                    </w:rPr>
                    <w:t>2</w:t>
                  </w:r>
                </w:p>
              </w:tc>
            </w:tr>
          </w:tbl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</w:p>
          <w:p>
            <w:pPr>
              <w:pStyle w:val="9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1" w:hRule="atLeast"/>
          <w:jc w:val="center"/>
        </w:trPr>
        <w:tc>
          <w:tcPr>
            <w:tcW w:w="926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污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染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物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排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放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标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准</w:t>
            </w:r>
          </w:p>
        </w:tc>
        <w:tc>
          <w:tcPr>
            <w:tcW w:w="8428" w:type="dxa"/>
            <w:vAlign w:val="center"/>
          </w:tcPr>
          <w:p>
            <w:pPr>
              <w:pStyle w:val="39"/>
              <w:spacing w:line="360" w:lineRule="auto"/>
              <w:ind w:firstLine="0" w:firstLineChars="0"/>
              <w:rPr>
                <w:rFonts w:ascii="Times New Roman" w:hAnsi="Times New Roman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1、废气</w:t>
            </w:r>
          </w:p>
          <w:p>
            <w:pPr>
              <w:pStyle w:val="39"/>
              <w:spacing w:line="360" w:lineRule="auto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 w:val="0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本项目营运期颗粒物执行《大气污染物综合排放标准》（GB16297-1996）表2中二级标准限值以及无组织排放监控浓度限值要求，标准值见表</w:t>
            </w:r>
            <w:r>
              <w:rPr>
                <w:rFonts w:hint="default" w:ascii="Times New Roman" w:hAnsi="Times New Roman" w:cs="Times New Roman" w:eastAsiaTheme="minorEastAsia"/>
                <w:bCs w:val="0"/>
                <w:color w:val="000000" w:themeColor="text1"/>
                <w:kern w:val="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6-4</w:t>
            </w:r>
            <w:r>
              <w:rPr>
                <w:rFonts w:hint="default" w:ascii="Times New Roman" w:hAnsi="Times New Roman" w:cs="Times New Roman" w:eastAsiaTheme="minorEastAsia"/>
                <w:bCs w:val="0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pStyle w:val="39"/>
              <w:spacing w:line="360" w:lineRule="auto"/>
              <w:ind w:firstLine="482"/>
              <w:jc w:val="center"/>
              <w:rPr>
                <w:rFonts w:ascii="Times New Roman" w:hAnsi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表</w:t>
            </w:r>
            <w:r>
              <w:rPr>
                <w:rFonts w:hint="eastAsia" w:ascii="Times New Roman" w:hAnsi="Times New Roman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6-4</w:t>
            </w:r>
            <w:r>
              <w:rPr>
                <w:rFonts w:ascii="Times New Roman" w:hAnsi="Times New Roman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大气污染物排放标准</w:t>
            </w:r>
          </w:p>
          <w:tbl>
            <w:tblPr>
              <w:tblStyle w:val="16"/>
              <w:tblW w:w="8159" w:type="dxa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80"/>
              <w:gridCol w:w="813"/>
              <w:gridCol w:w="1191"/>
              <w:gridCol w:w="954"/>
              <w:gridCol w:w="975"/>
              <w:gridCol w:w="1189"/>
              <w:gridCol w:w="2057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66" w:hRule="atLeast"/>
              </w:trPr>
              <w:tc>
                <w:tcPr>
                  <w:tcW w:w="980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污染源</w:t>
                  </w: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污染物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最高允许</w:t>
                  </w:r>
                </w:p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排放浓度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最高允许排放速率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排气筒高度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排放</w:t>
                  </w:r>
                </w:p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限值</w:t>
                  </w:r>
                </w:p>
              </w:tc>
              <w:tc>
                <w:tcPr>
                  <w:tcW w:w="2057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排放标准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36" w:hRule="atLeast"/>
              </w:trPr>
              <w:tc>
                <w:tcPr>
                  <w:tcW w:w="980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生产</w:t>
                  </w:r>
                </w:p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车间</w:t>
                  </w:r>
                </w:p>
              </w:tc>
              <w:tc>
                <w:tcPr>
                  <w:tcW w:w="813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颗粒物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mg/m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:vertAlign w:val="superscript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3.5kg/h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15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m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205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《大气污染物综合排放标准》（GB16297-1996）表2中二级标准限值以及无组织排放浓度限值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厂界</w:t>
                  </w:r>
                </w:p>
              </w:tc>
              <w:tc>
                <w:tcPr>
                  <w:tcW w:w="81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1.0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mg/m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:vertAlign w:val="superscript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205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生产</w:t>
                  </w:r>
                </w:p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车间</w:t>
                  </w: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氨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15m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4.9kg/h</w:t>
                  </w:r>
                </w:p>
              </w:tc>
              <w:tc>
                <w:tcPr>
                  <w:tcW w:w="205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《恶臭污染物排放标准》（GB14554-93）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表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中的二级标准要求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硫化氢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15m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0.33kg/h</w:t>
                  </w:r>
                </w:p>
              </w:tc>
              <w:tc>
                <w:tcPr>
                  <w:tcW w:w="205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臭气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15m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2000（无纲量）</w:t>
                  </w:r>
                </w:p>
              </w:tc>
              <w:tc>
                <w:tcPr>
                  <w:tcW w:w="205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厂界</w:t>
                  </w: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氨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1.5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mg/m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:vertAlign w:val="superscript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205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《恶臭污染物排放标准》（GB14554-93）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表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中的二级标准要求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硫化氢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0.06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mg/m</w:t>
                  </w:r>
                  <w:r>
                    <w:rPr>
                      <w:rFonts w:ascii="Times New Roman" w:hAnsi="Times New Roman"/>
                      <w:color w:val="000000" w:themeColor="text1"/>
                      <w:sz w:val="21"/>
                      <w:szCs w:val="21"/>
                      <w:vertAlign w:val="superscript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205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836" w:hRule="atLeast"/>
              </w:trPr>
              <w:tc>
                <w:tcPr>
                  <w:tcW w:w="98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13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臭气</w:t>
                  </w:r>
                </w:p>
              </w:tc>
              <w:tc>
                <w:tcPr>
                  <w:tcW w:w="119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5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--</w:t>
                  </w:r>
                </w:p>
              </w:tc>
              <w:tc>
                <w:tcPr>
                  <w:tcW w:w="118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20（无纲量）</w:t>
                  </w:r>
                </w:p>
              </w:tc>
              <w:tc>
                <w:tcPr>
                  <w:tcW w:w="205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</w:tbl>
          <w:p>
            <w:pPr>
              <w:pStyle w:val="39"/>
              <w:spacing w:line="360" w:lineRule="auto"/>
              <w:ind w:firstLine="0" w:firstLineChars="0"/>
              <w:rPr>
                <w:rFonts w:ascii="Times New Roman" w:hAnsi="Times New Roman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、噪声</w:t>
            </w:r>
          </w:p>
          <w:p>
            <w:pPr>
              <w:pStyle w:val="39"/>
              <w:spacing w:line="360" w:lineRule="auto"/>
              <w:ind w:firstLine="0" w:firstLineChars="0"/>
              <w:rPr>
                <w:rFonts w:hint="default" w:ascii="Times New Roman" w:hAnsi="Times New Roman" w:cs="Times New Roman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运营期噪声执行《工业企业厂界环境噪声排放标准》（GB12348-2008）表1中</w:t>
            </w:r>
            <w:r>
              <w:rPr>
                <w:rFonts w:hint="eastAsia" w:ascii="Times New Roman" w:hAnsi="Times New Roman" w:cs="Times New Roman" w:eastAsiaTheme="minor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类标准要求，标准值见表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6-5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spacing w:line="360" w:lineRule="auto"/>
              <w:ind w:firstLine="422" w:firstLineChars="200"/>
              <w:jc w:val="center"/>
              <w:rPr>
                <w:rStyle w:val="40"/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40"/>
                <w:rFonts w:ascii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表</w:t>
            </w:r>
            <w:r>
              <w:rPr>
                <w:rStyle w:val="40"/>
                <w:rFonts w:hint="eastAsia" w:ascii="Times New Roman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6-5</w:t>
            </w:r>
            <w:r>
              <w:rPr>
                <w:rStyle w:val="40"/>
                <w:rFonts w:ascii="Times New Roman" w:hAnsi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40"/>
                <w:rFonts w:ascii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工业企业厂界环境噪声排放标准</w:t>
            </w:r>
          </w:p>
          <w:tbl>
            <w:tblPr>
              <w:tblStyle w:val="16"/>
              <w:tblW w:w="8069" w:type="dxa"/>
              <w:jc w:val="center"/>
              <w:tblInd w:w="-742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62"/>
              <w:gridCol w:w="1701"/>
              <w:gridCol w:w="1418"/>
              <w:gridCol w:w="1588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3362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厂界外声环境功能区类别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单位</w:t>
                  </w: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昼间</w:t>
                  </w:r>
                </w:p>
              </w:tc>
              <w:tc>
                <w:tcPr>
                  <w:tcW w:w="1588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夜间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4" w:hRule="atLeast"/>
                <w:jc w:val="center"/>
              </w:trPr>
              <w:tc>
                <w:tcPr>
                  <w:tcW w:w="3362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类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dB(A)</w:t>
                  </w: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55</w:t>
                  </w:r>
                </w:p>
              </w:tc>
              <w:tc>
                <w:tcPr>
                  <w:tcW w:w="1588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45</w:t>
                  </w:r>
                </w:p>
              </w:tc>
            </w:tr>
          </w:tbl>
          <w:p>
            <w:pPr>
              <w:pStyle w:val="39"/>
              <w:spacing w:line="360" w:lineRule="auto"/>
              <w:ind w:firstLine="0" w:firstLineChars="0"/>
              <w:rPr>
                <w:rFonts w:ascii="Times New Roman" w:hAnsi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3、固体废物</w:t>
            </w:r>
          </w:p>
          <w:p>
            <w:pPr>
              <w:pStyle w:val="9"/>
              <w:spacing w:after="0"/>
              <w:ind w:firstLine="480" w:firstLineChars="200"/>
              <w:rPr>
                <w:rFonts w:eastAsia="宋体"/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本项目营运期固体废物贮存执行《一般工业固体废物贮存、处置场污染控制标准》（GB18599-2001）</w:t>
            </w:r>
            <w:r>
              <w:rPr>
                <w:rFonts w:hint="eastAsia" w:ascii="Times New Roman" w:hAnsi="Times New Roman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2013修改单内容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1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总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量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控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指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标</w:t>
            </w:r>
          </w:p>
        </w:tc>
        <w:tc>
          <w:tcPr>
            <w:tcW w:w="8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</w:tc>
      </w:tr>
      <w:bookmarkEnd w:id="43"/>
      <w:bookmarkEnd w:id="44"/>
    </w:tbl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45" w:name="_Toc6761_WPSOffice_Level1"/>
      <w:r>
        <w:rPr>
          <w:rFonts w:hint="eastAsia" w:ascii="Times New Roman" w:hAnsi="Times New Roman" w:eastAsia="宋体"/>
          <w:sz w:val="30"/>
          <w:szCs w:val="30"/>
        </w:rPr>
        <w:t>七</w:t>
      </w:r>
      <w:r>
        <w:rPr>
          <w:rFonts w:ascii="Times New Roman" w:hAnsi="Times New Roman" w:eastAsia="宋体"/>
          <w:sz w:val="30"/>
          <w:szCs w:val="30"/>
        </w:rPr>
        <w:t>、建设项目工程分析</w:t>
      </w:r>
      <w:bookmarkEnd w:id="45"/>
    </w:p>
    <w:tbl>
      <w:tblPr>
        <w:tblStyle w:val="16"/>
        <w:tblW w:w="9354" w:type="dxa"/>
        <w:jc w:val="center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1" w:hRule="atLeast"/>
          <w:jc w:val="center"/>
        </w:trPr>
        <w:tc>
          <w:tcPr>
            <w:tcW w:w="9354" w:type="dxa"/>
          </w:tcPr>
          <w:p>
            <w:pPr>
              <w:spacing w:line="360" w:lineRule="auto"/>
              <w:rPr>
                <w:rFonts w:ascii="Times New Roman" w:hAnsi="Times New Roman" w:eastAsia="黑体"/>
                <w:b/>
                <w:bCs/>
                <w:color w:val="auto"/>
                <w:sz w:val="28"/>
                <w:highlight w:val="none"/>
              </w:rPr>
            </w:pPr>
            <w:r>
              <w:rPr>
                <w:rFonts w:ascii="Times New Roman" w:hAnsi="Times New Roman" w:eastAsia="黑体"/>
                <w:b/>
                <w:bCs/>
                <w:color w:val="auto"/>
                <w:sz w:val="28"/>
                <w:highlight w:val="none"/>
              </w:rPr>
              <w:t>一、项目工艺流程及排污节点示意图</w:t>
            </w:r>
          </w:p>
          <w:p>
            <w:pPr>
              <w:pStyle w:val="28"/>
              <w:spacing w:beforeLines="0" w:afterLines="0" w:line="360" w:lineRule="auto"/>
              <w:ind w:firstLine="0" w:firstLineChars="0"/>
              <w:rPr>
                <w:rFonts w:ascii="Times New Roman" w:hAnsi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highlight w:val="none"/>
              </w:rPr>
              <w:t>（一）施工期工程分析</w:t>
            </w:r>
          </w:p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drawing>
                <wp:anchor distT="0" distB="0" distL="114300" distR="114300" simplePos="0" relativeHeight="282932224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37465</wp:posOffset>
                  </wp:positionV>
                  <wp:extent cx="3938905" cy="1398905"/>
                  <wp:effectExtent l="0" t="0" r="4445" b="10795"/>
                  <wp:wrapTopAndBottom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7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-1 施工期工艺流程图</w:t>
            </w:r>
          </w:p>
          <w:p>
            <w:pPr>
              <w:pStyle w:val="28"/>
              <w:numPr>
                <w:ilvl w:val="0"/>
                <w:numId w:val="2"/>
              </w:numPr>
              <w:spacing w:beforeLines="0" w:afterLines="0" w:line="360" w:lineRule="auto"/>
              <w:ind w:firstLine="0" w:firstLineChars="0"/>
              <w:rPr>
                <w:rFonts w:ascii="Times New Roman" w:hAnsi="Times New Roman"/>
                <w:b/>
                <w:color w:val="auto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highlight w:val="none"/>
              </w:rPr>
              <w:t>营运期工程分析</w:t>
            </w:r>
          </w:p>
          <w:p>
            <w:pPr>
              <w:pStyle w:val="28"/>
              <w:spacing w:beforeLines="0" w:afterLines="0" w:line="360" w:lineRule="auto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82934272" behindDoc="0" locked="0" layoutInCell="1" allowOverlap="1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600710</wp:posOffset>
                      </wp:positionV>
                      <wp:extent cx="762000" cy="315595"/>
                      <wp:effectExtent l="0" t="0" r="0" b="8255"/>
                      <wp:wrapNone/>
                      <wp:docPr id="72" name="文本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72635" y="4719955"/>
                                <a:ext cx="76200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EDC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噪声、粉尘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1.2pt;margin-top:47.3pt;height:24.85pt;width:60pt;z-index:282934272;mso-width-relative:page;mso-height-relative:page;" fillcolor="#DFDEDC" filled="t" stroked="f" coordsize="21600,21600" o:gfxdata="UEsDBAoAAAAAAIdO4kAAAAAAAAAAAAAAAAAEAAAAZHJzL1BLAwQUAAAACACHTuJA6j6MWNYAAAAK&#10;AQAADwAAAGRycy9kb3ducmV2LnhtbE2PwU7DMAyG70i8Q2QkbixdKVFXmu4wQIgjAwlxyxrTVGuc&#10;0mTdeHu8Exxtf/79uV6f/CBmnGIfSMNykYFAaoPtqdPw/vZ0U4KIyZA1QyDU8IMR1s3lRW0qG470&#10;ivM2dYJDKFZGg0tprKSMrUNv4iKMSDz7CpM3icupk3YyRw73g8yzTElveuILzoy4cdjutwfPGh/5&#10;jP75AR/37nPTrUoT1Mu31tdXy+weRMJT+oPhrM870LDTLhzIRjFouFN5waiGVaFAMKDKc2PHZFHc&#10;gmxq+f+F5hdQSwMEFAAAAAgAh07iQEVZ1rVOAgAAZgQAAA4AAABkcnMvZTJvRG9jLnhtbK1UzW4T&#10;MRC+I/EOlu90k9A0JOqmCglBSBWtVBBnx+vNruT1GNvJbnkAeANOXLjzXH0OPnuTtvycEBfv2PP5&#10;G883M3t+0TWa7ZXzNZmcD08GnCkjqajNNufv362fveDMB2EKocmonN8qzy/mT5+ct3amRlSRLpRj&#10;IDF+1tqcVyHYWZZ5WalG+BOyysBZkmtEwNZts8KJFuyNzkaDwVnWkiusI6m8x+mqd/J54i9LJcNV&#10;WXoVmM453hbS6tK6iWs2PxezrRO2quXhGeIfXtGI2iDoPdVKBMF2rv6DqqmlI09lOJHUZFSWtVQp&#10;B2QzHPyWzU0lrEq5QBxv72Xy/49Wvt1fO1YXOZ+MODOiQY3uvn65+/bj7vtnhjMI1Fo/A+7GAhm6&#10;l9Sh0Mdzj8OYd1e6Jn6REYP/dDwZnT0fc3YLezKcTsfjXmrVBSYBmJyheiiIBOD5cDyeJn/2QGSd&#10;D68VNSwaOXeoZBJY7C99wKMAPUJiXE+6Lta11mnjtpuldmwvUPXVevVqtYzRceUXmDaszTmeOUjM&#10;huL91BCReSV81TMUsA73tQFN1KPPO1qh23QHkTZU3EIjR32beSvXNZguhQ/XwqGvkDBmJVxhKTUh&#10;OB0szipyn/52HvEoN7yctejTnPuPO+EUZ/qNQSNMh6ensbHTJsqOjXvs2Tz2mF2zJIgyxFRamcyI&#10;D/polo6aDxipRYwKlzASsXMejuYy9NODkZRqsUggtLIV4dLcWBmpYwkMLXaByjqVKsrUa3NQD82c&#10;ynEYvDgtj/cJ9fB7mP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6j6MWNYAAAAKAQAADwAAAAAA&#10;AAABACAAAAAiAAAAZHJzL2Rvd25yZXYueG1sUEsBAhQAFAAAAAgAh07iQEVZ1rVOAgAAZgQAAA4A&#10;AAAAAAAAAQAgAAAAJQEAAGRycy9lMm9Eb2MueG1sUEsFBgAAAAAGAAYAWQEAAOUFAAAAAA==&#10;">
                      <v:fill on="t" focussize="0,0"/>
                      <v:stroke on="f" weight="0.5pt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噪声、粉尘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1064849408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2447925</wp:posOffset>
                      </wp:positionV>
                      <wp:extent cx="483235" cy="341630"/>
                      <wp:effectExtent l="0" t="0" r="12065" b="1270"/>
                      <wp:wrapNone/>
                      <wp:docPr id="84" name="文本框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EDC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恶臭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0.6pt;margin-top:192.75pt;height:26.9pt;width:38.05pt;z-index:1064849408;mso-width-relative:page;mso-height-relative:page;" fillcolor="#DFDEDC" filled="t" stroked="f" coordsize="21600,21600" o:gfxdata="UEsDBAoAAAAAAIdO4kAAAAAAAAAAAAAAAAAEAAAAZHJzL1BLAwQUAAAACACHTuJAv2lYNNkAAAAL&#10;AQAADwAAAGRycy9kb3ducmV2LnhtbE2PTU/DMAyG70j8h8hI3Fj6sY2uNN1hgBBHBhLiljWmqdY4&#10;pcm68e/nneD4yo9fP67WJ9eLCcfQeVKQzhIQSI03HbUKPt6f7woQIWoyuveECn4xwLq+vqp0afyR&#10;3nDaxlZwCYVSK7AxDqWUobHodJj5AYln3350OnIcW2lGfeRy18ssSZbS6Y74gtUDbiw2++3BscZn&#10;NqF7ecSnvf3atKtC++Xrj1K3N2nyACLiKf7BcNHnHajZaecPZILoOc/TjFEFebFYgGAiS+9zEDsF&#10;83yVg6wr+f+H+gxQSwMEFAAAAAgAh07iQDBOHGZDAgAAWgQAAA4AAABkcnMvZTJvRG9jLnhtbK1U&#10;y67TMBDdI/EPlvc0faSlVE2vSkMRUsW9UkGsXcdpIjkeY7tNygfAH7Biw57v6ncwdtLe8lghNs68&#10;fMZzZibzu6aS5CiMLUEldNDrUyIUh6xU+4S+f7d+NqXEOqYyJkGJhJ6EpXeLp0/mtZ6JIRQgM2EI&#10;gig7q3VCC+f0LIosL0TFbA+0UOjMwVTMoWr2UWZYjeiVjIb9/iSqwWTaABfWojVtnXQR8PNccHef&#10;51Y4IhOKb3PhNOHc+TNazNlsb5guSt49g/3DKypWKkx6hUqZY+Rgyj+gqpIbsJC7HocqgjwvuQg1&#10;YDWD/m/VbAumRagFybH6SpP9f7D87fHBkDJL6DSmRLEKe3T++uX87cf5+2eCNiSo1naGcVuNka55&#10;CQ02+mK3aPR1N7mp/BcrIuhHqk9XekXjCEdjPB0NR2NKOLpG8WAyCvRHj5e1se61gIp4IaEGuxdI&#10;ZceNdfgQDL2E+FwWZJmtSymDYva7lTTkyLDT6Tp9la78G/HKL2FSkTqhk9G4H5AV+PthCDxyymzR&#10;ImQodfelQhjPQVurl1yzazpidpCdkBcD7WhZzdclIm2YdQ/M4CwhFbgf7h6PXAImh06ipADz6W92&#10;H48tRi8lNc5mQu3HAzOCEvlGYfNfDOLYD3NQ4vHzISrm1rO79ahDtQIkZYCbqHkQfbyTFzE3UH3A&#10;NVr6rOhiimPuhLqLuHLtxuAacrFchiAcX83cRm0199C+BQqWBwd5GVrlaWq56djDAQ7t6JbNb8it&#10;HqIefwm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9pWDTZAAAACwEAAA8AAAAAAAAAAQAgAAAA&#10;IgAAAGRycy9kb3ducmV2LnhtbFBLAQIUABQAAAAIAIdO4kAwThxmQwIAAFoEAAAOAAAAAAAAAAEA&#10;IAAAACgBAABkcnMvZTJvRG9jLnhtbFBLBQYAAAAABgAGAFkBAADdBQAAAAA=&#10;">
                      <v:fill on="t" focussize="0,0"/>
                      <v:stroke on="f" weight="0.5pt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恶臭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971019264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2624455</wp:posOffset>
                      </wp:positionV>
                      <wp:extent cx="560705" cy="1270"/>
                      <wp:effectExtent l="0" t="53975" r="10795" b="59055"/>
                      <wp:wrapNone/>
                      <wp:docPr id="83" name="直接箭头连接符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0705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08.4pt;margin-top:206.65pt;height:0.1pt;width:44.15pt;z-index:971019264;mso-width-relative:page;mso-height-relative:page;" filled="f" stroked="t" coordsize="21600,21600" o:gfxdata="UEsDBAoAAAAAAIdO4kAAAAAAAAAAAAAAAAAEAAAAZHJzL1BLAwQUAAAACACHTuJAJxchpdkAAAAL&#10;AQAADwAAAGRycy9kb3ducmV2LnhtbE2PwU7DMBBE70j8g7VI3KjthlQoxOkBCakggURBKkc3XmKL&#10;eB1ipw1/j+FSjjs7mnlTr2ffswOO0QVSIBcCGFIbjKNOwdvr/dUNsJg0Gd0HQgXfGGHdnJ/VujLh&#10;SC942KaO5RCKlVZgUxoqzmNr0eu4CANS/n2E0euUz7HjZtTHHO57vhRixb12lBusHvDOYvu5nbwC&#10;8VVu5mm3e5bxHR+s2xTu8YmUuryQ4hZYwjmdzPCLn9GhyUz7MJGJrFewlKuMnhRcy6IAlh2FKCWw&#10;/Z9SAm9q/n9D8wNQSwMEFAAAAAgAh07iQEcnS1YDAgAAvQMAAA4AAABkcnMvZTJvRG9jLnhtbK1T&#10;zY7TMBC+I/EOlu80aVF3l6jpHloWDggq8XOfOk5iyX8am6Z9CV4AiRNwAk5752lgeQzGTil/N0QO&#10;1ozH883MN18Wl3uj2U5iUM7WfDopOZNWuEbZrubPn13dueAsRLANaGdlzQ8y8Mvl7VuLwVdy5nqn&#10;G4mMQGyoBl/zPkZfFUUQvTQQJs5LS8HWoYFILnZFgzAQutHFrCzPisFh49EJGQLdrscgX2b8tpUi&#10;PmnbICPTNafeYj4xn9t0FssFVB2C75U4tgH/0IUBZanoCWoNEdhLVH9BGSXQBdfGiXCmcG2rhMwz&#10;0DTT8o9pnvbgZZ6FyAn+RFP4f7Di8W6DTDU1v7jLmQVDO7p5ff311bubTx+/vL3+9vlNsj+8ZxQn&#10;sgYfKspZ2Q0eveA3mCbft2hYq5V/SDrg2XqRrBSjOdk+k344kS73kQm6nJ+V5+WcM0Gh6ew8r6QY&#10;4VKqxxAfSGdYMmoeIoLq+rhy1tJyHY4FYPcoRGqIEn8kpGTrrpTWecfasoEK3CvnJAMBJLVWQyTT&#10;eBo+2I4z0B1pWETMPQenVZPSE1DAbrvSyHaQdJS/xAaV++1Zqr2G0I/vwiEkZ9SYUZGErpUhpk/5&#10;UEVQ+r5tWDx4Yh4Q3cBTo0Y2nGlJ/SRrLKUtVUwLGClP1tY1h7yJfE8ayT0d9ZxE+Kufs3/+dc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xchpdkAAAALAQAADwAAAAAAAAABACAAAAAiAAAAZHJz&#10;L2Rvd25yZXYueG1sUEsBAhQAFAAAAAgAh07iQEcnS1YDAgAAvQMAAA4AAAAAAAAAAQAgAAAAKAEA&#10;AGRycy9lMm9Eb2MueG1sUEsFBgAAAAAGAAYAWQEAAJ0FAAAAAA==&#10;">
                      <v:fill on="f" focussize="0,0"/>
                      <v:stroke weight="1.5pt" color="#000000 [3200]" miterlimit="8" joinstyle="miter" dashstyle="3 1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908466176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3665220</wp:posOffset>
                      </wp:positionV>
                      <wp:extent cx="762000" cy="335280"/>
                      <wp:effectExtent l="0" t="0" r="0" b="7620"/>
                      <wp:wrapNone/>
                      <wp:docPr id="82" name="文本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EDC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噪声、粉尘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8.4pt;margin-top:288.6pt;height:26.4pt;width:60pt;z-index:908466176;mso-width-relative:page;mso-height-relative:page;" fillcolor="#DFDEDC" filled="t" stroked="f" coordsize="21600,21600" o:gfxdata="UEsDBAoAAAAAAIdO4kAAAAAAAAAAAAAAAAAEAAAAZHJzL1BLAwQUAAAACACHTuJANwkWCtcAAAAL&#10;AQAADwAAAGRycy9kb3ducmV2LnhtbE2PQU/DMAyF70j8h8hI3FiyorVbabrDACGODCS0m9eYplqT&#10;lCbrxr/HO8Ht2X5+/lytz64XE42xC17DfKZAkG+C6Xyr4eP9+W4JIib0BvvgScMPRVjX11cVliac&#10;/BtN29QKDvGxRA02paGUMjaWHMZZGMjz7CuMDhOXYyvNiCcOd73MlMqlw87zBYsDbSw1h+3RMcZn&#10;NpF7eaSng91t2tUSQ/76rfXtzVw9gEh0Tn9muODzDtTMtA9Hb6LoNSwWOaMnFkWRgWBHXlw6exb3&#10;SoGsK/n/h/oXUEsDBBQAAAAIAIdO4kC6/Sk/RAIAAFoEAAAOAAAAZHJzL2Uyb0RvYy54bWytVM1u&#10;EzEQviPxDpbvdJO0TUPUTRUSgpAqWqkgzo7Xm13J6zG2k93wAPQNOHHhznPlOfjsJG35OSEu3vnz&#10;N55vZvbyqms02yjnazI575/0OFNGUlGbVc4/vF+8GHHmgzCF0GRUzrfK86vJ82eXrR2rAVWkC+UY&#10;QIwftzbnVQh2nGVeVqoR/oSsMnCW5BoRoLpVVjjRAr3R2aDXG2YtucI6ksp7WOd7J58k/LJUMtyU&#10;pVeB6ZzjbSGdLp3LeGaTSzFeOWGrWh6eIf7hFY2oDZI+QM1FEGzt6j+gmlo68lSGE0lNRmVZS5Vq&#10;QDX93m/V3FXCqlQLyPH2gSb//2Dlu82tY3WR89GAMyMa9Gj39X737cfu+xcGGwhqrR8j7s4iMnSv&#10;qEOjj3YPY6y7K10Tv6iIwQ+qtw/0qi4wCePFEB2DR8J1eno+GCX6s8fL1vnwRlHDopBzh+4lUsXm&#10;2gc8BKHHkJjLk66LRa11UtxqOdOObQQ6PV/MX89n8Y248kuYNqzN+fD0vJeQDcX7aQgi8lz4ao9Q&#10;QDrc1wYwkYN9rVEK3bI7ELOkYgteHO1Hy1u5qIF0LXy4FQ6zhIKxH+EGR6kJyekgcVaR+/w3e4xH&#10;i+HlrMVs5tx/WgunONNvDZr/sn92Foc5KWfnFwMo7qln+dRj1s2MQEofm2hlEmN80EexdNR8xBpN&#10;Y1a4hJHInfNwFGdhvzFYQ6mm0xSE8bUiXJs7KyN0bIGh6TpQWadWRZr23BzYwwCndhyWLW7IUz1F&#10;Pf4SJ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wkWCtcAAAALAQAADwAAAAAAAAABACAAAAAi&#10;AAAAZHJzL2Rvd25yZXYueG1sUEsBAhQAFAAAAAgAh07iQLr9KT9EAgAAWgQAAA4AAAAAAAAAAQAg&#10;AAAAJgEAAGRycy9lMm9Eb2MueG1sUEsFBgAAAAAGAAYAWQEAANwFAAAAAA==&#10;">
                      <v:fill on="t" focussize="0,0"/>
                      <v:stroke on="f" weight="0.5pt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噪声、粉尘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752082944" behindDoc="0" locked="0" layoutInCell="1" allowOverlap="1">
                      <wp:simplePos x="0" y="0"/>
                      <wp:positionH relativeFrom="column">
                        <wp:posOffset>3026410</wp:posOffset>
                      </wp:positionH>
                      <wp:positionV relativeFrom="paragraph">
                        <wp:posOffset>3796030</wp:posOffset>
                      </wp:positionV>
                      <wp:extent cx="509905" cy="0"/>
                      <wp:effectExtent l="0" t="53975" r="4445" b="60325"/>
                      <wp:wrapNone/>
                      <wp:docPr id="81" name="直接箭头连接符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9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38.3pt;margin-top:298.9pt;height:0pt;width:40.15pt;z-index:752082944;mso-width-relative:page;mso-height-relative:page;" filled="f" stroked="t" coordsize="21600,21600" o:gfxdata="UEsDBAoAAAAAAIdO4kAAAAAAAAAAAAAAAAAEAAAAZHJzL1BLAwQUAAAACACHTuJAuO/73NYAAAAL&#10;AQAADwAAAGRycy9kb3ducmV2LnhtbE2Py07DMBBF90j8gzVI7KhTIE6TxumCx5JFC+ydeJpExOPI&#10;dh/w9QwSEixn5ujOufXm7CZxxBBHTxqWiwwEUuftSL2Gt9fnmxWImAxZM3lCDZ8YYdNcXtSmsv5E&#10;WzzuUi84hGJlNAwpzZWUsRvQmbjwMxLf9j44k3gMvbTBnDjcTfI2y5R0ZiT+MJgZHwbsPnYHp6GI&#10;X7bdl0HdhU5uH+N7sk/zi9bXV8tsDSLhOf3B8KPP6tCwU+sPZKOYNNwXSjGqIS8L7sBEnqsSRPu7&#10;kU0t/3dovgFQSwMEFAAAAAgAh07iQBSm45LzAQAApgMAAA4AAABkcnMvZTJvRG9jLnhtbK1TzW7T&#10;QBC+I/EOq70TJ5WKWitODwnlgiAS8ADT9dpeaf80s8TJS/ACSJyAE3DqvU8D5TGY3aQpPzeED+uZ&#10;Hc98M998nl9snRUbjWSCb+RsMpVCexVa4/tGvn51+ehMCkrgW7DB60buNMmLxcMH8zHW+iQMwbYa&#10;BRfxVI+xkUNKsa4qUoN2QJMQtedgF9BBYhf7qkUYubqz1cl0+rgaA7YRg9JEfLvaB+Wi1O86rdKL&#10;riOdhG0k95bKieW8yme1mEPdI8TBqEMb8A9dODCeQY+lVpBAvEHzVylnFAYKXZqo4KrQdUbpMgNP&#10;M5v+Mc3LAaIuszA5FI800f8rq55v1ihM28izmRQeHO/o9t3197cfb79++fbh+sfN+2x//iQ4zmSN&#10;kWrOWfo1HjyKa8yTbzt0+c0ziW0heHckWG+TUHx5Oj0/n55Koe5C1X1eREpPdXAiG42khGD6IS2D&#10;97zFgLPCL2yeUWJkTrxLyKA+XBpryzKtFyMrkXF43wpYU52FxKaLPCX5XgqwPYtVJSwlKVjT5vRc&#10;iLC/WloUG8iCKU8em+F++yxjr4CG/Xe0o+zsxeRMYkVb45jSYz7UCYx94luRdpEpBsQwytyo060U&#10;VnM/2dpDWc+Imek9t9m6Cu2uUF7uWQylp4Nws9p+9Uv2/e+1+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47/vc1gAAAAsBAAAPAAAAAAAAAAEAIAAAACIAAABkcnMvZG93bnJldi54bWxQSwECFAAU&#10;AAAACACHTuJAFKbjkvMBAACmAwAADgAAAAAAAAABACAAAAAlAQAAZHJzL2Uyb0RvYy54bWxQSwUG&#10;AAAAAAYABgBZAQAAigUAAAAA&#10;">
                      <v:fill on="f" focussize="0,0"/>
                      <v:stroke weight="1.5pt" color="#000000 [3200]" miterlimit="8" joinstyle="miter" dashstyle="3 1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626976768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3025775</wp:posOffset>
                      </wp:positionV>
                      <wp:extent cx="727710" cy="411480"/>
                      <wp:effectExtent l="0" t="0" r="15240" b="7620"/>
                      <wp:wrapNone/>
                      <wp:docPr id="80" name="文本框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771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EDC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噪声、粉尘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35pt;margin-top:238.25pt;height:32.4pt;width:57.3pt;z-index:626976768;mso-width-relative:page;mso-height-relative:page;" fillcolor="#DFDEDC" filled="t" stroked="f" coordsize="21600,21600" o:gfxdata="UEsDBAoAAAAAAIdO4kAAAAAAAAAAAAAAAAAEAAAAZHJzL1BLAwQUAAAACACHTuJAVbiEztkAAAAL&#10;AQAADwAAAGRycy9kb3ducmV2LnhtbE2PwU7DMAyG70i8Q2Qkbixp13VbabrDACGOG0iIm9eaplqT&#10;lCbrxttjTnD85c+/P5ebi+3FRGPovNOQzBQIcrVvOtdqeHt9uluBCBFdg713pOGbAmyq66sSi8af&#10;3Y6mfWwFl7hQoAYT41BIGWpDFsPMD+R49ulHi5Hj2MpmxDOX216mSuXSYuf4gsGBtobq4/5kWeM9&#10;ncg+P9Dj0Xxs2/UKff7ypfXtTaLuQUS6xD8YfvV5Byp2OviTa4LoOatsyaiGbJkvQDCRJus5iIOG&#10;RZbMQVal/P9D9QNQSwMEFAAAAAgAh07iQNmgjXBCAgAAWgQAAA4AAABkcnMvZTJvRG9jLnhtbK1U&#10;zW4TMRC+I/EOlu90syFtStRNFRKCkCpaqSDOjtebXcnrMbaTTXkAeANOXLjzXHkOPnuTtvycEBfv&#10;/Pkbzzcze3G5azXbKucbMgXPTwacKSOpbMy64O/fLZ+dc+aDMKXQZFTB75Tnl9OnTy46O1FDqkmX&#10;yjGAGD/pbMHrEOwky7ysVSv8CVll4KzItSJAdeusdKIDequz4WBwlnXkSutIKu9hXfROPk34VaVk&#10;uK4qrwLTBcfbQjpdOlfxzKYXYrJ2wtaNPDxD/MMrWtEYJL2HWogg2MY1f0C1jXTkqQonktqMqqqR&#10;KtWAavLBb9Xc1sKqVAvI8faeJv//YOXb7Y1jTVnwc9BjRIse7b9+2X/7sf/+mcEGgjrrJ4i7tYgM&#10;u5e0Q6OPdg9jrHtXuTZ+URGDH1h39/SqXWASxvFwPM7hkXCN8nzUo2cPl63z4bWilkWh4A7dS6SK&#10;7ZUPeAhCjyExlyfdlMtG66S49WquHdsKdHqxXLxazOMbceWXMG1YV/Cz56eDhGwo3k9DEJEXwtc9&#10;QgnpcF8bwEQO+lqjFHar3YGYFZV34MVRP1reymUDpCvhw41wmCUUjP0I1zgqTUhOB4mzmtynv9lj&#10;PFoML2cdZrPg/uNGOMWZfmPQ/Bf5aATYkJTR6XgIxT32rB57zKadE0jJsYlWJjHGB30UK0ftB6zR&#10;LGaFSxiJ3AUPR3Ee+o3BGko1m6UgjK8V4crcWhmhYwsMzTaBqia1KtLUc3NgDwOc2nFYtrghj/UU&#10;9fBLmP4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biEztkAAAALAQAADwAAAAAAAAABACAAAAAi&#10;AAAAZHJzL2Rvd25yZXYueG1sUEsBAhQAFAAAAAgAh07iQNmgjXBCAgAAWgQAAA4AAAAAAAAAAQAg&#10;AAAAKAEAAGRycy9lMm9Eb2MueG1sUEsFBgAAAAAGAAYAWQEAANwFAAAAAA==&#10;">
                      <v:fill on="t" focussize="0,0"/>
                      <v:stroke on="f" weight="0.5pt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噪声、粉尘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70593536" behindDoc="0" locked="0" layoutInCell="1" allowOverlap="1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3182620</wp:posOffset>
                      </wp:positionV>
                      <wp:extent cx="560705" cy="1270"/>
                      <wp:effectExtent l="0" t="53975" r="10795" b="59055"/>
                      <wp:wrapNone/>
                      <wp:docPr id="79" name="直接箭头连接符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0705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08.95pt;margin-top:250.6pt;height:0.1pt;width:44.15pt;z-index:470593536;mso-width-relative:page;mso-height-relative:page;" filled="f" stroked="t" coordsize="21600,21600" o:gfxdata="UEsDBAoAAAAAAIdO4kAAAAAAAAAAAAAAAAAEAAAAZHJzL1BLAwQUAAAACACHTuJAZInEINkAAAAL&#10;AQAADwAAAGRycy9kb3ducmV2LnhtbE2Py07DMBBF90j8gzVI7KjtlBYIcbpAQipIVKIglaUbD7FF&#10;PA6x04a/x7CB3TyO7pypVpPv2AGH6AIpkDMBDKkJxlGr4PXl/uIaWEyajO4CoYIvjLCqT08qXZpw&#10;pGc8bFPLcgjFUiuwKfUl57Gx6HWchR4p797D4HXK7dByM+hjDvcdL4RYcq8d5QtW93hnsfnYjl6B&#10;+Fysp3G328j4hg/Wrefu8YmUOj+T4hZYwin9wfCjn9Whzk77MJKJrFNQyKubjCpYCFkAy8RcLHOx&#10;/51cAq8r/v+H+htQSwMEFAAAAAgAh07iQIkf094EAgAAvQMAAA4AAABkcnMvZTJvRG9jLnhtbK1T&#10;zY7TMBC+I/EOlu80aaVud6Ome2hZOCBYiZ/71HESS/6TxzTtS/ACSJyAE3DaO08Dy2Mwdkr5uyFy&#10;sGY8/ma+mfmyvNwbzXYyoHK25tNJyZm0wjXKdjV//uzq3jlnGME2oJ2VNT9I5Jeru3eWg6/kzPVO&#10;NzIwSmKxGnzN+xh9VRQoemkAJ85LS8HWBQOR3NAVTYCBshtdzMryrBhcaHxwQiLS7WYM8lXO37ZS&#10;xCdtizIyXXPiFvMZ8rlNZ7FaQtUF8L0SRxrwDywMKEtFT6k2EIG9DOqvVEaJ4NC1cSKcKVzbKiFz&#10;D9TNtPyjm6c9eJl7oeGgP40J/19a8Xh3HZhqar644MyCoR3dvr75+urd7aePX97efPv8Jtkf3jOK&#10;07AGjxVh1vY6HD301yF1vm+DYa1W/iHpgGfrRbJSjPpk+zz0w2noch+ZoMv5Wbko55wJCk1ni7yS&#10;YkyXoD5gfCCdYcmoOcYAquvj2llLy3VhLAC7RxiJEAF/ABLYuiuldd6xtmygAhflnGQggKTWaohk&#10;Gk/No+04A92RhkUMmTM6rZoET4kwdNu1DmwHSUf5S9Ogcr89S7U3gP34Dg+YnFFjRkUSulam5ucn&#10;PFQRlL5vGxYPniYPIbiBJ6JGNpxpSXySNZbSliqmBYwjT9bWNYe8iXxPGsmcjnpOIvzVz+iff93q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SJxCDZAAAACwEAAA8AAAAAAAAAAQAgAAAAIgAAAGRy&#10;cy9kb3ducmV2LnhtbFBLAQIUABQAAAAIAIdO4kCJH9PeBAIAAL0DAAAOAAAAAAAAAAEAIAAAACgB&#10;AABkcnMvZTJvRG9jLnhtbFBLBQYAAAAABgAGAFkBAACeBQAAAAA=&#10;">
                      <v:fill on="f" focussize="0,0"/>
                      <v:stroke weight="1.5pt" color="#000000 [3200]" miterlimit="8" joinstyle="miter" dashstyle="3 1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08040448" behindDoc="0" locked="0" layoutInCell="1" allowOverlap="1">
                      <wp:simplePos x="0" y="0"/>
                      <wp:positionH relativeFrom="column">
                        <wp:posOffset>3573780</wp:posOffset>
                      </wp:positionH>
                      <wp:positionV relativeFrom="paragraph">
                        <wp:posOffset>2070735</wp:posOffset>
                      </wp:positionV>
                      <wp:extent cx="762000" cy="373380"/>
                      <wp:effectExtent l="0" t="0" r="0" b="7620"/>
                      <wp:wrapNone/>
                      <wp:docPr id="78" name="文本框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EDC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噪声、粉尘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1.4pt;margin-top:163.05pt;height:29.4pt;width:60pt;z-index:408040448;mso-width-relative:page;mso-height-relative:page;" fillcolor="#DFDEDC" filled="t" stroked="f" coordsize="21600,21600" o:gfxdata="UEsDBAoAAAAAAIdO4kAAAAAAAAAAAAAAAAAEAAAAZHJzL1BLAwQUAAAACACHTuJAYUjsQNcAAAAL&#10;AQAADwAAAGRycy9kb3ducmV2LnhtbE2PQU/DMAyF70j8h8hI3FjaAlFXmu4wQIgjAwlxyxrTVGuc&#10;0mTd+Pd4J3b08/Pz9+rV0Q9ixin2gTTkiwwEUhtsT52Gj/fnmxJETIasGQKhhl+MsGouL2pT2XCg&#10;N5w3qRMcQrEyGlxKYyVlbB16ExdhROLdd5i8STxOnbSTOXC4H2SRZUp60xN/cGbEtcN2t9l7xvgs&#10;ZvQvj/i0c1/rblmaoF5/tL6+yrMHEAmP6d8MJ3y+gYaZtmFPNopBw70qGD1puC1UDoIdqjwpW1bK&#10;uyXIppbnHZo/UEsDBBQAAAAIAIdO4kDRmGmLRAIAAFoEAAAOAAAAZHJzL2Uyb0RvYy54bWytVM1u&#10;EzEQviPxDpbvdPPTNiXqpgoJQUgVrVQQZ8frza7k9RjbyW55APoGnLhw57nyHHx2kjb8nBAX73hm&#10;/NnzfTN7edU1mm2U8zWZnPdPepwpI6mozSrnH94vXlxw5oMwhdBkVM7vledXk+fPLls7VgOqSBfK&#10;MYAYP25tzqsQ7DjLvKxUI/wJWWUQLMk1ImDrVlnhRAv0RmeDXu88a8kV1pFU3sM73wX5JOGXpZLh&#10;piy9CkznHG8LaXVpXcY1m1yK8coJW9Vy/wzxD69oRG1w6SPUXATB1q7+A6qppSNPZTiR1GRUlrVU&#10;qQZU0+/9Vs1dJaxKtYAcbx9p8v8PVr7b3DpWFzkfQSkjGmi0/fqw/fZj+/0Lgw8EtdaPkXdnkRm6&#10;V9RB6IPfwxnr7krXxC8qYoiD6vtHelUXmIRzdA7FEJEIDUfD4UWiP3s6bJ0PbxQ1LBo5d1AvkSo2&#10;1z7gIUg9pMS7POm6WNRap41bLWfasY2A0vPF/PV8Ft+II7+kacPanJ8Pz3oJ2VA8n5ogIs+Fr3YI&#10;Baz9eW0AEznY1Rqt0C27PTFLKu7Bi6Nda3krFzWQroUPt8Khl1Aw5iPcYCk14XLaW5xV5D7/zR/z&#10;ITGinLXozZz7T2vhFGf6rYH4L/unp7GZ0+b0bDTAxh1HlscRs25mBFL6mEQrkxnzgz6YpaPmI8Zo&#10;Gm9FSBiJu3MeDuYs7CYGYyjVdJqS0L5WhGtzZ2WEjhIYmq4DlXWSKtK042bPHho4ybEftjghx/uU&#10;9fRLmPw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UjsQNcAAAALAQAADwAAAAAAAAABACAAAAAi&#10;AAAAZHJzL2Rvd25yZXYueG1sUEsBAhQAFAAAAAgAh07iQNGYaYtEAgAAWgQAAA4AAAAAAAAAAQAg&#10;AAAAJgEAAGRycy9lMm9Eb2MueG1sUEsFBgAAAAAGAAYAWQEAANwFAAAAAA==&#10;">
                      <v:fill on="t" focussize="0,0"/>
                      <v:stroke on="f" weight="0.5pt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噪声、粉尘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76763392" behindDoc="0" locked="0" layoutInCell="1" allowOverlap="1">
                      <wp:simplePos x="0" y="0"/>
                      <wp:positionH relativeFrom="column">
                        <wp:posOffset>3050540</wp:posOffset>
                      </wp:positionH>
                      <wp:positionV relativeFrom="paragraph">
                        <wp:posOffset>2214880</wp:posOffset>
                      </wp:positionV>
                      <wp:extent cx="509905" cy="0"/>
                      <wp:effectExtent l="0" t="53975" r="4445" b="60325"/>
                      <wp:wrapNone/>
                      <wp:docPr id="77" name="直接箭头连接符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9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0.2pt;margin-top:174.4pt;height:0pt;width:40.15pt;z-index:376763392;mso-width-relative:page;mso-height-relative:page;" filled="f" stroked="t" coordsize="21600,21600" o:gfxdata="UEsDBAoAAAAAAIdO4kAAAAAAAAAAAAAAAAAEAAAAZHJzL1BLAwQUAAAACACHTuJAjKbPMNYAAAAL&#10;AQAADwAAAGRycy9kb3ducmV2LnhtbE2Py07DMBBF90j8gzVI7KhdGtKQxumCx5JFC+ydeJpEjceR&#10;7T7g6xkkJLqcmaM751brsxvFEUMcPGmYzxQIpNbbgToNH++vdwWImAxZM3pCDV8YYV1fX1WmtP5E&#10;GzxuUyc4hGJpNPQpTaWUse3RmTjzExLfdj44k3gMnbTBnDjcjfJeqVw6MxB/6M2ETz22++3BaVjG&#10;b9vsHkO+CK3cPMfPZF+mN61vb+ZqBSLhOf3D8KvP6lCzU+MPZKMYNWSFyhjVsMgK7sDEQ66WIJq/&#10;jawredmh/gFQSwMEFAAAAAgAh07iQHhmAFr0AQAApgMAAA4AAABkcnMvZTJvRG9jLnhtbK1TzW4T&#10;QQy+I/EOo7mTTSqVtlE2PSSUC4JIwAM4s7O7I82f7CGbvAQvgMQJOAGn3vs0UB4DzyRN+bkh9jBr&#10;j9f+7M/fzi63zoqNRjLB13IyGkuhvQqN8V0tX7+6enQuBSXwDdjgdS13muTl/OGD2RCn+iT0wTYa&#10;BRfxNB1iLfuU4rSqSPXaAY1C1J6DbUAHiV3sqgZh4OrOVifj8eNqCNhEDEoT8e1yH5TzUr9ttUov&#10;2pZ0EraW3FsqJ5Zznc9qPoNphxB7ow5twD904cB4Bj2WWkIC8QbNX6WcURgotGmkgqtC2xqlyww8&#10;zWT8xzQve4i6zMLkUDzSRP+vrHq+WaEwTS3PzqTw4HhHt++uv7/9ePv1y7cP1z9u3mf78yfBcSZr&#10;iDTlnIVf4cGjuMI8+bZFl988k9gWgndHgvU2CcWXp+OLi/GpFOouVN3nRaT0VAcnslFLSgim69Mi&#10;eM9bDDgp/MLmGSVG5sS7hAzqw5WxtizTejGwEhmH962ANdVaSGy6yFOS76QA27FYVcJSkoI1TU7P&#10;hQi79cKi2EAWTHny2Az322cZewnU77+jHWVnLyZnEivaGlfL82M+TBMY+8Q3Iu0iUwyIYZC5Uacb&#10;KazmfrK1h7KeETPTe26ztQ7NrlBe7lkMpaeDcLPafvVL9v3vNf8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jKbPMNYAAAALAQAADwAAAAAAAAABACAAAAAiAAAAZHJzL2Rvd25yZXYueG1sUEsBAhQA&#10;FAAAAAgAh07iQHhmAFr0AQAApgMAAA4AAAAAAAAAAQAgAAAAJQEAAGRycy9lMm9Eb2MueG1sUEsF&#10;BgAAAAAGAAYAWQEAAIsFAAAAAA==&#10;">
                      <v:fill on="f" focussize="0,0"/>
                      <v:stroke weight="1.5pt" color="#000000 [3200]" miterlimit="8" joinstyle="miter" dashstyle="3 1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14210304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1451610</wp:posOffset>
                      </wp:positionV>
                      <wp:extent cx="560705" cy="1270"/>
                      <wp:effectExtent l="0" t="53975" r="10795" b="59055"/>
                      <wp:wrapNone/>
                      <wp:docPr id="73" name="直接箭头连接符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0705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09.8pt;margin-top:114.3pt;height:0.1pt;width:44.15pt;z-index:314210304;mso-width-relative:page;mso-height-relative:page;" filled="f" stroked="t" coordsize="21600,21600" o:gfxdata="UEsDBAoAAAAAAIdO4kAAAAAAAAAAAAAAAAAEAAAAZHJzL1BLAwQUAAAACACHTuJA+LahW9kAAAAL&#10;AQAADwAAAGRycy9kb3ducmV2LnhtbE2PQU/DMAyF70j8h8hI3FjSToyua7oDEtJAAmkDaTtmrWkq&#10;Gqc06Vb+PYYL3J79np4/F+vJdeKEQ2g9aUhmCgRS5euWGg1vrw83GYgQDdWm84QavjDAury8KExe&#10;+zNt8bSLjeASCrnRYGPscylDZdGZMPM9EnvvfnAm8jg0sh7MmctdJ1OlFtKZlviCNT3eW6w+dqPT&#10;oD5vN9O4378k4YCPtt3M26dn0vr6KlErEBGn+BeGH3xGh5KZjn6kOohOQ5osFxxlkWYsODFXd0sQ&#10;x99NBrIs5P8fym9QSwMEFAAAAAgAh07iQK4Fp0wEAgAAvQMAAA4AAABkcnMvZTJvRG9jLnhtbK1T&#10;zY7TMBC+I/EOlu806aJul6jpHloWDggq8XOfOk5iyX/ymKZ9CV4AiRNwAk5752lgeQzGTil/N0QO&#10;1ozH38w3M18Wl3uj2U4GVM7WfDopOZNWuEbZrubPn13dueAMI9gGtLOy5geJ/HJ5+9Zi8JU8c73T&#10;jQyMklisBl/zPkZfFQWKXhrAifPSUrB1wUAkN3RFE2Cg7EYXZ2V5XgwuND44IRHpdj0G+TLnb1sp&#10;4pO2RRmZrjlxi/kM+dyms1guoOoC+F6JIw34BxYGlKWip1RriMBeBvVXKqNEcOjaOBHOFK5tlZC5&#10;B+pmWv7RzdMevMy90HDQn8aE/y+teLzbBKaams/vcmbB0I5uXl9/ffXu5tPHL2+vv31+k+wP7xnF&#10;aViDx4owK7sJRw/9JqTO920wrNXKPyQd8Gy9SFaKUZ9sn4d+OA1d7iMTdDk7L+fljDNBoenZPK+k&#10;GNMlqA8YH0hnWDJqjjGA6vq4ctbScl0YC8DuEUYiRMAfgAS27kppnXesLRuowL1yRjIQQFJrNUQy&#10;jafm0Xacge5IwyKGzBmdVk2Cp0QYuu1KB7aDpKP8pWlQud+epdprwH58hwdMzqgxoyIJXStT84sT&#10;HqoISt+3DYsHT5OHENzAE1EjG860JD7JGktpSxXTAsaRJ2vrmkPeRL4njWRORz0nEf7qZ/TPv275&#10;H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i2oVvZAAAACwEAAA8AAAAAAAAAAQAgAAAAIgAAAGRy&#10;cy9kb3ducmV2LnhtbFBLAQIUABQAAAAIAIdO4kCuBadMBAIAAL0DAAAOAAAAAAAAAAEAIAAAACgB&#10;AABkcnMvZTJvRG9jLnhtbFBLBQYAAAAABgAGAFkBAACeBQAAAAA=&#10;">
                      <v:fill on="f" focussize="0,0"/>
                      <v:stroke weight="1.5pt" color="#000000 [3200]" miterlimit="8" joinstyle="miter" dashstyle="3 1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45487360" behindDoc="0" locked="0" layoutInCell="1" allowOverlap="1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1308735</wp:posOffset>
                      </wp:positionV>
                      <wp:extent cx="483235" cy="303530"/>
                      <wp:effectExtent l="0" t="0" r="12065" b="1270"/>
                      <wp:wrapNone/>
                      <wp:docPr id="74" name="文本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EDC"/>
                              </a:solidFill>
                              <a:ln w="6350">
                                <a:noFill/>
                                <a:prstDash val="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jc w:val="left"/>
                                    <w:textAlignment w:val="auto"/>
                                    <w:rPr>
                                      <w:rFonts w:hint="eastAsia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恶臭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2.5pt;margin-top:103.05pt;height:23.9pt;width:38.05pt;z-index:345487360;mso-width-relative:page;mso-height-relative:page;" fillcolor="#DFDEDC" filled="t" stroked="f" coordsize="21600,21600" o:gfxdata="UEsDBAoAAAAAAIdO4kAAAAAAAAAAAAAAAAAEAAAAZHJzL1BLAwQUAAAACACHTuJA7w0dWNcAAAAL&#10;AQAADwAAAGRycy9kb3ducmV2LnhtbE1PQU7DMBC8I/EHa5G4UTuGRm0ap4cCQhwpSIibG2+TqPE6&#10;xG5afs9yorcZ7czsTLk++15MOMYukIFspkAg1cF11Bj4eH++W4CIyZKzfSA08IMR1tX1VWkLF070&#10;htM2NYJDKBbWQJvSUEgZ6xa9jbMwIPFtH0ZvE9OxkW60Jw73vdRK5dLbjvhDawfctFgftkfPNT71&#10;hP7lEZ8O7demWS5syF+/jbm9ydQKRMJz+hfDX332QMWdduFILoqe+cOctyQDWuUZCFZonTHYMZjf&#10;L0FWpbzcUP0CUEsDBBQAAAAIAIdO4kBa7AWvRQIAAFoEAAAOAAAAZHJzL2Uyb0RvYy54bWytVM2O&#10;0zAQviPxDpbvNGnT7i5V01VpKEJasSsVxNl1nCaS4zG226Q8APsGnLhw57n6HIydtFt+ToiLM3/+&#10;xvPNTGa3bS3JXhhbgUrpcBBTIhSHvFLblH54v3pxQ4l1TOVMghIpPQhLb+fPn80aPRUjKEHmwhAE&#10;UXba6JSWzulpFFleiprZAWih0FmAqZlD1Wyj3LAG0WsZjeL4KmrA5NoAF9aiNeucdB7wi0Jwd18U&#10;VjgiU4pvc+E04dz4M5rP2HRrmC4r3j+D/cMralYpTHqGyphjZGeqP6DqihuwULgBhzqCoqi4CDVg&#10;NcP4t2rWJdMi1ILkWH2myf4/WP5u/2BIlaf0ekyJYjX26Pj18fjtx/H7F4I2JKjRdopxa42Rrn0F&#10;LTb6ZLdo9HW3han9Fysi6EeqD2d6ResIR+P4JhklE0o4upI4mSSB/ujpsjbWvRFQEy+k1GD3Aqls&#10;f2cdPgRDTyE+lwVZ5atKyqCY7WYpDdkz7HS2yl5nS/9GvPJLmFSkSelVMokDsgJ/PwyBR86YLTuE&#10;HKX+vlQI4znoavWSazdtT8wG8gPyYqAbLav5qkKkO2bdAzM4S0gF7oe7x6OQgMmhlygpwXz+m93H&#10;Y4vRS0mDs5lS+2nHjKBEvlXY/JfD8dgPc1DGk+sRKubSs7n0qF29BCRliJuoeRB9vJMnsTBQf8Q1&#10;Wvis6GKKY+6UupO4dN3G4BpysViEIBxfzdydWmvuoX0LFCx2DooqtMrT1HHTs4cDHNrRL5vfkEs9&#10;RD39Eu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8NHVjXAAAACwEAAA8AAAAAAAAAAQAgAAAA&#10;IgAAAGRycy9kb3ducmV2LnhtbFBLAQIUABQAAAAIAIdO4kBa7AWvRQIAAFoEAAAOAAAAAAAAAAEA&#10;IAAAACYBAABkcnMvZTJvRG9jLnhtbFBLBQYAAAAABgAGAFkBAADdBQAAAAA=&#10;">
                      <v:fill on="t" focussize="0,0"/>
                      <v:stroke on="f" weight="0.5pt" dashstyle="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恶臭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82933248" behindDoc="0" locked="0" layoutInCell="1" allowOverlap="1">
                      <wp:simplePos x="0" y="0"/>
                      <wp:positionH relativeFrom="column">
                        <wp:posOffset>3041015</wp:posOffset>
                      </wp:positionH>
                      <wp:positionV relativeFrom="paragraph">
                        <wp:posOffset>796925</wp:posOffset>
                      </wp:positionV>
                      <wp:extent cx="509905" cy="0"/>
                      <wp:effectExtent l="0" t="53975" r="4445" b="60325"/>
                      <wp:wrapNone/>
                      <wp:docPr id="71" name="直接箭头连接符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919855" y="4849495"/>
                                <a:ext cx="5099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39.45pt;margin-top:62.75pt;height:0pt;width:40.15pt;z-index:282933248;mso-width-relative:page;mso-height-relative:page;" filled="f" stroked="t" coordsize="21600,21600" o:gfxdata="UEsDBAoAAAAAAIdO4kAAAAAAAAAAAAAAAAAEAAAAZHJzL1BLAwQUAAAACACHTuJArVXSJdYAAAAL&#10;AQAADwAAAGRycy9kb3ducmV2LnhtbE2PTU/DMAyG70j8h8hI3Fi6sm5r13SHDY4cNuCeNl5brXGq&#10;JPuAXz8jIcHRfh+9flyur3YQZ/Shd6RgOklAIDXO9NQq+Hh/fVqCCFGT0YMjVPCFAdbV/V2pC+Mu&#10;tMPzPraCSygUWkEX41hIGZoOrQ4TNyJxdnDe6sijb6Xx+sLldpBpksyl1T3xhU6PuOmwOe5PVsEi&#10;fJv6kPv5s2/kbhs+o3kZ35R6fJgmKxARr/EPhh99VoeKnWp3IhPEoGC2WOaMcpBmGQgmsixPQdS/&#10;G1mV8v8P1Q1QSwMEFAAAAAgAh07iQAfCIf4DAgAAsgMAAA4AAABkcnMvZTJvRG9jLnhtbK1TTa7T&#10;MBDeI3EHy3ua9tFCGzV9i5bHBkEl4ABTx0ks+U9j07SX4AJIrIAVsHp7TgOPYzB2Sh8/O0QWzkw8&#10;881830yWlwej2V5iUM5WfDIacyatcLWybcVfvri6N+csRLA1aGdlxY8y8MvV3TvL3pfywnVO1xIZ&#10;gdhQ9r7iXYy+LIogOmkgjJyXli4bhwYiudgWNUJP6EYXF+Pxg6J3WHt0QoZAXzfDJV9l/KaRIj5r&#10;miAj0xWn3mI+MZ+7dBarJZQtgu+UOLUB/9CFAWWp6BlqAxHYK1R/QRkl0AXXxJFwpnBNo4TMHIjN&#10;ZPwHm+cdeJm5kDjBn2UK/w9WPN1vkam64g8nnFkwNKObN9ffXr+/+fzp67vr71/eJvvjB0b3JFbv&#10;Q0k5a7vFkxf8FhPzQ4MmvYkTO1T8/mKymM9mnB0rPp1PF9PFbBBbHiITFDAbLxZjuhcUkOdQ3GJ4&#10;DPGxdIYlo+IhIqi2i2tnLU3U4SRrDfsnIVIXlPgzITVg3ZXSOg9WW9bTVlIdmr0A2q9GQyTTeGIc&#10;bMsZ6JYWV0TMkMFpVaf0BBSw3a01sj2k5clPokDlfgtLtTcQuiEuHENyBq5GRdpurUzF5+d8KCMo&#10;/cjWLB49yQ2IruepUSNrzrSkfpI1lNKWKibVB52TtXP1Mcufv9Ni5J5OS5w271c/Z9/+aqs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VXSJdYAAAALAQAADwAAAAAAAAABACAAAAAiAAAAZHJzL2Rv&#10;d25yZXYueG1sUEsBAhQAFAAAAAgAh07iQAfCIf4DAgAAsgMAAA4AAAAAAAAAAQAgAAAAJQEAAGRy&#10;cy9lMm9Eb2MueG1sUEsFBgAAAAAGAAYAWQEAAJoFAAAAAA==&#10;">
                      <v:fill on="f" focussize="0,0"/>
                      <v:stroke weight="1.5pt" color="#000000 [3200]" miterlimit="8" joinstyle="miter" dashstyle="3 1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4400550" cy="5324475"/>
                  <wp:effectExtent l="0" t="0" r="0" b="9525"/>
                  <wp:docPr id="7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8"/>
              <w:spacing w:beforeLines="0" w:afterLines="0" w:line="360" w:lineRule="auto"/>
              <w:ind w:firstLine="0" w:firstLineChars="0"/>
              <w:jc w:val="center"/>
              <w:rPr>
                <w:rFonts w:hint="eastAsia" w:ascii="Times New Roman" w:hAnsi="Times New Roman" w:eastAsiaTheme="minorEastAsia"/>
                <w:b/>
                <w:bCs/>
                <w:color w:val="auto"/>
                <w:highlight w:val="none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color w:val="auto"/>
                <w:highlight w:val="none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val="en-US" w:eastAsia="zh-CN"/>
              </w:rPr>
              <w:t>7</w:t>
            </w:r>
            <w:r>
              <w:rPr>
                <w:rFonts w:ascii="Times New Roman" w:hAnsi="Times New Roman"/>
                <w:b/>
                <w:bCs/>
                <w:color w:val="auto"/>
                <w:highlight w:val="none"/>
              </w:rPr>
              <w:t xml:space="preserve">-2 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eastAsia="zh-CN"/>
              </w:rPr>
              <w:t>产污节点图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2" w:firstLineChars="200"/>
              <w:textAlignment w:val="auto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二、工程分析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2" w:firstLineChars="200"/>
              <w:textAlignment w:val="auto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（一）施工期工程分析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textAlignment w:val="auto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1、环境空气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项目建设施工过程中，各种燃油动力机械和运输车辆排放的废气；挖土、运土、填土、夯实和汽车运输过程的扬尘，都将会造成周围环境的大气污染。污染大气的主要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污染物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是NO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vertAlign w:val="subscript"/>
              </w:rPr>
              <w:t>2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、CO、SO</w:t>
            </w:r>
            <w:r>
              <w:rPr>
                <w:rFonts w:ascii="Times New Roman" w:hAnsi="Times New Roman"/>
                <w:color w:val="auto"/>
                <w:sz w:val="24"/>
                <w:highlight w:val="none"/>
                <w:vertAlign w:val="subscript"/>
              </w:rPr>
              <w:t>2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和粉尘，尤其粉尘污染最为严重。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textAlignment w:val="auto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bookmarkStart w:id="46" w:name="_Toc530820052"/>
            <w:bookmarkStart w:id="47" w:name="_Toc10817654"/>
            <w:bookmarkStart w:id="48" w:name="_Toc10816038"/>
            <w:bookmarkStart w:id="49" w:name="_Toc532442788"/>
            <w:bookmarkStart w:id="50" w:name="_Toc527204343"/>
            <w:bookmarkStart w:id="51" w:name="_Toc526952239"/>
            <w:bookmarkStart w:id="52" w:name="_Toc526598095"/>
            <w:bookmarkStart w:id="53" w:name="_Toc526596730"/>
            <w:bookmarkStart w:id="54" w:name="_Toc530819680"/>
            <w:bookmarkStart w:id="55" w:name="_Toc526164318"/>
            <w:bookmarkStart w:id="56" w:name="_Toc526174970"/>
            <w:bookmarkStart w:id="57" w:name="_Toc525899413"/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2、</w:t>
            </w:r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水环境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textAlignment w:val="auto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（1）生活污水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施工过程的废水主要为施工人员的生活污水。本项目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施工人员20人，施工期为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3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0天。每人每天生活用水按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30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L计算，则施工期生活用水量为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18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t，生活污水排污系数按0.8计，则产生的生活污水量为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14.4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 xml:space="preserve"> t。生活污水的污染物主要为COD和氨氮。生活污水排入厂区防渗旱厕，定期清掏，外运堆肥。</w:t>
            </w:r>
          </w:p>
          <w:p>
            <w:pPr>
              <w:spacing w:line="360" w:lineRule="auto"/>
              <w:ind w:firstLine="354" w:firstLineChars="147"/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（2）水土流失</w:t>
            </w:r>
          </w:p>
          <w:p>
            <w:pPr>
              <w:spacing w:line="360" w:lineRule="auto"/>
              <w:ind w:firstLine="48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本项目合理安排施工期，避开雨季施工，由于本项目施工期短，对环境的影响不大。</w:t>
            </w:r>
          </w:p>
          <w:p>
            <w:pPr>
              <w:spacing w:line="360" w:lineRule="auto"/>
              <w:ind w:firstLine="482" w:firstLineChars="200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3、噪声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施工期噪声主要来自各类施工机械（搅拌机、振动棒等）及运输车辆，一般为70-90dB(A)，施工期间会对周围环境产生一定的影响。</w:t>
            </w:r>
          </w:p>
          <w:p>
            <w:pPr>
              <w:spacing w:line="360" w:lineRule="auto"/>
              <w:ind w:left="480" w:leftChars="200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4、固体废物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施工残土为主要固体废物，应及时清运，并按市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环卫部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门指定地点堆放。生活垃圾由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环卫部门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统一处理。</w:t>
            </w:r>
          </w:p>
          <w:p>
            <w:pPr>
              <w:spacing w:before="156" w:beforeLines="50" w:after="156" w:afterLines="50"/>
              <w:ind w:firstLine="281" w:firstLineChars="100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（二）营运期工程分析</w:t>
            </w:r>
          </w:p>
          <w:p>
            <w:pPr>
              <w:ind w:firstLine="48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1、废水</w:t>
            </w:r>
          </w:p>
          <w:p>
            <w:pPr>
              <w:pStyle w:val="28"/>
              <w:spacing w:beforeLines="0" w:afterLines="0" w:line="360" w:lineRule="auto"/>
              <w:ind w:firstLine="480"/>
              <w:rPr>
                <w:rFonts w:hint="eastAsia" w:hAnsi="宋体"/>
                <w:kern w:val="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本项目排水主要为生活污水，生活污水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产生量按用水量的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80%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计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算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，则污水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量为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0.48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t/d，年排放量为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132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t/a。生活污水</w:t>
            </w:r>
            <w:r>
              <w:rPr>
                <w:rFonts w:hint="eastAsia" w:hAnsi="宋体"/>
                <w:kern w:val="0"/>
                <w:szCs w:val="21"/>
              </w:rPr>
              <w:t>用于厂区降尘，设防渗旱厕，定期清掏外运堆肥农田。</w:t>
            </w:r>
          </w:p>
          <w:p>
            <w:pPr>
              <w:pStyle w:val="28"/>
              <w:numPr>
                <w:ilvl w:val="0"/>
                <w:numId w:val="0"/>
              </w:numPr>
              <w:spacing w:beforeLines="0" w:afterLines="0" w:line="360" w:lineRule="auto"/>
              <w:ind w:leftChars="0" w:firstLine="482" w:firstLineChars="200"/>
              <w:rPr>
                <w:rFonts w:hint="default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2、</w:t>
            </w:r>
            <w:r>
              <w:rPr>
                <w:rFonts w:hint="default"/>
                <w:b/>
                <w:bCs/>
              </w:rPr>
              <w:t>废气</w:t>
            </w:r>
          </w:p>
          <w:p>
            <w:pPr>
              <w:spacing w:line="360" w:lineRule="auto"/>
              <w:ind w:firstLine="520" w:firstLineChars="200"/>
              <w:jc w:val="left"/>
              <w:rPr>
                <w:rFonts w:hint="default"/>
              </w:rPr>
            </w:pPr>
            <w:r>
              <w:rPr>
                <w:rStyle w:val="51"/>
                <w:rFonts w:hint="default" w:ascii="Times New Roman" w:hAnsi="Times New Roman"/>
                <w:color w:val="auto"/>
                <w:sz w:val="24"/>
                <w:highlight w:val="none"/>
                <w:lang w:val="zh-TW" w:eastAsia="zh-TW"/>
              </w:rPr>
              <w:t>本项目运营期产生的废气主要为</w:t>
            </w:r>
            <w:r>
              <w:rPr>
                <w:rStyle w:val="51"/>
                <w:rFonts w:hint="default" w:ascii="Times New Roman" w:hAnsi="Times New Roman"/>
                <w:color w:val="auto"/>
                <w:sz w:val="24"/>
                <w:highlight w:val="none"/>
                <w:lang w:val="zh-TW"/>
              </w:rPr>
              <w:t>生产工艺中产生的粉尘</w:t>
            </w:r>
            <w:r>
              <w:rPr>
                <w:rStyle w:val="51"/>
                <w:rFonts w:hint="eastAsia" w:ascii="Times New Roman" w:hAnsi="Times New Roman" w:eastAsia="宋体"/>
                <w:color w:val="auto"/>
                <w:sz w:val="24"/>
                <w:highlight w:val="none"/>
                <w:lang w:val="zh-TW" w:eastAsia="zh-CN"/>
              </w:rPr>
              <w:t>、恶臭。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2.1、粉尘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</w:rPr>
              <w:t>本项目在</w:t>
            </w:r>
            <w:r>
              <w:rPr>
                <w:rFonts w:hint="eastAsia" w:ascii="Times New Roman" w:hAnsi="Times New Roman" w:eastAsia="宋体"/>
                <w:lang w:eastAsia="zh-CN"/>
              </w:rPr>
              <w:t>粉碎、堆翻和筛分工序</w:t>
            </w:r>
            <w:r>
              <w:rPr>
                <w:rFonts w:hint="default" w:ascii="Times New Roman" w:hAnsi="Times New Roman" w:eastAsia="宋体"/>
              </w:rPr>
              <w:t>过程中将产生一定量的粉尘。</w:t>
            </w:r>
            <w:r>
              <w:rPr>
                <w:rFonts w:hint="eastAsia" w:ascii="Times New Roman" w:hAnsi="Times New Roman" w:eastAsia="宋体"/>
                <w:lang w:eastAsia="zh-CN"/>
              </w:rPr>
              <w:t>类比《京台四方（唐山）生物科技有限公司年产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3万吨生物有机肥项目环境影响报告表》乐环评表【2018】63号文及</w:t>
            </w:r>
            <w:r>
              <w:rPr>
                <w:rFonts w:hint="eastAsia" w:ascii="Times New Roman" w:hAnsi="Times New Roman" w:eastAsia="宋体"/>
                <w:lang w:eastAsia="zh-CN"/>
              </w:rPr>
              <w:t>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3万吨生物有机肥项目竣工环境保护验收报告表》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，监测报告见附件4，本项目产尘工序粉尘产生量为7.32 t/a，230.5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，3.05kg/h。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highlight w:val="none"/>
              </w:rPr>
              <w:t>项目在车间中设置集气罩收集粉尘，捕集率按95%计算，集气罩后接入布袋除尘器收集粉尘后回用，除尘效率为99%，则本项目有组织粉尘排放量为0.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0695 </w:t>
            </w:r>
            <w:r>
              <w:rPr>
                <w:rFonts w:hint="default" w:ascii="Times New Roman" w:hAnsi="Times New Roman" w:eastAsia="宋体"/>
                <w:highlight w:val="none"/>
              </w:rPr>
              <w:t>t/a（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0.029</w:t>
            </w:r>
            <w:r>
              <w:rPr>
                <w:rFonts w:hint="default" w:ascii="Times New Roman" w:hAnsi="Times New Roman" w:eastAsia="宋体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</w:t>
            </w:r>
            <w:r>
              <w:rPr>
                <w:rFonts w:hint="default" w:ascii="Times New Roman" w:hAnsi="Times New Roman" w:eastAsia="宋体"/>
                <w:highlight w:val="none"/>
              </w:rPr>
              <w:t>）。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回收粉尘量为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6.8845 </w:t>
            </w:r>
            <w:r>
              <w:rPr>
                <w:rFonts w:hint="default" w:ascii="Times New Roman" w:hAnsi="Times New Roman" w:eastAsia="宋体"/>
                <w:highlight w:val="none"/>
              </w:rPr>
              <w:t>t/a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。本项车间采用密闭门窗，无组织粉尘排放量为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0.0366</w:t>
            </w:r>
            <w:r>
              <w:rPr>
                <w:rFonts w:hint="default" w:ascii="Times New Roman" w:hAnsi="Times New Roman" w:eastAsia="宋体"/>
                <w:highlight w:val="none"/>
              </w:rPr>
              <w:t>t/a（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0.017</w:t>
            </w:r>
            <w:r>
              <w:rPr>
                <w:rFonts w:hint="default" w:ascii="Times New Roman" w:hAnsi="Times New Roman" w:eastAsia="宋体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</w:t>
            </w:r>
            <w:r>
              <w:rPr>
                <w:rFonts w:hint="default" w:ascii="Times New Roman" w:hAnsi="Times New Roman" w:eastAsia="宋体"/>
                <w:highlight w:val="none"/>
              </w:rPr>
              <w:t>）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/>
              </w:rPr>
              <w:t>2、恶臭气体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default" w:ascii="Times New Roman" w:hAnsi="Times New Roman" w:eastAsia="宋体"/>
              </w:rPr>
              <w:t>项目生产</w:t>
            </w:r>
            <w:r>
              <w:rPr>
                <w:rFonts w:hint="eastAsia" w:ascii="Times New Roman" w:hAnsi="Times New Roman" w:eastAsia="宋体"/>
                <w:lang w:eastAsia="zh-CN"/>
              </w:rPr>
              <w:t>堆肥发酵</w:t>
            </w:r>
            <w:r>
              <w:rPr>
                <w:rFonts w:hint="default" w:ascii="Times New Roman" w:hAnsi="Times New Roman" w:eastAsia="宋体"/>
              </w:rPr>
              <w:t>过程中将产生少量的</w:t>
            </w:r>
            <w:r>
              <w:rPr>
                <w:rFonts w:hint="eastAsia" w:ascii="Times New Roman" w:hAnsi="Times New Roman" w:eastAsia="宋体"/>
                <w:lang w:eastAsia="zh-CN"/>
              </w:rPr>
              <w:t>臭</w:t>
            </w:r>
            <w:r>
              <w:rPr>
                <w:rFonts w:hint="default" w:ascii="Times New Roman" w:hAnsi="Times New Roman" w:eastAsia="宋体"/>
              </w:rPr>
              <w:t>气</w:t>
            </w:r>
            <w:r>
              <w:rPr>
                <w:rFonts w:hint="eastAsia" w:ascii="Times New Roman" w:hAnsi="Times New Roman" w:eastAsia="宋体"/>
                <w:lang w:eastAsia="zh-CN"/>
              </w:rPr>
              <w:t>、</w:t>
            </w:r>
            <w:r>
              <w:rPr>
                <w:rFonts w:hint="default" w:ascii="Times New Roman" w:hAnsi="Times New Roman" w:eastAsia="宋体"/>
              </w:rPr>
              <w:t>氨气</w:t>
            </w:r>
            <w:r>
              <w:rPr>
                <w:rFonts w:hint="eastAsia" w:ascii="Times New Roman" w:hAnsi="Times New Roman" w:eastAsia="宋体"/>
                <w:lang w:eastAsia="zh-CN"/>
              </w:rPr>
              <w:t>和硫化氢</w:t>
            </w:r>
            <w:r>
              <w:rPr>
                <w:rFonts w:hint="default" w:ascii="Times New Roman" w:hAnsi="Times New Roman" w:eastAsia="宋体"/>
              </w:rPr>
              <w:t>，</w:t>
            </w:r>
            <w:r>
              <w:rPr>
                <w:rFonts w:hint="eastAsia" w:ascii="Times New Roman" w:hAnsi="Times New Roman" w:eastAsia="宋体"/>
                <w:lang w:eastAsia="zh-CN"/>
              </w:rPr>
              <w:t>类比《京台四方（唐山）生物科技有限公司年产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3万吨生物有机肥项目环境影响报告表》乐环评表【2018】63号文及</w:t>
            </w:r>
            <w:r>
              <w:rPr>
                <w:rFonts w:hint="eastAsia" w:ascii="Times New Roman" w:hAnsi="Times New Roman" w:eastAsia="宋体"/>
                <w:lang w:eastAsia="zh-CN"/>
              </w:rPr>
              <w:t>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3万吨生物有机肥项目竣工环境保护验收报告表》。</w:t>
            </w:r>
            <w:r>
              <w:rPr>
                <w:rFonts w:hint="eastAsia" w:ascii="Times New Roman" w:hAnsi="Times New Roman" w:eastAsia="宋体"/>
                <w:lang w:eastAsia="zh-CN"/>
              </w:rPr>
              <w:t>本项目臭气产生量为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1120（无纲量）；氨产生量为1.2 mg/m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，0.03kg/h。硫化氢的产生量为0.075 mg/m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，1.78×10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 xml:space="preserve">-3 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kg/h。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发酵</w:t>
            </w:r>
            <w:r>
              <w:rPr>
                <w:rFonts w:hint="default" w:ascii="Times New Roman" w:hAnsi="Times New Roman" w:eastAsia="宋体"/>
              </w:rPr>
              <w:t>车间</w:t>
            </w:r>
            <w:r>
              <w:rPr>
                <w:rFonts w:hint="eastAsia" w:ascii="Times New Roman" w:hAnsi="Times New Roman" w:eastAsia="宋体"/>
                <w:lang w:eastAsia="zh-CN"/>
              </w:rPr>
              <w:t>原料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RW酵素剂除臭+集气罩负压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收集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+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活性炭吸附处理后，经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15m排气筒排放</w:t>
            </w:r>
            <w:r>
              <w:rPr>
                <w:rFonts w:hint="default" w:ascii="Times New Roman" w:hAnsi="Times New Roman" w:eastAsia="宋体"/>
              </w:rPr>
              <w:t>。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本项目臭气排放量为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280（无纲量）；氨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为0.3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，0.0075kg/h。硫化氢的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为0.019mg/m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，4.45×10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-4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kg/h。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本项目无组织臭气排放量为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（无纲量）；氨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。硫化氢的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35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。</w:t>
            </w:r>
          </w:p>
          <w:p>
            <w:pPr>
              <w:ind w:firstLine="482" w:firstLineChars="20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rFonts w:hint="eastAsia"/>
                <w:b/>
                <w:bCs/>
                <w:lang w:eastAsia="zh-CN"/>
              </w:rPr>
              <w:t>、</w:t>
            </w:r>
            <w:r>
              <w:rPr>
                <w:b/>
                <w:bCs/>
              </w:rPr>
              <w:t>噪声</w:t>
            </w:r>
          </w:p>
          <w:p>
            <w:pPr>
              <w:ind w:firstLine="480"/>
              <w:rPr>
                <w:rFonts w:hint="default"/>
              </w:rPr>
            </w:pPr>
            <w:r>
              <w:rPr>
                <w:rFonts w:hint="default"/>
              </w:rPr>
              <w:t>本项目仅昼间运营，夜间不运营。营运期间产生的噪声主要为生产噪声。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default"/>
              </w:rPr>
              <w:t>项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项目建成后，主要来自生产设备产生的噪声。设备噪声在70～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90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dB(A)左右，具体产噪情况见表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7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。</w:t>
            </w:r>
          </w:p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7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 xml:space="preserve"> 噪声源特征一览表</w:t>
            </w:r>
          </w:p>
          <w:tbl>
            <w:tblPr>
              <w:tblStyle w:val="16"/>
              <w:tblW w:w="9070" w:type="dxa"/>
              <w:jc w:val="center"/>
              <w:tblInd w:w="0" w:type="dxa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67"/>
              <w:gridCol w:w="2267"/>
              <w:gridCol w:w="2268"/>
              <w:gridCol w:w="226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序号</w:t>
                  </w:r>
                </w:p>
              </w:tc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产噪设备名称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运行台数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声压级dB（A）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1</w:t>
                  </w:r>
                </w:p>
              </w:tc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卧式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粉碎机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80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-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90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2</w:t>
                  </w:r>
                </w:p>
              </w:tc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蛟龙翻抛机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75-85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3</w:t>
                  </w:r>
                </w:p>
              </w:tc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秸秆粉碎机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0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-8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4</w:t>
                  </w:r>
                </w:p>
              </w:tc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自动包装机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0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-8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5</w:t>
                  </w:r>
                </w:p>
              </w:tc>
              <w:tc>
                <w:tcPr>
                  <w:tcW w:w="2267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风机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default" w:ascii="Times New Roman" w:hAnsi="Times New Roman" w:eastAsiaTheme="minorEastAsia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268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5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-8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5</w:t>
                  </w:r>
                </w:p>
              </w:tc>
            </w:tr>
          </w:tbl>
          <w:p>
            <w:pPr>
              <w:ind w:firstLine="482" w:firstLineChars="20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rFonts w:hint="eastAsia"/>
                <w:b/>
                <w:bCs/>
                <w:lang w:eastAsia="zh-CN"/>
              </w:rPr>
              <w:t>、</w:t>
            </w:r>
            <w:r>
              <w:rPr>
                <w:b/>
                <w:bCs/>
              </w:rPr>
              <w:t xml:space="preserve"> 固体废物</w:t>
            </w:r>
          </w:p>
          <w:p>
            <w:pPr>
              <w:spacing w:line="360" w:lineRule="auto"/>
              <w:ind w:firstLine="480" w:firstLineChars="200"/>
              <w:jc w:val="left"/>
            </w:pPr>
            <w:r>
              <w:t>本项目产生的一般固体废物主要为生产过程中产生的废包装袋、员工办公生活垃圾</w:t>
            </w:r>
            <w:r>
              <w:rPr>
                <w:rFonts w:hint="eastAsia"/>
              </w:rPr>
              <w:t>和除尘器收集到的粉尘</w:t>
            </w:r>
            <w:r>
              <w:t>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4.1、</w:t>
            </w:r>
            <w:r>
              <w:t>员工生活垃圾排放量按照0.4kg/人•日计算，员工</w:t>
            </w:r>
            <w:r>
              <w:rPr>
                <w:rFonts w:hint="eastAsia"/>
                <w:lang w:val="en-US" w:eastAsia="zh-CN"/>
              </w:rPr>
              <w:t>2</w:t>
            </w:r>
            <w:r>
              <w:t>0人，年工作</w:t>
            </w:r>
            <w:r>
              <w:rPr>
                <w:rFonts w:hint="eastAsia"/>
                <w:lang w:val="en-US" w:eastAsia="zh-CN"/>
              </w:rPr>
              <w:t>275</w:t>
            </w:r>
            <w:r>
              <w:t>天，本项目生活垃圾产生量</w:t>
            </w:r>
            <w:r>
              <w:rPr>
                <w:rFonts w:hint="eastAsia"/>
                <w:lang w:val="en-US" w:eastAsia="zh-CN"/>
              </w:rPr>
              <w:t xml:space="preserve">2.2 </w:t>
            </w:r>
            <w:r>
              <w:t>t/a；</w:t>
            </w:r>
            <w:r>
              <w:rPr>
                <w:rFonts w:hint="eastAsia"/>
                <w:lang w:eastAsia="zh-CN"/>
              </w:rPr>
              <w:t>由市政环卫部门统一收集处理，处理效果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4.2、</w:t>
            </w:r>
            <w:r>
              <w:t>废包装袋产量为</w:t>
            </w:r>
            <w:r>
              <w:rPr>
                <w:rFonts w:hint="eastAsia"/>
                <w:lang w:val="en-US" w:eastAsia="zh-CN"/>
              </w:rPr>
              <w:t xml:space="preserve">0.5 </w:t>
            </w:r>
            <w:r>
              <w:t>t/a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CN"/>
              </w:rPr>
              <w:t>外售综合利用，处理效果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4.3、</w:t>
            </w:r>
            <w:r>
              <w:rPr>
                <w:rFonts w:hint="eastAsia"/>
              </w:rPr>
              <w:t>除尘器收集到粉尘为</w:t>
            </w:r>
            <w:r>
              <w:rPr>
                <w:rFonts w:hint="eastAsia"/>
                <w:lang w:val="en-US" w:eastAsia="zh-CN"/>
              </w:rPr>
              <w:t xml:space="preserve">6.8845 </w:t>
            </w:r>
            <w:r>
              <w:rPr>
                <w:rFonts w:hint="eastAsia"/>
              </w:rPr>
              <w:t>t/a</w:t>
            </w:r>
            <w:r>
              <w:t>。</w:t>
            </w:r>
            <w:r>
              <w:rPr>
                <w:rFonts w:hint="eastAsia"/>
                <w:lang w:eastAsia="zh-CN"/>
              </w:rPr>
              <w:t>统一收集后，回用于生产，处理效果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4.4、废活性炭3 t/a,</w:t>
            </w:r>
            <w:r>
              <w:rPr>
                <w:rFonts w:hint="eastAsia"/>
                <w:lang w:eastAsia="zh-CN"/>
              </w:rPr>
              <w:t>由市政环卫部门统一收集处理，处理效果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pStyle w:val="25"/>
              <w:rPr>
                <w:rFonts w:hint="default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pStyle w:val="25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>
            <w:pPr>
              <w:pStyle w:val="2"/>
            </w:pPr>
          </w:p>
          <w:p/>
          <w:p>
            <w:pPr>
              <w:pStyle w:val="2"/>
            </w:pPr>
          </w:p>
          <w:p/>
          <w:p>
            <w:pPr>
              <w:pStyle w:val="2"/>
            </w:pPr>
          </w:p>
          <w:p>
            <w:pPr>
              <w:pStyle w:val="2"/>
              <w:numPr>
                <w:ilvl w:val="0"/>
                <w:numId w:val="0"/>
              </w:numPr>
            </w:pPr>
          </w:p>
        </w:tc>
      </w:tr>
    </w:tbl>
    <w:p>
      <w:pPr>
        <w:pStyle w:val="4"/>
        <w:spacing w:before="0" w:after="0" w:line="240" w:lineRule="auto"/>
        <w:rPr>
          <w:rFonts w:hint="eastAsia" w:ascii="Times New Roman" w:hAnsi="Times New Roman" w:eastAsia="宋体"/>
          <w:sz w:val="30"/>
          <w:szCs w:val="30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  <w:bookmarkStart w:id="58" w:name="_Toc1499"/>
      <w:bookmarkStart w:id="59" w:name="_Toc4771657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Theme="minorEastAsia"/>
          <w:b/>
          <w:bCs/>
          <w:color w:val="auto"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color w:val="auto"/>
          <w:kern w:val="0"/>
          <w:sz w:val="24"/>
          <w:highlight w:val="none"/>
        </w:rPr>
        <w:t>表</w:t>
      </w:r>
      <w:r>
        <w:rPr>
          <w:rFonts w:hint="eastAsia" w:ascii="Times New Roman" w:hAnsi="Times New Roman"/>
          <w:b/>
          <w:bCs/>
          <w:color w:val="auto"/>
          <w:kern w:val="0"/>
          <w:sz w:val="24"/>
          <w:highlight w:val="none"/>
          <w:lang w:val="en-US" w:eastAsia="zh-CN"/>
        </w:rPr>
        <w:t>7</w:t>
      </w:r>
      <w:r>
        <w:rPr>
          <w:rFonts w:ascii="Times New Roman" w:hAnsi="Times New Roman"/>
          <w:b/>
          <w:bCs/>
          <w:color w:val="auto"/>
          <w:kern w:val="0"/>
          <w:sz w:val="24"/>
          <w:highlight w:val="none"/>
        </w:rPr>
        <w:t>-</w:t>
      </w:r>
      <w:r>
        <w:rPr>
          <w:rFonts w:hint="eastAsia" w:ascii="Times New Roman" w:hAnsi="Times New Roman"/>
          <w:b/>
          <w:bCs/>
          <w:color w:val="auto"/>
          <w:kern w:val="0"/>
          <w:sz w:val="24"/>
          <w:highlight w:val="none"/>
          <w:lang w:val="en-US" w:eastAsia="zh-CN"/>
        </w:rPr>
        <w:t>2</w:t>
      </w:r>
      <w:r>
        <w:rPr>
          <w:rFonts w:ascii="Times New Roman" w:hAnsi="Times New Roman"/>
          <w:b/>
          <w:bCs/>
          <w:color w:val="auto"/>
          <w:kern w:val="0"/>
          <w:sz w:val="24"/>
          <w:highlight w:val="none"/>
        </w:rPr>
        <w:t xml:space="preserve"> 废气污染源源强核算</w:t>
      </w:r>
    </w:p>
    <w:tbl>
      <w:tblPr>
        <w:tblStyle w:val="16"/>
        <w:tblW w:w="14218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713"/>
        <w:gridCol w:w="840"/>
        <w:gridCol w:w="915"/>
        <w:gridCol w:w="954"/>
        <w:gridCol w:w="966"/>
        <w:gridCol w:w="1125"/>
        <w:gridCol w:w="885"/>
        <w:gridCol w:w="1620"/>
        <w:gridCol w:w="690"/>
        <w:gridCol w:w="736"/>
        <w:gridCol w:w="914"/>
        <w:gridCol w:w="1140"/>
        <w:gridCol w:w="1013"/>
        <w:gridCol w:w="77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60" w:name="_Toc4070"/>
            <w:bookmarkStart w:id="61" w:name="_Toc10054"/>
            <w:bookmarkStart w:id="62" w:name="_Toc1209517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工序/生产线</w:t>
            </w:r>
            <w:bookmarkEnd w:id="60"/>
            <w:bookmarkEnd w:id="61"/>
            <w:bookmarkEnd w:id="62"/>
          </w:p>
        </w:tc>
        <w:tc>
          <w:tcPr>
            <w:tcW w:w="713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63" w:name="_Toc1209518"/>
            <w:bookmarkStart w:id="64" w:name="_Toc17959"/>
            <w:bookmarkStart w:id="65" w:name="_Toc15570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装置</w:t>
            </w:r>
            <w:bookmarkEnd w:id="63"/>
            <w:bookmarkEnd w:id="64"/>
            <w:bookmarkEnd w:id="65"/>
          </w:p>
        </w:tc>
        <w:tc>
          <w:tcPr>
            <w:tcW w:w="840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66" w:name="_Toc1209519"/>
            <w:bookmarkStart w:id="67" w:name="_Toc15259"/>
            <w:bookmarkStart w:id="68" w:name="_Toc14442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污染源</w:t>
            </w:r>
            <w:bookmarkEnd w:id="66"/>
            <w:bookmarkEnd w:id="67"/>
            <w:bookmarkEnd w:id="68"/>
          </w:p>
        </w:tc>
        <w:tc>
          <w:tcPr>
            <w:tcW w:w="915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69" w:name="_Toc32616"/>
            <w:bookmarkStart w:id="70" w:name="_Toc22336"/>
            <w:bookmarkStart w:id="71" w:name="_Toc1209520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污染物</w:t>
            </w:r>
            <w:bookmarkEnd w:id="69"/>
            <w:bookmarkEnd w:id="70"/>
            <w:bookmarkEnd w:id="71"/>
          </w:p>
        </w:tc>
        <w:tc>
          <w:tcPr>
            <w:tcW w:w="3930" w:type="dxa"/>
            <w:gridSpan w:val="4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72" w:name="_Toc15309"/>
            <w:bookmarkStart w:id="73" w:name="_Toc14387"/>
            <w:bookmarkStart w:id="74" w:name="_Toc1209521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污染物产生</w:t>
            </w:r>
            <w:bookmarkEnd w:id="72"/>
            <w:bookmarkEnd w:id="73"/>
            <w:bookmarkEnd w:id="74"/>
          </w:p>
        </w:tc>
        <w:tc>
          <w:tcPr>
            <w:tcW w:w="2310" w:type="dxa"/>
            <w:gridSpan w:val="2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75" w:name="_Toc9508"/>
            <w:bookmarkStart w:id="76" w:name="_Toc1209522"/>
            <w:bookmarkStart w:id="77" w:name="_Toc29480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治理措施</w:t>
            </w:r>
            <w:bookmarkEnd w:id="75"/>
            <w:bookmarkEnd w:id="76"/>
            <w:bookmarkEnd w:id="77"/>
          </w:p>
        </w:tc>
        <w:tc>
          <w:tcPr>
            <w:tcW w:w="3803" w:type="dxa"/>
            <w:gridSpan w:val="4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78" w:name="_Toc21912"/>
            <w:bookmarkStart w:id="79" w:name="_Toc1209523"/>
            <w:bookmarkStart w:id="80" w:name="_Toc31868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污染物排放</w:t>
            </w:r>
            <w:bookmarkEnd w:id="78"/>
            <w:bookmarkEnd w:id="79"/>
            <w:bookmarkEnd w:id="80"/>
          </w:p>
        </w:tc>
        <w:tc>
          <w:tcPr>
            <w:tcW w:w="772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81" w:name="_Toc1209524"/>
            <w:bookmarkStart w:id="82" w:name="_Toc10887"/>
            <w:bookmarkStart w:id="83" w:name="_Toc13145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排放时间/h</w:t>
            </w:r>
            <w:bookmarkEnd w:id="81"/>
            <w:bookmarkEnd w:id="82"/>
            <w:bookmarkEnd w:id="83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13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84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91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84" w:name="_Toc13769"/>
            <w:bookmarkStart w:id="85" w:name="_Toc1209525"/>
            <w:bookmarkStart w:id="86" w:name="_Toc20961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核算方法</w:t>
            </w:r>
            <w:bookmarkEnd w:id="84"/>
            <w:bookmarkEnd w:id="85"/>
            <w:bookmarkEnd w:id="86"/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87" w:name="_Toc14814"/>
            <w:bookmarkStart w:id="88" w:name="_Toc1209526"/>
            <w:bookmarkStart w:id="89" w:name="_Toc32512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废气产生量/(m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/h)</w:t>
            </w:r>
            <w:bookmarkEnd w:id="87"/>
            <w:bookmarkEnd w:id="88"/>
            <w:bookmarkEnd w:id="89"/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90" w:name="_Toc1745"/>
            <w:bookmarkStart w:id="91" w:name="_Toc1209527"/>
            <w:bookmarkStart w:id="92" w:name="_Toc20570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产生浓度/(mg/m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)</w:t>
            </w:r>
            <w:bookmarkEnd w:id="90"/>
            <w:bookmarkEnd w:id="91"/>
            <w:bookmarkEnd w:id="92"/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93" w:name="_Toc1209528"/>
            <w:bookmarkStart w:id="94" w:name="_Toc6063"/>
            <w:bookmarkStart w:id="95" w:name="_Toc5631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产生量/(kg/h)</w:t>
            </w:r>
            <w:bookmarkEnd w:id="93"/>
            <w:bookmarkEnd w:id="94"/>
            <w:bookmarkEnd w:id="95"/>
          </w:p>
        </w:tc>
        <w:tc>
          <w:tcPr>
            <w:tcW w:w="162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96" w:name="_Toc1209529"/>
            <w:bookmarkStart w:id="97" w:name="_Toc3187"/>
            <w:bookmarkStart w:id="98" w:name="_Toc13329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工艺</w:t>
            </w:r>
            <w:bookmarkEnd w:id="96"/>
            <w:bookmarkEnd w:id="97"/>
            <w:bookmarkEnd w:id="98"/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99" w:name="_Toc27352"/>
            <w:bookmarkStart w:id="100" w:name="_Toc23078"/>
            <w:bookmarkStart w:id="101" w:name="_Toc1209530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效率/%</w:t>
            </w:r>
            <w:bookmarkEnd w:id="99"/>
            <w:bookmarkEnd w:id="100"/>
            <w:bookmarkEnd w:id="101"/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02" w:name="_Toc32166"/>
            <w:bookmarkStart w:id="103" w:name="_Toc1209531"/>
            <w:bookmarkStart w:id="104" w:name="_Toc666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核算方法</w:t>
            </w:r>
            <w:bookmarkEnd w:id="102"/>
            <w:bookmarkEnd w:id="103"/>
            <w:bookmarkEnd w:id="104"/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05" w:name="_Toc31222"/>
            <w:bookmarkStart w:id="106" w:name="_Toc31644"/>
            <w:bookmarkStart w:id="107" w:name="_Toc1209532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废气排放量/(m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/h)</w:t>
            </w:r>
            <w:bookmarkEnd w:id="105"/>
            <w:bookmarkEnd w:id="106"/>
            <w:bookmarkEnd w:id="107"/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08" w:name="_Toc4521"/>
            <w:bookmarkStart w:id="109" w:name="_Toc1209533"/>
            <w:bookmarkStart w:id="110" w:name="_Toc2893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排放浓度/(mg/m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perscript"/>
              </w:rPr>
              <w:t>3</w:t>
            </w: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)</w:t>
            </w:r>
            <w:bookmarkEnd w:id="108"/>
            <w:bookmarkEnd w:id="109"/>
            <w:bookmarkEnd w:id="110"/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11" w:name="_Toc13998"/>
            <w:bookmarkStart w:id="112" w:name="_Toc25641"/>
            <w:bookmarkStart w:id="113" w:name="_Toc1209534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排放量/(kg/h)</w:t>
            </w:r>
            <w:bookmarkEnd w:id="111"/>
            <w:bookmarkEnd w:id="112"/>
            <w:bookmarkEnd w:id="113"/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粉碎</w:t>
            </w:r>
          </w:p>
        </w:tc>
        <w:tc>
          <w:tcPr>
            <w:tcW w:w="713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粉碎机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排气筒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有组织粉尘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230.5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3.05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布袋除尘+15m高排气筒</w:t>
            </w: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14" w:name="_Toc30628"/>
            <w:bookmarkStart w:id="115" w:name="_Toc1209544"/>
            <w:bookmarkStart w:id="116" w:name="_Toc7199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9</w:t>
            </w:r>
            <w:bookmarkEnd w:id="114"/>
            <w:bookmarkEnd w:id="115"/>
            <w:bookmarkEnd w:id="116"/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9.0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17" w:name="_Toc10209"/>
            <w:bookmarkStart w:id="118" w:name="_Toc1209545"/>
            <w:bookmarkStart w:id="119" w:name="_Toc6299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物料衡算</w:t>
            </w:r>
            <w:bookmarkEnd w:id="117"/>
            <w:bookmarkEnd w:id="118"/>
            <w:bookmarkEnd w:id="119"/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23.05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0.029</w:t>
            </w:r>
          </w:p>
        </w:tc>
        <w:tc>
          <w:tcPr>
            <w:tcW w:w="772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2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13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粉碎机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无组织粉尘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0.0366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物料衡算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黑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0.0366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发酵</w:t>
            </w:r>
          </w:p>
        </w:tc>
        <w:tc>
          <w:tcPr>
            <w:tcW w:w="713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840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原料堆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15m高排气筒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NH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3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黑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1.2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0.03</w:t>
            </w:r>
          </w:p>
        </w:tc>
        <w:tc>
          <w:tcPr>
            <w:tcW w:w="1620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RW酵素剂除臭+集气罩负压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eastAsia="zh-CN"/>
              </w:rPr>
              <w:t>收集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+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eastAsia="zh-CN"/>
              </w:rPr>
              <w:t>活性炭吸附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+15m排气筒</w:t>
            </w: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物料衡算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0.3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0.0075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13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4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H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S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0.075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1.78×10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perscript"/>
                <w:lang w:val="en-US" w:eastAsia="zh-CN"/>
              </w:rPr>
              <w:t>-3</w:t>
            </w:r>
          </w:p>
        </w:tc>
        <w:tc>
          <w:tcPr>
            <w:tcW w:w="162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物料衡算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0.019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4.45×10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perscript"/>
                <w:lang w:val="en-US" w:eastAsia="zh-CN"/>
              </w:rPr>
              <w:t>-4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93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13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4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臭气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黑体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1120（无纲量）</w:t>
            </w:r>
          </w:p>
        </w:tc>
        <w:tc>
          <w:tcPr>
            <w:tcW w:w="162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物料衡算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280（无纲量）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发酵</w:t>
            </w:r>
          </w:p>
        </w:tc>
        <w:tc>
          <w:tcPr>
            <w:tcW w:w="713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40" w:type="dxa"/>
            <w:vMerge w:val="restart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NH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3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0.04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0.04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13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4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H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S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0.035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0.035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5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13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40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91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臭气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6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default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69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类比法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1013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4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center"/>
              <w:textAlignment w:val="auto"/>
              <w:rPr>
                <w:rFonts w:hint="eastAsia"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</w:p>
        </w:tc>
      </w:tr>
    </w:tbl>
    <w:p>
      <w:pPr>
        <w:pStyle w:val="25"/>
        <w:rPr>
          <w:rFonts w:ascii="Times New Roman"/>
          <w:color w:val="auto"/>
          <w:highlight w:val="none"/>
        </w:rPr>
      </w:pPr>
    </w:p>
    <w:p>
      <w:pPr>
        <w:pStyle w:val="25"/>
        <w:jc w:val="both"/>
        <w:rPr>
          <w:rFonts w:ascii="Times New Roman"/>
          <w:b/>
          <w:bCs/>
          <w:color w:val="auto"/>
          <w:sz w:val="21"/>
          <w:szCs w:val="21"/>
          <w:highlight w:val="none"/>
        </w:rPr>
      </w:pPr>
    </w:p>
    <w:p>
      <w:pPr>
        <w:pStyle w:val="25"/>
        <w:jc w:val="both"/>
        <w:rPr>
          <w:rFonts w:ascii="Times New Roman"/>
          <w:b/>
          <w:bCs/>
          <w:color w:val="auto"/>
          <w:sz w:val="21"/>
          <w:szCs w:val="21"/>
          <w:highlight w:val="none"/>
        </w:rPr>
      </w:pPr>
    </w:p>
    <w:p>
      <w:pPr>
        <w:pStyle w:val="25"/>
        <w:jc w:val="both"/>
        <w:rPr>
          <w:rFonts w:ascii="Times New Roman"/>
          <w:b/>
          <w:bCs/>
          <w:color w:val="auto"/>
          <w:sz w:val="21"/>
          <w:szCs w:val="21"/>
          <w:highlight w:val="none"/>
        </w:rPr>
      </w:pPr>
    </w:p>
    <w:p>
      <w:pPr>
        <w:pStyle w:val="25"/>
        <w:jc w:val="both"/>
        <w:rPr>
          <w:rFonts w:ascii="Times New Roman"/>
          <w:b/>
          <w:bCs/>
          <w:color w:val="auto"/>
          <w:sz w:val="21"/>
          <w:szCs w:val="21"/>
          <w:highlight w:val="none"/>
        </w:rPr>
      </w:pPr>
    </w:p>
    <w:p>
      <w:pPr>
        <w:pStyle w:val="25"/>
        <w:jc w:val="both"/>
        <w:rPr>
          <w:rFonts w:ascii="Times New Roman"/>
          <w:b/>
          <w:bCs/>
          <w:color w:val="auto"/>
          <w:sz w:val="21"/>
          <w:szCs w:val="21"/>
          <w:highlight w:val="none"/>
        </w:rPr>
      </w:pPr>
    </w:p>
    <w:p>
      <w:pPr>
        <w:pStyle w:val="25"/>
        <w:jc w:val="both"/>
        <w:rPr>
          <w:rFonts w:ascii="Times New Roman"/>
          <w:b/>
          <w:bCs/>
          <w:color w:val="auto"/>
          <w:sz w:val="21"/>
          <w:szCs w:val="21"/>
          <w:highlight w:val="none"/>
        </w:rPr>
      </w:pPr>
    </w:p>
    <w:p>
      <w:pPr>
        <w:pStyle w:val="25"/>
        <w:jc w:val="center"/>
        <w:rPr>
          <w:rFonts w:ascii="Times New Roman" w:hAnsi="Times New Roman" w:eastAsia="宋体"/>
          <w:b/>
          <w:bCs/>
          <w:color w:val="auto"/>
          <w:highlight w:val="none"/>
        </w:rPr>
      </w:pPr>
      <w:r>
        <w:rPr>
          <w:rFonts w:ascii="Times New Roman" w:hAnsi="Times New Roman" w:eastAsia="宋体"/>
          <w:b/>
          <w:bCs/>
          <w:color w:val="auto"/>
          <w:highlight w:val="none"/>
        </w:rPr>
        <w:t>表</w:t>
      </w:r>
      <w:r>
        <w:rPr>
          <w:rFonts w:hint="eastAsia" w:ascii="Times New Roman" w:eastAsia="宋体"/>
          <w:b/>
          <w:bCs/>
          <w:color w:val="auto"/>
          <w:highlight w:val="none"/>
          <w:lang w:val="en-US" w:eastAsia="zh-CN"/>
        </w:rPr>
        <w:t>7</w:t>
      </w:r>
      <w:r>
        <w:rPr>
          <w:rFonts w:ascii="Times New Roman" w:hAnsi="Times New Roman" w:eastAsia="宋体"/>
          <w:b/>
          <w:bCs/>
          <w:color w:val="auto"/>
          <w:highlight w:val="none"/>
        </w:rPr>
        <w:t>-</w:t>
      </w:r>
      <w:r>
        <w:rPr>
          <w:rFonts w:hint="eastAsia" w:ascii="Times New Roman" w:eastAsia="宋体"/>
          <w:b/>
          <w:bCs/>
          <w:color w:val="auto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/>
          <w:b/>
          <w:bCs/>
          <w:color w:val="auto"/>
          <w:highlight w:val="none"/>
        </w:rPr>
        <w:t xml:space="preserve"> </w:t>
      </w:r>
      <w:r>
        <w:rPr>
          <w:rFonts w:ascii="Times New Roman" w:hAnsi="Times New Roman" w:eastAsia="宋体"/>
          <w:b/>
          <w:bCs/>
          <w:color w:val="auto"/>
          <w:highlight w:val="none"/>
        </w:rPr>
        <w:t>噪声污染源源强核算结果及相关参数一览表</w:t>
      </w:r>
    </w:p>
    <w:tbl>
      <w:tblPr>
        <w:tblStyle w:val="16"/>
        <w:tblW w:w="14218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5"/>
        <w:gridCol w:w="1294"/>
        <w:gridCol w:w="1297"/>
        <w:gridCol w:w="1319"/>
        <w:gridCol w:w="1297"/>
        <w:gridCol w:w="1297"/>
        <w:gridCol w:w="1297"/>
        <w:gridCol w:w="1297"/>
        <w:gridCol w:w="1274"/>
        <w:gridCol w:w="1277"/>
        <w:gridCol w:w="127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restart"/>
            <w:noWrap w:val="0"/>
            <w:vAlign w:val="center"/>
          </w:tcPr>
          <w:p>
            <w:pPr>
              <w:pStyle w:val="4"/>
              <w:spacing w:line="240" w:lineRule="auto"/>
              <w:jc w:val="center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20" w:name="_Toc24930"/>
            <w:bookmarkStart w:id="121" w:name="_Toc30724"/>
            <w:bookmarkStart w:id="122" w:name="_Toc1209620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工序/生产线</w:t>
            </w:r>
            <w:bookmarkEnd w:id="120"/>
            <w:bookmarkEnd w:id="121"/>
            <w:bookmarkEnd w:id="122"/>
          </w:p>
        </w:tc>
        <w:tc>
          <w:tcPr>
            <w:tcW w:w="1294" w:type="dxa"/>
            <w:vMerge w:val="restart"/>
            <w:noWrap w:val="0"/>
            <w:vAlign w:val="center"/>
          </w:tcPr>
          <w:p>
            <w:pPr>
              <w:pStyle w:val="4"/>
              <w:spacing w:line="240" w:lineRule="auto"/>
              <w:jc w:val="center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23" w:name="_Toc1209621"/>
            <w:bookmarkStart w:id="124" w:name="_Toc31076"/>
            <w:bookmarkStart w:id="125" w:name="_Toc31658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装置</w:t>
            </w:r>
            <w:bookmarkEnd w:id="123"/>
            <w:bookmarkEnd w:id="124"/>
            <w:bookmarkEnd w:id="125"/>
          </w:p>
        </w:tc>
        <w:tc>
          <w:tcPr>
            <w:tcW w:w="1297" w:type="dxa"/>
            <w:vMerge w:val="restart"/>
            <w:noWrap w:val="0"/>
            <w:vAlign w:val="center"/>
          </w:tcPr>
          <w:p>
            <w:pPr>
              <w:pStyle w:val="4"/>
              <w:spacing w:line="240" w:lineRule="auto"/>
              <w:jc w:val="center"/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</w:pPr>
            <w:bookmarkStart w:id="126" w:name="_Toc1209622"/>
            <w:bookmarkStart w:id="127" w:name="_Toc1148"/>
            <w:bookmarkStart w:id="128" w:name="_Toc1915"/>
            <w:r>
              <w:rPr>
                <w:rFonts w:ascii="Times New Roman" w:hAnsi="Times New Roman" w:eastAsia="宋体"/>
                <w:b w:val="0"/>
                <w:color w:val="auto"/>
                <w:kern w:val="0"/>
                <w:sz w:val="21"/>
                <w:szCs w:val="21"/>
                <w:highlight w:val="none"/>
              </w:rPr>
              <w:t>噪声源</w:t>
            </w:r>
            <w:bookmarkEnd w:id="126"/>
            <w:bookmarkEnd w:id="127"/>
            <w:bookmarkEnd w:id="128"/>
          </w:p>
        </w:tc>
        <w:tc>
          <w:tcPr>
            <w:tcW w:w="1319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声源类型（频发、偶发等）</w:t>
            </w:r>
          </w:p>
        </w:tc>
        <w:tc>
          <w:tcPr>
            <w:tcW w:w="2594" w:type="dxa"/>
            <w:gridSpan w:val="2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噪声源强</w:t>
            </w:r>
          </w:p>
        </w:tc>
        <w:tc>
          <w:tcPr>
            <w:tcW w:w="2594" w:type="dxa"/>
            <w:gridSpan w:val="2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降噪措施</w:t>
            </w:r>
          </w:p>
        </w:tc>
        <w:tc>
          <w:tcPr>
            <w:tcW w:w="2551" w:type="dxa"/>
            <w:gridSpan w:val="2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噪声排放值</w:t>
            </w:r>
          </w:p>
        </w:tc>
        <w:tc>
          <w:tcPr>
            <w:tcW w:w="1274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持续时间/h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94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97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319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核算方法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噪声值dB(A)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工艺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降噪效果</w:t>
            </w:r>
          </w:p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dB</w:t>
            </w:r>
          </w:p>
        </w:tc>
        <w:tc>
          <w:tcPr>
            <w:tcW w:w="1274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核算方法</w:t>
            </w:r>
          </w:p>
        </w:tc>
        <w:tc>
          <w:tcPr>
            <w:tcW w:w="127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噪声值</w:t>
            </w:r>
          </w:p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dB(A)</w:t>
            </w:r>
          </w:p>
        </w:tc>
        <w:tc>
          <w:tcPr>
            <w:tcW w:w="1274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5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生产线</w:t>
            </w:r>
          </w:p>
        </w:tc>
        <w:tc>
          <w:tcPr>
            <w:tcW w:w="1294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卧式粉碎机</w:t>
            </w:r>
          </w:p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蛟龙翻抛机</w:t>
            </w:r>
          </w:p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秸秆粉碎机</w:t>
            </w:r>
          </w:p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自动包装机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  <w:lang w:eastAsia="zh-CN"/>
              </w:rPr>
              <w:t>、风机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等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卧式粉碎机</w:t>
            </w:r>
          </w:p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蛟龙翻抛机</w:t>
            </w:r>
          </w:p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秸秆粉碎机</w:t>
            </w:r>
          </w:p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自动包装机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  <w:lang w:eastAsia="zh-CN"/>
              </w:rPr>
              <w:t>、风机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等</w:t>
            </w:r>
          </w:p>
        </w:tc>
        <w:tc>
          <w:tcPr>
            <w:tcW w:w="1319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频发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类比法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hint="default" w:ascii="Times New Roman" w:hAnsi="Times New Roman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/>
                <w:bCs/>
                <w:color w:val="auto"/>
                <w:highlight w:val="none"/>
              </w:rPr>
              <w:t>7</w:t>
            </w:r>
            <w:r>
              <w:rPr>
                <w:rFonts w:hint="eastAsia" w:ascii="Times New Roman" w:hAnsi="Times New Roman" w:eastAsia="宋体"/>
                <w:bCs/>
                <w:color w:val="auto"/>
                <w:highlight w:val="none"/>
                <w:lang w:val="en-US" w:eastAsia="zh-CN"/>
              </w:rPr>
              <w:t>0</w:t>
            </w:r>
            <w:r>
              <w:rPr>
                <w:rFonts w:ascii="Times New Roman" w:hAnsi="Times New Roman" w:eastAsia="宋体"/>
                <w:bCs/>
                <w:color w:val="auto"/>
                <w:highlight w:val="none"/>
              </w:rPr>
              <w:t>~</w:t>
            </w:r>
            <w:r>
              <w:rPr>
                <w:rFonts w:hint="eastAsia" w:ascii="Times New Roman" w:hAnsi="Times New Roman" w:eastAsia="宋体"/>
                <w:bCs/>
                <w:color w:val="auto"/>
                <w:highlight w:val="none"/>
                <w:lang w:val="en-US" w:eastAsia="zh-CN"/>
              </w:rPr>
              <w:t>90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低噪设备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、减振、隔声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1274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类比法</w:t>
            </w:r>
          </w:p>
        </w:tc>
        <w:tc>
          <w:tcPr>
            <w:tcW w:w="1277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小于6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  <w:t>~5</w:t>
            </w: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1274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szCs w:val="21"/>
                <w:highlight w:val="none"/>
              </w:rPr>
              <w:t>2400</w:t>
            </w:r>
          </w:p>
        </w:tc>
      </w:tr>
    </w:tbl>
    <w:p>
      <w:pPr>
        <w:pStyle w:val="25"/>
        <w:rPr>
          <w:rFonts w:ascii="Times New Roman"/>
          <w:color w:val="auto"/>
          <w:sz w:val="21"/>
          <w:szCs w:val="21"/>
          <w:highlight w:val="none"/>
        </w:rPr>
      </w:pPr>
    </w:p>
    <w:p>
      <w:pPr>
        <w:pStyle w:val="25"/>
        <w:rPr>
          <w:rFonts w:ascii="Times New Roman"/>
          <w:color w:val="auto"/>
          <w:sz w:val="21"/>
          <w:szCs w:val="21"/>
          <w:highlight w:val="none"/>
        </w:rPr>
      </w:pPr>
    </w:p>
    <w:p>
      <w:pPr>
        <w:pStyle w:val="25"/>
        <w:jc w:val="center"/>
        <w:rPr>
          <w:rFonts w:ascii="Times New Roman"/>
          <w:b/>
          <w:bCs/>
          <w:color w:val="auto"/>
          <w:highlight w:val="none"/>
        </w:rPr>
      </w:pPr>
    </w:p>
    <w:p>
      <w:pPr>
        <w:pStyle w:val="25"/>
        <w:jc w:val="center"/>
        <w:rPr>
          <w:rFonts w:ascii="Times New Roman" w:hAnsi="Times New Roman" w:eastAsia="宋体"/>
          <w:b/>
          <w:bCs/>
          <w:color w:val="auto"/>
          <w:highlight w:val="none"/>
        </w:rPr>
      </w:pPr>
      <w:r>
        <w:rPr>
          <w:rFonts w:ascii="Times New Roman" w:hAnsi="Times New Roman" w:eastAsia="宋体"/>
          <w:b/>
          <w:bCs/>
          <w:color w:val="auto"/>
          <w:highlight w:val="none"/>
        </w:rPr>
        <w:t>表</w:t>
      </w:r>
      <w:r>
        <w:rPr>
          <w:rFonts w:hint="eastAsia" w:ascii="Times New Roman" w:eastAsia="宋体"/>
          <w:b/>
          <w:bCs/>
          <w:color w:val="auto"/>
          <w:highlight w:val="none"/>
          <w:lang w:val="en-US" w:eastAsia="zh-CN"/>
        </w:rPr>
        <w:t>7</w:t>
      </w:r>
      <w:r>
        <w:rPr>
          <w:rFonts w:ascii="Times New Roman" w:hAnsi="Times New Roman" w:eastAsia="宋体"/>
          <w:b/>
          <w:bCs/>
          <w:color w:val="auto"/>
          <w:highlight w:val="none"/>
        </w:rPr>
        <w:t>-</w:t>
      </w:r>
      <w:r>
        <w:rPr>
          <w:rFonts w:hint="eastAsia" w:ascii="Times New Roman" w:eastAsia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Times New Roman" w:hAnsi="Times New Roman" w:eastAsia="宋体"/>
          <w:b/>
          <w:bCs/>
          <w:color w:val="auto"/>
          <w:highlight w:val="none"/>
        </w:rPr>
        <w:t xml:space="preserve"> 固体废物污染源源强核算结果及相关参数一览表</w:t>
      </w:r>
    </w:p>
    <w:tbl>
      <w:tblPr>
        <w:tblStyle w:val="16"/>
        <w:tblW w:w="14218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9"/>
        <w:gridCol w:w="1579"/>
        <w:gridCol w:w="1580"/>
        <w:gridCol w:w="1580"/>
        <w:gridCol w:w="1580"/>
        <w:gridCol w:w="1580"/>
        <w:gridCol w:w="1580"/>
        <w:gridCol w:w="1580"/>
        <w:gridCol w:w="158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9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bookmarkStart w:id="129" w:name="_Toc1209623"/>
            <w:bookmarkStart w:id="130" w:name="_Toc12206"/>
            <w:bookmarkStart w:id="131" w:name="_Toc11017"/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工序/生产线</w:t>
            </w:r>
            <w:bookmarkEnd w:id="129"/>
            <w:bookmarkEnd w:id="130"/>
            <w:bookmarkEnd w:id="131"/>
          </w:p>
        </w:tc>
        <w:tc>
          <w:tcPr>
            <w:tcW w:w="1579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bookmarkStart w:id="132" w:name="_Toc23637"/>
            <w:bookmarkStart w:id="133" w:name="_Toc1209624"/>
            <w:bookmarkStart w:id="134" w:name="_Toc25683"/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装置</w:t>
            </w:r>
            <w:bookmarkEnd w:id="132"/>
            <w:bookmarkEnd w:id="133"/>
            <w:bookmarkEnd w:id="134"/>
          </w:p>
        </w:tc>
        <w:tc>
          <w:tcPr>
            <w:tcW w:w="1580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固体废物名称</w:t>
            </w:r>
          </w:p>
        </w:tc>
        <w:tc>
          <w:tcPr>
            <w:tcW w:w="1580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固废属性</w:t>
            </w:r>
          </w:p>
        </w:tc>
        <w:tc>
          <w:tcPr>
            <w:tcW w:w="3160" w:type="dxa"/>
            <w:gridSpan w:val="2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产生情况</w:t>
            </w:r>
          </w:p>
        </w:tc>
        <w:tc>
          <w:tcPr>
            <w:tcW w:w="3160" w:type="dxa"/>
            <w:gridSpan w:val="2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处置措施</w:t>
            </w:r>
          </w:p>
        </w:tc>
        <w:tc>
          <w:tcPr>
            <w:tcW w:w="1580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最终去向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9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</w:p>
        </w:tc>
        <w:tc>
          <w:tcPr>
            <w:tcW w:w="1579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</w:p>
        </w:tc>
        <w:tc>
          <w:tcPr>
            <w:tcW w:w="1580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</w:p>
        </w:tc>
        <w:tc>
          <w:tcPr>
            <w:tcW w:w="1580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核算方法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产生量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工艺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处置量</w:t>
            </w:r>
          </w:p>
        </w:tc>
        <w:tc>
          <w:tcPr>
            <w:tcW w:w="1580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9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员工生活</w:t>
            </w:r>
          </w:p>
        </w:tc>
        <w:tc>
          <w:tcPr>
            <w:tcW w:w="1579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员工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生活垃圾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生活垃圾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系数法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2.</w:t>
            </w: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环卫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部门统一处理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2.2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 xml:space="preserve"> 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环卫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部门统一处理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9" w:type="dxa"/>
            <w:vMerge w:val="restart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生产工序</w:t>
            </w:r>
          </w:p>
        </w:tc>
        <w:tc>
          <w:tcPr>
            <w:tcW w:w="1579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除尘器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粉尘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一般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废物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类比法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6.8845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 xml:space="preserve"> 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回收用于生产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6.8845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回收用于生产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9" w:type="dxa"/>
            <w:vMerge w:val="continue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</w:p>
        </w:tc>
        <w:tc>
          <w:tcPr>
            <w:tcW w:w="1579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eastAsia="zh-CN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eastAsia="zh-CN"/>
              </w:rPr>
              <w:t>吸附装置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eastAsia="zh-CN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eastAsia="zh-CN"/>
              </w:rPr>
              <w:t>废活性炭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一般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废物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类比法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default" w:ascii="Times New Roman" w:hAns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环卫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部门统一处理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环卫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部门统一处理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9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原料库</w:t>
            </w:r>
          </w:p>
        </w:tc>
        <w:tc>
          <w:tcPr>
            <w:tcW w:w="1579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/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废包装袋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一般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废物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类比法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 xml:space="preserve">0.5 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eastAsia="zh-CN"/>
              </w:rPr>
              <w:t>综合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外售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val="en-US" w:eastAsia="zh-CN"/>
              </w:rPr>
              <w:t xml:space="preserve">0.5 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  <w:t>t/a</w:t>
            </w:r>
          </w:p>
        </w:tc>
        <w:tc>
          <w:tcPr>
            <w:tcW w:w="1580" w:type="dxa"/>
            <w:noWrap w:val="0"/>
            <w:vAlign w:val="center"/>
          </w:tcPr>
          <w:p>
            <w:pPr>
              <w:pStyle w:val="25"/>
              <w:jc w:val="center"/>
              <w:rPr>
                <w:rFonts w:ascii="Times New Roman" w:hAnsi="Times New Roman" w:eastAsia="宋体"/>
                <w:b w:val="0"/>
                <w:bCs w:val="0"/>
                <w:color w:val="auto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  <w:lang w:eastAsia="zh-CN"/>
              </w:rPr>
              <w:t>综合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highlight w:val="none"/>
              </w:rPr>
              <w:t>外售</w:t>
            </w:r>
          </w:p>
        </w:tc>
      </w:tr>
    </w:tbl>
    <w:p>
      <w:pPr>
        <w:pStyle w:val="4"/>
        <w:rPr>
          <w:color w:val="auto"/>
          <w:highlight w:val="none"/>
        </w:rPr>
        <w:sectPr>
          <w:pgSz w:w="16838" w:h="11906" w:orient="landscape"/>
          <w:pgMar w:top="1418" w:right="1814" w:bottom="1418" w:left="1418" w:header="851" w:footer="567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135" w:name="_Toc17619_WPSOffice_Level1"/>
      <w:r>
        <w:rPr>
          <w:rFonts w:hint="eastAsia" w:ascii="Times New Roman" w:hAnsi="Times New Roman" w:eastAsia="宋体"/>
          <w:sz w:val="30"/>
          <w:szCs w:val="30"/>
        </w:rPr>
        <w:t>八、</w:t>
      </w:r>
      <w:r>
        <w:rPr>
          <w:rFonts w:ascii="Times New Roman" w:hAnsi="Times New Roman" w:eastAsia="宋体"/>
          <w:sz w:val="30"/>
          <w:szCs w:val="30"/>
        </w:rPr>
        <w:t>项目主要污染物产生及预计排放情况</w:t>
      </w:r>
      <w:bookmarkEnd w:id="58"/>
      <w:bookmarkEnd w:id="59"/>
      <w:bookmarkEnd w:id="135"/>
    </w:p>
    <w:tbl>
      <w:tblPr>
        <w:tblStyle w:val="16"/>
        <w:tblW w:w="83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821"/>
        <w:gridCol w:w="1550"/>
        <w:gridCol w:w="1262"/>
        <w:gridCol w:w="110"/>
        <w:gridCol w:w="1236"/>
        <w:gridCol w:w="1296"/>
        <w:gridCol w:w="65"/>
        <w:gridCol w:w="1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1" w:hRule="atLeast"/>
        </w:trPr>
        <w:tc>
          <w:tcPr>
            <w:tcW w:w="788" w:type="dxa"/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461010" cy="688340"/>
                      <wp:effectExtent l="3810" t="2540" r="11430" b="1397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087755" y="1320800"/>
                                <a:ext cx="461010" cy="6883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35pt;margin-top:0.3pt;height:54.2pt;width:36.3pt;z-index:251951104;mso-width-relative:page;mso-height-relative:page;" filled="f" stroked="t" coordsize="21600,21600" o:gfxdata="UEsDBAoAAAAAAIdO4kAAAAAAAAAAAAAAAAAEAAAAZHJzL1BLAwQUAAAACACHTuJAw5wpPNQAAAAG&#10;AQAADwAAAGRycy9kb3ducmV2LnhtbE2OMU/DMBBGdyT+g3WV2Fq7ICVpiNMBiQEJCUgZGN34moTG&#10;5xC7Sfj3HBOMp+/p3Sv2i+vFhGPoPGnYbhQIpNrbjhoN74fHdQYiREPW9J5QwzcG2JfXV4XJrZ/p&#10;DacqNoIlFHKjoY1xyKUMdYvOhI0fkHg7+dGZyOfYSDuameWul7dKJdKZjvhDawZ8aLE+VxfHFkq/&#10;Tks/fry+PLdZNX/i05Si1jerrboHEXGJfzD85nM6lNx09BeyQfQa1lnKpIYEBK/J3Q7EkSm1UyDL&#10;Qv7PL38AUEsDBBQAAAAIAIdO4kCAQr7G2QEAAHMDAAAOAAAAZHJzL2Uyb0RvYy54bWytU02O0zAU&#10;3iNxB8t7mjSddqKo6SymGjYIKgEHeHXsxJL/ZJumvQQXQGIHK5bsuQ0zx+DZDTPMsEN48fJsP3/P&#10;3+cv66ujVuTAfZDWtHQ+KynhhtlOmr6l79/dvKgpCRFMB8oa3tITD/Rq8/zZenQNr+xgVcc9QRAT&#10;mtG1dIjRNUUR2MA1hJl13OCmsF5DxKnvi87DiOhaFVVZrorR+s55y3gIuLo9b9JNxheCs/hGiMAj&#10;US3Fu8UcfY77FIvNGpregxskm64B/3ALDdJg03uoLUQgH7z8C0pL5m2wIs6Y1YUVQjKeOSCbefmE&#10;zdsBHM9cUJzg7mUK/w+WvT7sPJFdSytKDGh8ottP339+/HL34zPG229fSZVEGl1osPba7Pw0C27n&#10;E+Oj8Dp9kQs5ogXK+vJyuaTkhPmiKutyEpkfI2FYcLGaI1NKGBas6npxkfeLByDnQ3zJrSYpaamS&#10;JmkADRxehYjNsfR3SVo29kYqld9RGTIi6GKZ4AHdJBRETLVDfsH0lIDq0aYs+owYrJJdOp1wgu/3&#10;18qTAySr5JGIY7dHZan1FsJwrstbZxNpGdHJSuqWImcc02llECTJdxYsZXvbnbKOeR1fNreZXJis&#10;8+c8n374Vz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OcKTzUAAAABgEAAA8AAAAAAAAAAQAg&#10;AAAAIgAAAGRycy9kb3ducmV2LnhtbFBLAQIUABQAAAAIAIdO4kCAQr7G2QEAAHMDAAAOAAAAAAAA&#10;AAEAIAAAACMBAABkcnMvZTJvRG9jLnhtbFBLBQYAAAAABgAGAFkBAABuBQ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Times New Roman" w:hAnsi="Times New Roman" w:cs="Times New Roman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  <w:p>
            <w:pPr>
              <w:spacing w:line="360" w:lineRule="exact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821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排放源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污染物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处理前产生浓度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及产生量（单位）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排放量及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排放浓度（单位）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8" w:hRule="atLeast"/>
        </w:trPr>
        <w:tc>
          <w:tcPr>
            <w:tcW w:w="78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气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染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物</w:t>
            </w:r>
          </w:p>
        </w:tc>
        <w:tc>
          <w:tcPr>
            <w:tcW w:w="821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15m高</w:t>
            </w:r>
            <w:r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排气筒</w:t>
            </w: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有组织颗粒物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230.5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7.32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136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23.05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0.0695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NH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1.2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0.066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136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0.3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0.0017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S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0.075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0.003916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136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0.019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0.000979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臭气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1120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36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280</w:t>
            </w:r>
          </w:p>
        </w:tc>
        <w:tc>
          <w:tcPr>
            <w:tcW w:w="12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生产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车间</w:t>
            </w: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无组织颗粒物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0.081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0.081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无组织NH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0.04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04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无组织H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S</w:t>
            </w:r>
          </w:p>
        </w:tc>
        <w:tc>
          <w:tcPr>
            <w:tcW w:w="1372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035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36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035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6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臭气浓度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</w:trPr>
        <w:tc>
          <w:tcPr>
            <w:tcW w:w="78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染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物</w:t>
            </w:r>
          </w:p>
        </w:tc>
        <w:tc>
          <w:tcPr>
            <w:tcW w:w="821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生活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污水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132t/a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COD</w:t>
            </w:r>
          </w:p>
        </w:tc>
        <w:tc>
          <w:tcPr>
            <w:tcW w:w="126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 mg/L</w:t>
            </w:r>
          </w:p>
        </w:tc>
        <w:tc>
          <w:tcPr>
            <w:tcW w:w="134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04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2561" w:type="dxa"/>
            <w:gridSpan w:val="3"/>
            <w:vMerge w:val="restart"/>
            <w:vAlign w:val="center"/>
          </w:tcPr>
          <w:p>
            <w:pPr>
              <w:pStyle w:val="28"/>
              <w:spacing w:beforeLines="0" w:afterLines="0" w:line="360" w:lineRule="auto"/>
              <w:ind w:firstLine="480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kern w:val="0"/>
                <w:sz w:val="21"/>
                <w:szCs w:val="21"/>
              </w:rPr>
              <w:t>设防渗旱厕，定期清掏外运堆肥农田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NH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-N</w:t>
            </w:r>
          </w:p>
        </w:tc>
        <w:tc>
          <w:tcPr>
            <w:tcW w:w="126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 mg/L</w:t>
            </w:r>
          </w:p>
        </w:tc>
        <w:tc>
          <w:tcPr>
            <w:tcW w:w="134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0.0039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2561" w:type="dxa"/>
            <w:gridSpan w:val="3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</w:trPr>
        <w:tc>
          <w:tcPr>
            <w:tcW w:w="78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体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废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物</w:t>
            </w:r>
          </w:p>
        </w:tc>
        <w:tc>
          <w:tcPr>
            <w:tcW w:w="821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办公室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生活垃圾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pacing w:val="-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2.2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交由市政环卫部门处理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生产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车间</w:t>
            </w: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废包装袋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1.7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外卖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8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除尘器收集到的粉尘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6.8845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t/a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回用于生产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8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废活性炭</w:t>
            </w:r>
          </w:p>
        </w:tc>
        <w:tc>
          <w:tcPr>
            <w:tcW w:w="260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 t/a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交由市政环卫部门处理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4" w:hRule="atLeast"/>
        </w:trPr>
        <w:tc>
          <w:tcPr>
            <w:tcW w:w="788" w:type="dxa"/>
            <w:vMerge w:val="restart"/>
            <w:textDirection w:val="tbRlV"/>
            <w:vAlign w:val="center"/>
          </w:tcPr>
          <w:p>
            <w:pPr>
              <w:spacing w:line="360" w:lineRule="exact"/>
              <w:ind w:left="113" w:right="113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噪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声</w:t>
            </w:r>
          </w:p>
        </w:tc>
        <w:tc>
          <w:tcPr>
            <w:tcW w:w="821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车间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</w:p>
        </w:tc>
        <w:tc>
          <w:tcPr>
            <w:tcW w:w="1550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/>
                <w:color w:val="000000" w:themeColor="text1"/>
                <w:spacing w:val="-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噪声</w:t>
            </w:r>
          </w:p>
        </w:tc>
        <w:tc>
          <w:tcPr>
            <w:tcW w:w="2608" w:type="dxa"/>
            <w:gridSpan w:val="3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~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dB(A)</w:t>
            </w:r>
          </w:p>
        </w:tc>
        <w:tc>
          <w:tcPr>
            <w:tcW w:w="2561" w:type="dxa"/>
            <w:gridSpan w:val="3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昼间&lt;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dB(A)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b/>
                <w:color w:val="000000" w:themeColor="text1"/>
                <w:spacing w:val="-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夜间&lt;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45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dB(A)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4" w:hRule="atLeast"/>
        </w:trPr>
        <w:tc>
          <w:tcPr>
            <w:tcW w:w="78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车辆运输</w:t>
            </w:r>
          </w:p>
        </w:tc>
        <w:tc>
          <w:tcPr>
            <w:tcW w:w="1550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8" w:type="dxa"/>
            <w:gridSpan w:val="3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1" w:type="dxa"/>
            <w:gridSpan w:val="3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" w:hRule="atLeast"/>
        </w:trPr>
        <w:tc>
          <w:tcPr>
            <w:tcW w:w="8328" w:type="dxa"/>
            <w:gridSpan w:val="9"/>
            <w:vAlign w:val="center"/>
          </w:tcPr>
          <w:p>
            <w:pPr>
              <w:spacing w:line="360" w:lineRule="auto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主要生态影响：</w:t>
            </w:r>
          </w:p>
          <w:p>
            <w:pPr>
              <w:spacing w:line="360" w:lineRule="auto"/>
              <w:ind w:firstLine="42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auto"/>
                <w:sz w:val="21"/>
                <w:szCs w:val="21"/>
                <w:highlight w:val="none"/>
              </w:rPr>
              <w:t>营运期应加强厂区周边绿化，污染控制措施完善，对区域生态环境不会产生明显不利影响。</w:t>
            </w:r>
          </w:p>
        </w:tc>
      </w:tr>
    </w:tbl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136" w:name="_Toc32178_WPSOffice_Level1"/>
      <w:bookmarkStart w:id="137" w:name="_Toc477165782"/>
      <w:bookmarkStart w:id="138" w:name="_Toc17907"/>
      <w:r>
        <w:rPr>
          <w:rFonts w:hint="eastAsia" w:ascii="Times New Roman" w:hAnsi="Times New Roman" w:eastAsia="宋体"/>
          <w:sz w:val="30"/>
          <w:szCs w:val="30"/>
        </w:rPr>
        <w:t>九</w:t>
      </w:r>
      <w:r>
        <w:rPr>
          <w:rFonts w:ascii="Times New Roman" w:hAnsi="Times New Roman" w:eastAsia="宋体"/>
          <w:sz w:val="30"/>
          <w:szCs w:val="30"/>
        </w:rPr>
        <w:t>、环境影响分析</w:t>
      </w:r>
      <w:bookmarkEnd w:id="136"/>
      <w:bookmarkEnd w:id="137"/>
      <w:bookmarkEnd w:id="138"/>
    </w:p>
    <w:tbl>
      <w:tblPr>
        <w:tblStyle w:val="17"/>
        <w:tblW w:w="935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7" w:hRule="atLeast"/>
        </w:trPr>
        <w:tc>
          <w:tcPr>
            <w:tcW w:w="93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firstLine="562" w:firstLineChars="200"/>
              <w:textAlignment w:val="auto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</w:pPr>
            <w:bookmarkStart w:id="139" w:name="_Toc26702"/>
            <w:bookmarkStart w:id="140" w:name="_Toc429660301"/>
            <w:bookmarkStart w:id="141" w:name="_Toc366568009"/>
            <w:bookmarkStart w:id="142" w:name="_Toc17626"/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（一）施工期</w:t>
            </w:r>
            <w:r>
              <w:rPr>
                <w:rFonts w:hint="eastAsia"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环境影响</w:t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firstLine="482" w:firstLineChars="200"/>
              <w:textAlignment w:val="auto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1、环境空气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firstLine="480" w:firstLineChars="200"/>
              <w:textAlignment w:val="auto"/>
              <w:rPr>
                <w:rFonts w:hint="eastAsia" w:ascii="Times New Roman" w:hAnsi="Times New Roman" w:eastAsiaTheme="minorEastAsia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项目建设施工过程中，各种燃油动力机械和运输车辆排放的废气；挖土、运土、填土、夯实和汽车运输过程的扬尘，都将会造成周围环境的大气污染。污染大气的主要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污染物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是NO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vertAlign w:val="subscript"/>
              </w:rPr>
              <w:t>2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、CO、SO</w:t>
            </w:r>
            <w:r>
              <w:rPr>
                <w:rFonts w:ascii="Times New Roman" w:hAnsi="Times New Roman"/>
                <w:color w:val="auto"/>
                <w:sz w:val="24"/>
                <w:highlight w:val="none"/>
                <w:vertAlign w:val="subscript"/>
              </w:rPr>
              <w:t>2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和粉尘，尤其粉尘污染最为严重。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项目采取施工沉降水洒水降尘、设置围挡的措施，将极大减少粉尘对周边的影响。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firstLine="482" w:firstLineChars="200"/>
              <w:textAlignment w:val="auto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2、水环境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firstLine="482" w:firstLineChars="200"/>
              <w:textAlignment w:val="auto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（1）生活污水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firstLine="480" w:firstLineChars="200"/>
              <w:textAlignment w:val="auto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施工过程的废水主要为施工人员的生活污水。本项目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施工人员20人，施工期为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3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0天。每人每天生活用水按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30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L计算，则施工期生活用水量为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18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t，生活污水排污系数按0.8计，则产生的生活污水量为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14.4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 xml:space="preserve"> t。生活污水的污染物主要为COD和氨氮。生活污水排入厂区防渗旱厕，定期清掏，外运堆肥。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（2）水土流失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本项目合理安排施工期，避开雨季施工，由于本项目施工期短，对环境的影响不大。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3、噪声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0" w:firstLineChars="200"/>
              <w:rPr>
                <w:rFonts w:hint="eastAsia" w:ascii="Times New Roman" w:hAnsi="Times New Roman" w:eastAsiaTheme="minorEastAsia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施工期噪声主要来自各类施工机械（搅拌机、振动棒等）及运输车辆，一般为70-90dB(A)，施工期间会对周围环境产生一定的影响。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项目采用设置围挡、选用低噪设备、禁止夜间施工的措施，降低噪声对周围环境的影响。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4、固体废物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施工残土为主要固体废物，应及时清运，并按市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环卫部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门指定地点堆放。生活垃圾由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环卫部门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统一处理。</w:t>
            </w:r>
          </w:p>
          <w:bookmarkEnd w:id="139"/>
          <w:bookmarkEnd w:id="140"/>
          <w:bookmarkEnd w:id="141"/>
          <w:bookmarkEnd w:id="142"/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562" w:firstLineChars="200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（二）营运期</w:t>
            </w:r>
            <w:r>
              <w:rPr>
                <w:rFonts w:hint="eastAsia"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 w:eastAsia="zh-CN"/>
              </w:rPr>
              <w:t>环境影响</w:t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highlight w:val="none"/>
                <w:lang w:val="zh-CN"/>
              </w:rPr>
              <w:t>分析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1、废水</w:t>
            </w:r>
          </w:p>
          <w:p>
            <w:pPr>
              <w:pStyle w:val="28"/>
              <w:pageBreakBefore w:val="0"/>
              <w:kinsoku/>
              <w:wordWrap/>
              <w:overflowPunct/>
              <w:topLinePunct w:val="0"/>
              <w:bidi w:val="0"/>
              <w:spacing w:beforeLines="0" w:afterLines="0" w:line="360" w:lineRule="auto"/>
              <w:ind w:left="0" w:leftChars="0" w:right="0" w:firstLine="480" w:firstLineChars="200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1.1 生活污水</w:t>
            </w:r>
          </w:p>
          <w:p>
            <w:pPr>
              <w:pStyle w:val="28"/>
              <w:pageBreakBefore w:val="0"/>
              <w:kinsoku/>
              <w:wordWrap/>
              <w:overflowPunct/>
              <w:topLinePunct w:val="0"/>
              <w:bidi w:val="0"/>
              <w:spacing w:beforeLines="0" w:afterLines="0" w:line="360" w:lineRule="auto"/>
              <w:ind w:left="0" w:leftChars="0" w:right="0" w:firstLine="480" w:firstLineChars="200"/>
              <w:rPr>
                <w:rFonts w:hint="eastAsia" w:hAnsi="宋体"/>
                <w:kern w:val="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本项目排水主要为生活污水，生活污水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产生量按用水量的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80%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计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算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，则污水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量为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0.48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t/d，年排放量为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132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t/a。生活污水</w:t>
            </w:r>
            <w:r>
              <w:rPr>
                <w:rFonts w:hint="eastAsia" w:hAnsi="宋体"/>
                <w:kern w:val="0"/>
                <w:szCs w:val="21"/>
              </w:rPr>
              <w:t>用于厂区降尘，设防渗旱厕，定期清掏外运堆肥。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/>
              <w:jc w:val="both"/>
              <w:textAlignment w:val="auto"/>
              <w:outlineLvl w:val="9"/>
              <w:rPr>
                <w:rFonts w:hint="eastAsia" w:ascii="Times New Roman" w:hAnsi="Times New Roman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highlight w:val="none"/>
                <w:lang w:val="en-US" w:eastAsia="zh-CN"/>
              </w:rPr>
              <w:t>1.2地下水环境影响分析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/>
              <w:jc w:val="both"/>
              <w:textAlignment w:val="auto"/>
              <w:outlineLvl w:val="9"/>
              <w:rPr>
                <w:rFonts w:hint="eastAsia" w:hAnsi="宋体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highlight w:val="none"/>
                <w:lang w:val="en-US" w:eastAsia="zh-CN"/>
              </w:rPr>
              <w:t>项目在开发建设阶段，应充分做好排水管道以及防渗处理，杜绝污水渗漏，确保污水收集处理系统衔接良好，严格用水管理，防止污水“跑、冒、滴、漏”现象的发生，这样可以保证项目区内产生的全部废水汇集到防渗旱厕集中处理，可以很大程度的消除周边地区污染物排放对地下水环境的影响。根据《环境影响评价技术导则》HJ610-2016中附录A可知本项目为“156、废旧资源（含生物质）加工、再生利用”中的“其他”，地下水评价等级为IV级，不需要做地下水评价。</w:t>
            </w:r>
          </w:p>
          <w:p>
            <w:pPr>
              <w:pStyle w:val="28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beforeLines="0" w:afterLines="0" w:line="360" w:lineRule="auto"/>
              <w:ind w:left="0" w:leftChars="0" w:right="0" w:firstLine="482" w:firstLineChars="200"/>
              <w:rPr>
                <w:rFonts w:hint="default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2、</w:t>
            </w:r>
            <w:r>
              <w:rPr>
                <w:rFonts w:hint="default"/>
                <w:b/>
                <w:bCs/>
              </w:rPr>
              <w:t>废气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520" w:firstLineChars="200"/>
              <w:jc w:val="left"/>
              <w:rPr>
                <w:rFonts w:hint="default"/>
              </w:rPr>
            </w:pPr>
            <w:r>
              <w:rPr>
                <w:rStyle w:val="51"/>
                <w:rFonts w:hint="eastAsia" w:ascii="Times New Roman" w:hAnsi="Times New Roman" w:eastAsia="宋体"/>
                <w:color w:val="auto"/>
                <w:sz w:val="24"/>
                <w:highlight w:val="none"/>
                <w:lang w:val="en-US" w:eastAsia="zh-CN"/>
              </w:rPr>
              <w:t>2.1</w:t>
            </w:r>
            <w:r>
              <w:rPr>
                <w:rStyle w:val="51"/>
                <w:rFonts w:hint="default" w:ascii="Times New Roman" w:hAnsi="Times New Roman"/>
                <w:color w:val="auto"/>
                <w:sz w:val="24"/>
                <w:highlight w:val="none"/>
                <w:lang w:val="zh-TW" w:eastAsia="zh-TW"/>
              </w:rPr>
              <w:t>本项目运营期产生的废气主要为</w:t>
            </w:r>
            <w:r>
              <w:rPr>
                <w:rStyle w:val="51"/>
                <w:rFonts w:hint="default" w:ascii="Times New Roman" w:hAnsi="Times New Roman"/>
                <w:color w:val="auto"/>
                <w:sz w:val="24"/>
                <w:highlight w:val="none"/>
                <w:lang w:val="zh-TW"/>
              </w:rPr>
              <w:t>生产工艺中产生的粉尘</w:t>
            </w:r>
            <w:r>
              <w:rPr>
                <w:rStyle w:val="51"/>
                <w:rFonts w:hint="eastAsia" w:ascii="Times New Roman" w:hAnsi="Times New Roman" w:eastAsia="宋体"/>
                <w:color w:val="auto"/>
                <w:sz w:val="24"/>
                <w:highlight w:val="none"/>
                <w:lang w:val="zh-TW" w:eastAsia="zh-CN"/>
              </w:rPr>
              <w:t>、恶臭。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right="0" w:firstLine="480" w:firstLineChars="200"/>
              <w:jc w:val="left"/>
              <w:textAlignment w:val="auto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（1） 粉尘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right="0" w:firstLine="480" w:firstLineChars="200"/>
              <w:jc w:val="left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</w:rPr>
              <w:t>本项目在</w:t>
            </w:r>
            <w:r>
              <w:rPr>
                <w:rFonts w:hint="eastAsia" w:ascii="Times New Roman" w:hAnsi="Times New Roman" w:eastAsia="宋体"/>
                <w:lang w:eastAsia="zh-CN"/>
              </w:rPr>
              <w:t>粉碎、堆翻和筛分工序</w:t>
            </w:r>
            <w:r>
              <w:rPr>
                <w:rFonts w:hint="default" w:ascii="Times New Roman" w:hAnsi="Times New Roman" w:eastAsia="宋体"/>
              </w:rPr>
              <w:t>过程中将产生一定量的粉尘。</w:t>
            </w:r>
            <w:r>
              <w:rPr>
                <w:rFonts w:hint="eastAsia" w:ascii="Times New Roman" w:hAnsi="Times New Roman" w:eastAsia="宋体"/>
                <w:lang w:eastAsia="zh-CN"/>
              </w:rPr>
              <w:t>类比《京台四方（唐山）生物科技有限公司年产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3万吨生物有机肥项目环境影响报告表》乐环评表【2018】63号文及</w:t>
            </w:r>
            <w:r>
              <w:rPr>
                <w:rFonts w:hint="eastAsia" w:ascii="Times New Roman" w:hAnsi="Times New Roman" w:eastAsia="宋体"/>
                <w:lang w:eastAsia="zh-CN"/>
              </w:rPr>
              <w:t>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3万吨生物有机肥项目竣工环境保护验收报告表》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，监测报告见附件4，本项目产尘工序粉尘产生量为7.32t/a，230.5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，3.05kg/h。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right="0" w:firstLine="480" w:firstLineChars="200"/>
              <w:jc w:val="left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highlight w:val="none"/>
              </w:rPr>
              <w:t>项目在车间中设置集气罩收集粉尘，捕集率按95%计算，集气罩后接入布袋除尘器收集粉尘后回用，除尘效率为99%，则本项目有组织粉尘排放量为0.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0695 </w:t>
            </w:r>
            <w:r>
              <w:rPr>
                <w:rFonts w:hint="default" w:ascii="Times New Roman" w:hAnsi="Times New Roman" w:eastAsia="宋体"/>
                <w:highlight w:val="none"/>
              </w:rPr>
              <w:t>t/a（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0.029</w:t>
            </w:r>
            <w:r>
              <w:rPr>
                <w:rFonts w:hint="default" w:ascii="Times New Roman" w:hAnsi="Times New Roman" w:eastAsia="宋体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</w:t>
            </w:r>
            <w:r>
              <w:rPr>
                <w:rFonts w:hint="default" w:ascii="Times New Roman" w:hAnsi="Times New Roman" w:eastAsia="宋体"/>
                <w:highlight w:val="none"/>
              </w:rPr>
              <w:t>）。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回收粉尘量为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6.8845 </w:t>
            </w:r>
            <w:r>
              <w:rPr>
                <w:rFonts w:hint="default" w:ascii="Times New Roman" w:hAnsi="Times New Roman" w:eastAsia="宋体"/>
                <w:highlight w:val="none"/>
              </w:rPr>
              <w:t>t/a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。本项车间采用密闭门窗，无组织粉尘排放量为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0.0366</w:t>
            </w:r>
            <w:r>
              <w:rPr>
                <w:rFonts w:hint="default" w:ascii="Times New Roman" w:hAnsi="Times New Roman" w:eastAsia="宋体"/>
                <w:highlight w:val="none"/>
              </w:rPr>
              <w:t>t/a（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0.017</w:t>
            </w:r>
            <w:r>
              <w:rPr>
                <w:rFonts w:hint="default" w:ascii="Times New Roman" w:hAnsi="Times New Roman" w:eastAsia="宋体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</w:t>
            </w:r>
            <w:r>
              <w:rPr>
                <w:rFonts w:hint="default" w:ascii="Times New Roman" w:hAnsi="Times New Roman" w:eastAsia="宋体"/>
                <w:highlight w:val="none"/>
              </w:rPr>
              <w:t>）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right="0" w:firstLine="480" w:firstLineChars="200"/>
              <w:textAlignment w:val="auto"/>
              <w:rPr>
                <w:rFonts w:hint="default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（2）</w:t>
            </w:r>
            <w:r>
              <w:rPr>
                <w:rFonts w:hint="default" w:ascii="Times New Roman" w:hAnsi="Times New Roman" w:eastAsia="宋体"/>
              </w:rPr>
              <w:t>、恶臭气体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default" w:ascii="Times New Roman" w:hAnsi="Times New Roman" w:eastAsia="宋体"/>
              </w:rPr>
              <w:t>项目生产</w:t>
            </w:r>
            <w:r>
              <w:rPr>
                <w:rFonts w:hint="eastAsia" w:ascii="Times New Roman" w:hAnsi="Times New Roman" w:eastAsia="宋体"/>
                <w:lang w:eastAsia="zh-CN"/>
              </w:rPr>
              <w:t>堆肥发酵</w:t>
            </w:r>
            <w:r>
              <w:rPr>
                <w:rFonts w:hint="default" w:ascii="Times New Roman" w:hAnsi="Times New Roman" w:eastAsia="宋体"/>
              </w:rPr>
              <w:t>过程中将产生少量的</w:t>
            </w:r>
            <w:r>
              <w:rPr>
                <w:rFonts w:hint="eastAsia" w:ascii="Times New Roman" w:hAnsi="Times New Roman" w:eastAsia="宋体"/>
                <w:lang w:eastAsia="zh-CN"/>
              </w:rPr>
              <w:t>臭</w:t>
            </w:r>
            <w:r>
              <w:rPr>
                <w:rFonts w:hint="default" w:ascii="Times New Roman" w:hAnsi="Times New Roman" w:eastAsia="宋体"/>
              </w:rPr>
              <w:t>气</w:t>
            </w:r>
            <w:r>
              <w:rPr>
                <w:rFonts w:hint="eastAsia" w:ascii="Times New Roman" w:hAnsi="Times New Roman" w:eastAsia="宋体"/>
                <w:lang w:eastAsia="zh-CN"/>
              </w:rPr>
              <w:t>、</w:t>
            </w:r>
            <w:r>
              <w:rPr>
                <w:rFonts w:hint="default" w:ascii="Times New Roman" w:hAnsi="Times New Roman" w:eastAsia="宋体"/>
              </w:rPr>
              <w:t>氨气</w:t>
            </w:r>
            <w:r>
              <w:rPr>
                <w:rFonts w:hint="eastAsia" w:ascii="Times New Roman" w:hAnsi="Times New Roman" w:eastAsia="宋体"/>
                <w:lang w:eastAsia="zh-CN"/>
              </w:rPr>
              <w:t>和硫化氢</w:t>
            </w:r>
            <w:r>
              <w:rPr>
                <w:rFonts w:hint="default" w:ascii="Times New Roman" w:hAnsi="Times New Roman" w:eastAsia="宋体"/>
              </w:rPr>
              <w:t>，</w:t>
            </w:r>
            <w:r>
              <w:rPr>
                <w:rFonts w:hint="eastAsia" w:ascii="Times New Roman" w:hAnsi="Times New Roman" w:eastAsia="宋体"/>
                <w:lang w:eastAsia="zh-CN"/>
              </w:rPr>
              <w:t>类比《京台四方（唐山）生物科技有限公司年产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3万吨生物有机肥项目环境影响报告表》乐环评表【2018】63号文及</w:t>
            </w:r>
            <w:r>
              <w:rPr>
                <w:rFonts w:hint="eastAsia" w:ascii="Times New Roman" w:hAnsi="Times New Roman" w:eastAsia="宋体"/>
                <w:lang w:eastAsia="zh-CN"/>
              </w:rPr>
              <w:t>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3万吨生物有机肥项目竣工环境保护验收报告表》。</w:t>
            </w:r>
            <w:r>
              <w:rPr>
                <w:rFonts w:hint="eastAsia" w:ascii="Times New Roman" w:hAnsi="Times New Roman" w:eastAsia="宋体"/>
                <w:lang w:eastAsia="zh-CN"/>
              </w:rPr>
              <w:t>本项目臭气产生量为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1120（无纲量）；氨产生量为1.2 mg/m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，0.03kg/h。硫化氢的产生量为0.075 mg/m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，1.78×10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 xml:space="preserve">-3 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kg/h。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发酵</w:t>
            </w:r>
            <w:r>
              <w:rPr>
                <w:rFonts w:hint="default" w:ascii="Times New Roman" w:hAnsi="Times New Roman" w:eastAsia="宋体"/>
              </w:rPr>
              <w:t>车间</w:t>
            </w:r>
            <w:r>
              <w:rPr>
                <w:rFonts w:hint="eastAsia" w:ascii="Times New Roman" w:hAnsi="Times New Roman" w:eastAsia="宋体"/>
                <w:lang w:eastAsia="zh-CN"/>
              </w:rPr>
              <w:t>原料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RW酵素剂除臭+集气罩负压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收集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+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活性炭吸附处理后，经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15m排气筒排放</w:t>
            </w:r>
            <w:r>
              <w:rPr>
                <w:rFonts w:hint="default" w:ascii="Times New Roman" w:hAnsi="Times New Roman" w:eastAsia="宋体"/>
              </w:rPr>
              <w:t>。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本项目臭气排放量为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280（无纲量）；氨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为0.3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，0.0075kg/h。硫化氢的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为0.019mg/m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，4.45×10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-4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kg/h。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本项目无组织臭气排放量为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（无纲量）；氨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。硫化氢的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35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jc w:val="left"/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2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.2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、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AERSCREEN结果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大气环境影响评价工作等级的确定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依据《环境影响评价技术导则-大气环境》(HJ2.2-2018)中5.3节工作等级的确定方法，结合项目工程分析结果，选择正常排放的主要污染物及排放参数，采用附录A推荐模型中的AERSCREEN模式计算项目污染源的最大环境影响，然后按评价工作分级判据进行分级。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（1）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及D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的确定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依据《环境影响评价技术导则 大气环境》(HJ2.2-20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8)中最大地面浓度占标率P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定义如下：</w:t>
            </w:r>
          </w:p>
          <w:p>
            <w:pPr>
              <w:spacing w:line="276" w:lineRule="auto"/>
              <w:ind w:firstLine="422" w:firstLineChars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0i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×100%</m:t>
                </m:r>
              </m:oMath>
            </m:oMathPara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——第i个污染物的最大地面空气质量浓度 占标率，%；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——采用估算模型计算出的第i个污染物的最大1h地面空气质量浓度，μg/m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；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0i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——第i个污染物的环境空气质量浓度标准，μg/m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（2）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评价等级判别表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评价等级按下表的分级判据进行划分</w:t>
            </w:r>
          </w:p>
          <w:p>
            <w:pPr>
              <w:spacing w:line="480" w:lineRule="exact"/>
              <w:ind w:firstLine="422" w:firstLineChars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评价等级判别表</w:t>
            </w:r>
          </w:p>
          <w:tbl>
            <w:tblPr>
              <w:tblStyle w:val="17"/>
              <w:tblW w:w="913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65"/>
              <w:gridCol w:w="456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</w:trPr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评价工作等级</w:t>
                  </w:r>
                </w:p>
              </w:tc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评价工作分级判据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1" w:hRule="atLeast"/>
              </w:trPr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一级评价</w:t>
                  </w:r>
                </w:p>
              </w:tc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Pmax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≧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</w:trPr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二级评价</w:t>
                  </w:r>
                </w:p>
              </w:tc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1%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≦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Pmax&lt;10%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</w:trPr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三级评价</w:t>
                  </w:r>
                </w:p>
              </w:tc>
              <w:tc>
                <w:tcPr>
                  <w:tcW w:w="4565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Pmax&lt;1%</w:t>
                  </w:r>
                </w:p>
              </w:tc>
            </w:tr>
          </w:tbl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（3）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污染物评价标准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污染物评价标准和来源见下表。</w:t>
            </w:r>
          </w:p>
          <w:p>
            <w:pPr>
              <w:spacing w:line="480" w:lineRule="exact"/>
              <w:ind w:firstLine="422" w:firstLineChars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污染物评价标准</w:t>
            </w:r>
          </w:p>
          <w:tbl>
            <w:tblPr>
              <w:tblStyle w:val="17"/>
              <w:tblW w:w="913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3"/>
              <w:gridCol w:w="1417"/>
              <w:gridCol w:w="1350"/>
              <w:gridCol w:w="1633"/>
              <w:gridCol w:w="330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污染物名称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功能区</w:t>
                  </w:r>
                </w:p>
              </w:tc>
              <w:tc>
                <w:tcPr>
                  <w:tcW w:w="1350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取值时间</w:t>
                  </w:r>
                </w:p>
              </w:tc>
              <w:tc>
                <w:tcPr>
                  <w:tcW w:w="163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43" w:name="OLE_LINK5"/>
                  <w:bookmarkStart w:id="144" w:name="OLE_LINK4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标准值</w:t>
                  </w:r>
                  <w:bookmarkEnd w:id="143"/>
                  <w:bookmarkEnd w:id="144"/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45" w:name="OLE_LINK14"/>
                  <w:bookmarkStart w:id="146" w:name="OLE_LINK15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(μg/m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bookmarkEnd w:id="145"/>
                  <w:bookmarkEnd w:id="146"/>
                </w:p>
              </w:tc>
              <w:tc>
                <w:tcPr>
                  <w:tcW w:w="330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标准来源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PM10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二类限区</w:t>
                  </w:r>
                </w:p>
              </w:tc>
              <w:tc>
                <w:tcPr>
                  <w:tcW w:w="13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日均</w:t>
                  </w:r>
                </w:p>
              </w:tc>
              <w:tc>
                <w:tcPr>
                  <w:tcW w:w="16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150.0</w:t>
                  </w:r>
                </w:p>
              </w:tc>
              <w:tc>
                <w:tcPr>
                  <w:tcW w:w="330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GB 3095-2012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NH3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二类限区</w:t>
                  </w:r>
                </w:p>
              </w:tc>
              <w:tc>
                <w:tcPr>
                  <w:tcW w:w="13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一小时</w:t>
                  </w:r>
                </w:p>
              </w:tc>
              <w:tc>
                <w:tcPr>
                  <w:tcW w:w="16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200.0</w:t>
                  </w:r>
                </w:p>
              </w:tc>
              <w:tc>
                <w:tcPr>
                  <w:tcW w:w="330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《环境影响评价技术导则-大气环境》 HJ 2.2-2018 附录D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H2S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二类限区</w:t>
                  </w:r>
                </w:p>
              </w:tc>
              <w:tc>
                <w:tcPr>
                  <w:tcW w:w="13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一小时</w:t>
                  </w:r>
                </w:p>
              </w:tc>
              <w:tc>
                <w:tcPr>
                  <w:tcW w:w="16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10.0</w:t>
                  </w:r>
                </w:p>
              </w:tc>
              <w:tc>
                <w:tcPr>
                  <w:tcW w:w="330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《环境影响评价技术导则-大气环境》 HJ 2.2-2018 附录D</w:t>
                  </w:r>
                </w:p>
              </w:tc>
            </w:tr>
          </w:tbl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2污染源参数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主要废气污染源排放参数见下表：</w:t>
            </w:r>
          </w:p>
          <w:p>
            <w:pPr>
              <w:spacing w:line="480" w:lineRule="exact"/>
              <w:ind w:firstLine="422" w:firstLineChars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主要废气污染源参数一览表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点源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）</w:t>
            </w:r>
          </w:p>
          <w:tbl>
            <w:tblPr>
              <w:tblStyle w:val="17"/>
              <w:tblW w:w="913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28" w:type="dxa"/>
                <w:bottom w:w="0" w:type="dxa"/>
                <w:right w:w="28" w:type="dxa"/>
              </w:tblCellMar>
            </w:tblPr>
            <w:tblGrid>
              <w:gridCol w:w="867"/>
              <w:gridCol w:w="601"/>
              <w:gridCol w:w="626"/>
              <w:gridCol w:w="700"/>
              <w:gridCol w:w="738"/>
              <w:gridCol w:w="848"/>
              <w:gridCol w:w="1051"/>
              <w:gridCol w:w="922"/>
              <w:gridCol w:w="1021"/>
              <w:gridCol w:w="880"/>
              <w:gridCol w:w="87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867" w:type="dxa"/>
                  <w:vMerge w:val="restart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污染源名称</w:t>
                  </w:r>
                </w:p>
              </w:tc>
              <w:tc>
                <w:tcPr>
                  <w:tcW w:w="1227" w:type="dxa"/>
                  <w:gridSpan w:val="2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坐标(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0" w:type="dxa"/>
                  <w:vMerge w:val="restart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坐标(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559" w:type="dxa"/>
                  <w:gridSpan w:val="4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排气筒参数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污染物名称</w:t>
                  </w:r>
                </w:p>
              </w:tc>
              <w:tc>
                <w:tcPr>
                  <w:tcW w:w="880" w:type="dxa"/>
                  <w:vMerge w:val="restart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排放速率</w:t>
                  </w:r>
                </w:p>
              </w:tc>
              <w:tc>
                <w:tcPr>
                  <w:tcW w:w="876" w:type="dxa"/>
                  <w:vMerge w:val="restart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单位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c>
                <w:tcPr>
                  <w:tcW w:w="867" w:type="dxa"/>
                  <w:vMerge w:val="continue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经度</w:t>
                  </w:r>
                </w:p>
              </w:tc>
              <w:tc>
                <w:tcPr>
                  <w:tcW w:w="626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经度</w:t>
                  </w:r>
                </w:p>
              </w:tc>
              <w:tc>
                <w:tcPr>
                  <w:tcW w:w="700" w:type="dxa"/>
                  <w:vMerge w:val="continue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高度</w:t>
                  </w:r>
                </w:p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(m)</w:t>
                  </w:r>
                </w:p>
              </w:tc>
              <w:tc>
                <w:tcPr>
                  <w:tcW w:w="848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内径</w:t>
                  </w:r>
                </w:p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(m)</w:t>
                  </w:r>
                </w:p>
              </w:tc>
              <w:tc>
                <w:tcPr>
                  <w:tcW w:w="1051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温度</w:t>
                  </w:r>
                </w:p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24"/>
                    </w:rPr>
                    <w:t>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22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流速</w:t>
                  </w:r>
                </w:p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(m/s)</w:t>
                  </w:r>
                </w:p>
              </w:tc>
              <w:tc>
                <w:tcPr>
                  <w:tcW w:w="1021" w:type="dxa"/>
                  <w:vMerge w:val="continue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80" w:type="dxa"/>
                  <w:vMerge w:val="continue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6" w:type="dxa"/>
                  <w:vMerge w:val="continue"/>
                  <w:vAlign w:val="center"/>
                </w:tcPr>
                <w:p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00" w:hRule="atLeast"/>
              </w:trPr>
              <w:tc>
                <w:tcPr>
                  <w:tcW w:w="86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点源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132.595947</w:t>
                  </w:r>
                </w:p>
              </w:tc>
              <w:tc>
                <w:tcPr>
                  <w:tcW w:w="62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47.569415</w:t>
                  </w:r>
                </w:p>
              </w:tc>
              <w:tc>
                <w:tcPr>
                  <w:tcW w:w="70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52.0</w:t>
                  </w:r>
                </w:p>
              </w:tc>
              <w:tc>
                <w:tcPr>
                  <w:tcW w:w="73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15.0</w:t>
                  </w:r>
                </w:p>
              </w:tc>
              <w:tc>
                <w:tcPr>
                  <w:tcW w:w="84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0.4</w:t>
                  </w:r>
                </w:p>
              </w:tc>
              <w:tc>
                <w:tcPr>
                  <w:tcW w:w="105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30.0</w:t>
                  </w:r>
                </w:p>
              </w:tc>
              <w:tc>
                <w:tcPr>
                  <w:tcW w:w="92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6.63</w:t>
                  </w:r>
                </w:p>
              </w:tc>
              <w:tc>
                <w:tcPr>
                  <w:tcW w:w="10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PM10  </w:t>
                  </w:r>
                  <w:r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 xml:space="preserve">
H2S  </w:t>
                  </w:r>
                  <w:r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 xml:space="preserve">
NH3  </w:t>
                  </w:r>
                  <w:r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>
</w:t>
                  </w:r>
                </w:p>
              </w:tc>
              <w:tc>
                <w:tcPr>
                  <w:tcW w:w="88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0.005  </w:t>
                  </w:r>
                  <w:r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 xml:space="preserve">
8.9E-5  </w:t>
                  </w:r>
                  <w:r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 xml:space="preserve">
0.0015  </w:t>
                  </w:r>
                  <w:r>
                    <w:rPr>
                      <w:sz w:val="24"/>
                      <w:szCs w:val="24"/>
                    </w:rPr>
                    <w:cr/>
                  </w:r>
                  <w:r>
                    <w:rPr>
                      <w:sz w:val="24"/>
                      <w:szCs w:val="24"/>
                    </w:rPr>
                    <w:t>
</w:t>
                  </w:r>
                </w:p>
              </w:tc>
              <w:tc>
                <w:tcPr>
                  <w:tcW w:w="87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kg/h</w:t>
                  </w:r>
                </w:p>
              </w:tc>
            </w:tr>
          </w:tbl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3项目参数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估算模式所用参数见表。</w:t>
            </w:r>
          </w:p>
          <w:p>
            <w:pPr>
              <w:spacing w:line="480" w:lineRule="exact"/>
              <w:ind w:firstLine="422" w:firstLineChars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估算模型参数表</w:t>
            </w:r>
          </w:p>
          <w:tbl>
            <w:tblPr>
              <w:tblStyle w:val="17"/>
              <w:tblW w:w="9130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5"/>
              <w:gridCol w:w="2511"/>
              <w:gridCol w:w="448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3" w:hRule="atLeast"/>
                <w:jc w:val="center"/>
              </w:trPr>
              <w:tc>
                <w:tcPr>
                  <w:tcW w:w="4646" w:type="dxa"/>
                  <w:gridSpan w:val="2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参数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取值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  <w:jc w:val="center"/>
              </w:trPr>
              <w:tc>
                <w:tcPr>
                  <w:tcW w:w="213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城市农村/选项</w:t>
                  </w: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城市/农村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农村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3" w:hRule="atLeast"/>
                <w:jc w:val="center"/>
              </w:trPr>
              <w:tc>
                <w:tcPr>
                  <w:tcW w:w="213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人口数(城市人口数)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9" w:hRule="atLeast"/>
                <w:jc w:val="center"/>
              </w:trPr>
              <w:tc>
                <w:tcPr>
                  <w:tcW w:w="4646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最高环境温度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32</w:t>
                  </w:r>
                  <w:r>
                    <w:rPr>
                      <w:sz w:val="24"/>
                      <w:szCs w:val="24"/>
                    </w:rPr>
                    <w:t xml:space="preserve"> °C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8" w:hRule="atLeast"/>
                <w:jc w:val="center"/>
              </w:trPr>
              <w:tc>
                <w:tcPr>
                  <w:tcW w:w="4646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最低环境温度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-40.0 °C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2" w:hRule="atLeast"/>
                <w:jc w:val="center"/>
              </w:trPr>
              <w:tc>
                <w:tcPr>
                  <w:tcW w:w="4646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土地利用类型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农田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3" w:hRule="atLeast"/>
                <w:jc w:val="center"/>
              </w:trPr>
              <w:tc>
                <w:tcPr>
                  <w:tcW w:w="4646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区域湿度条件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中等湿度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1" w:hRule="atLeast"/>
                <w:jc w:val="center"/>
              </w:trPr>
              <w:tc>
                <w:tcPr>
                  <w:tcW w:w="213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是否考虑地形</w:t>
                  </w: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考虑地形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是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3" w:hRule="atLeast"/>
                <w:jc w:val="center"/>
              </w:trPr>
              <w:tc>
                <w:tcPr>
                  <w:tcW w:w="213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地形数据分辨率(m)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1" w:hRule="atLeast"/>
                <w:jc w:val="center"/>
              </w:trPr>
              <w:tc>
                <w:tcPr>
                  <w:tcW w:w="213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是否考虑岸线熏烟</w:t>
                  </w: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考虑岸线熏烟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5" w:hRule="atLeast"/>
                <w:jc w:val="center"/>
              </w:trPr>
              <w:tc>
                <w:tcPr>
                  <w:tcW w:w="213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岸线距离/km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9" w:hRule="atLeast"/>
                <w:jc w:val="center"/>
              </w:trPr>
              <w:tc>
                <w:tcPr>
                  <w:tcW w:w="213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1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岸线方向/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</w:p>
              </w:tc>
              <w:tc>
                <w:tcPr>
                  <w:tcW w:w="448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4评级工作等级确定</w:t>
            </w:r>
          </w:p>
          <w:p>
            <w:pPr>
              <w:spacing w:line="480" w:lineRule="exact"/>
              <w:ind w:firstLine="422" w:firstLineChars="17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本项目所有污染源的正常排放的污染物的P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和D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预测结果如下：</w:t>
            </w:r>
          </w:p>
          <w:p>
            <w:pPr>
              <w:spacing w:line="480" w:lineRule="exact"/>
              <w:ind w:firstLine="422" w:firstLineChars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表9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和D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预测和计算结果一览表</w:t>
            </w:r>
          </w:p>
          <w:tbl>
            <w:tblPr>
              <w:tblStyle w:val="17"/>
              <w:tblW w:w="913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21"/>
              <w:gridCol w:w="1523"/>
              <w:gridCol w:w="1523"/>
              <w:gridCol w:w="1521"/>
              <w:gridCol w:w="1523"/>
              <w:gridCol w:w="151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19" w:hRule="atLeast"/>
              </w:trPr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污染源名称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评价因子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评价标准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μg/m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vertAlign w:val="subscript"/>
                    </w:rPr>
                    <w:t>max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(μg/m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vertAlign w:val="subscript"/>
                    </w:rPr>
                    <w:t>max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(%)</w:t>
                  </w:r>
                </w:p>
              </w:tc>
              <w:tc>
                <w:tcPr>
                  <w:tcW w:w="151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10%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(m)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点源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PM10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450.0</w:t>
                  </w:r>
                </w:p>
              </w:tc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0.6286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0.1397</w:t>
                  </w:r>
                </w:p>
              </w:tc>
              <w:tc>
                <w:tcPr>
                  <w:tcW w:w="151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点源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H2S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10.0</w:t>
                  </w:r>
                </w:p>
              </w:tc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0.0112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0.1119</w:t>
                  </w:r>
                </w:p>
              </w:tc>
              <w:tc>
                <w:tcPr>
                  <w:tcW w:w="151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点源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NH3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200.0</w:t>
                  </w:r>
                </w:p>
              </w:tc>
              <w:tc>
                <w:tcPr>
                  <w:tcW w:w="15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0.1886</w:t>
                  </w:r>
                </w:p>
              </w:tc>
              <w:tc>
                <w:tcPr>
                  <w:tcW w:w="152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0.0943</w:t>
                  </w:r>
                </w:p>
              </w:tc>
              <w:tc>
                <w:tcPr>
                  <w:tcW w:w="151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0" w:firstLineChars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本项目P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最大值出现为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点源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排放的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PM10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值为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0.1397%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为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0.6286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ug/m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，根据《环境影响评价技术导则 大气环境》(HJ2.2-20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8)分级判据，确定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本项目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大气环境影响评价工作等级为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级。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0" w:firstLineChars="20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综上所述，本项目建设在落实本评价提出的污染防治措施的前提下，并保证其正常运行，本项目排放的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H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S、NH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、粉尘对评价区环境空气质量影响较小。因此从环境空气角度、本项目建设是可行的。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b/>
                <w:bCs/>
              </w:rPr>
            </w:pPr>
            <w:r>
              <w:rPr>
                <w:b/>
                <w:bCs/>
              </w:rPr>
              <w:t>3 声环境影响分析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依据主要噪声设备噪声源强，考虑建筑布局、室外声波传播条件、气象参数及有关资料，采用《环境影响评价技术导则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声环境》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</w:rPr>
              <w:t>(HJ2.4-2009)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</w:rPr>
              <w:t>中推荐的预测方法进行预测。</w:t>
            </w:r>
          </w:p>
          <w:p>
            <w:pPr>
              <w:pStyle w:val="15"/>
              <w:adjustRightInd w:val="0"/>
              <w:snapToGrid w:val="0"/>
              <w:spacing w:before="156" w:beforeAutospacing="0" w:after="0" w:afterAutospacing="0" w:line="360" w:lineRule="auto"/>
              <w:ind w:firstLine="482" w:firstLineChars="200"/>
              <w:rPr>
                <w:rFonts w:ascii="Times New Roman" w:hAnsi="Times New Roman"/>
                <w:bCs/>
                <w:color w:val="auto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highlight w:val="none"/>
                <w:lang w:bidi="ar"/>
              </w:rPr>
              <w:t>1</w:t>
            </w:r>
            <w:r>
              <w:rPr>
                <w:rFonts w:hint="eastAsia" w:ascii="Times New Roman" w:hAnsi="Times New Roman"/>
                <w:b/>
                <w:bCs/>
                <w:color w:val="auto"/>
                <w:highlight w:val="none"/>
                <w:lang w:bidi="ar"/>
              </w:rPr>
              <w:t>）预测模型</w:t>
            </w:r>
          </w:p>
          <w:p>
            <w:pPr>
              <w:widowControl/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声环境影响预测，一般采用声源的倍频带声功率级，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声功率级或靠近声源某一位置的倍频带声压级，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声级来预测计算距声源不同距离的声级。</w:t>
            </w:r>
          </w:p>
          <w:p>
            <w:pPr>
              <w:widowControl/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根据《环境影响评价技术导则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-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声环境》（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HJ2.4-2009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）中推荐的预测方法，噪声源分为室内声源和室外声源，应分别计算。室内声源可采用等效室外声源声功率级法进行计算。</w:t>
            </w:r>
          </w:p>
          <w:p>
            <w:pPr>
              <w:widowControl/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（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1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）单个室外的点声源在预测点产生的声级计算基本公式</w:t>
            </w:r>
          </w:p>
          <w:p>
            <w:pPr>
              <w:widowControl/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如已知声源的倍频带声功率级（从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63Hz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到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8kHz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标称频带中心频率的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8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个倍频带），预测点位置的倍频带声压级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Lp(r)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可按下式计算：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4"/>
                <w:highlight w:val="none"/>
                <w:lang w:bidi="ar"/>
              </w:rPr>
              <w:drawing>
                <wp:inline distT="0" distB="0" distL="114300" distR="114300">
                  <wp:extent cx="1333500" cy="238125"/>
                  <wp:effectExtent l="0" t="0" r="0" b="8255"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4"/>
                <w:highlight w:val="none"/>
                <w:lang w:bidi="ar"/>
              </w:rPr>
              <w:drawing>
                <wp:inline distT="0" distB="0" distL="114300" distR="114300">
                  <wp:extent cx="2486025" cy="276225"/>
                  <wp:effectExtent l="0" t="0" r="9525" b="7620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w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倍频带声功率级，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D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c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指向性校正，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；它描述点声源的等效连续声压级与产生声功率级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w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的全向点声源的规定方向的级的偏差程度。指向性校正等于点声源的指向性指数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D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加上计到小于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4π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球面度（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s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r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）立体角内的声传播指数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D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Ω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。对辐射到自由空间的全向点声源，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D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c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=0dB(A)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倍频带衰减，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div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几何发散引起的倍频带衰减，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atm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大气吸引引起的倍频带衰减，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gr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地面效应引起的倍频带衰减，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bar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声屏障引起的倍频带衰减，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misc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其他多方面效应引起的倍频带衰减，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衰减项计算参照《环境影响评价技术导则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 xml:space="preserve"> 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声环境》（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HJ2.4-2009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）中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8.3.3-8.3.7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相关模式计算。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如已知靠近声源处某点的倍频带声压级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0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时，相同方向预测点位置的倍频声压级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可按下式计算：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4"/>
                <w:highlight w:val="none"/>
                <w:lang w:bidi="ar"/>
              </w:rPr>
              <w:drawing>
                <wp:inline distT="0" distB="0" distL="114300" distR="114300">
                  <wp:extent cx="1285875" cy="257175"/>
                  <wp:effectExtent l="0" t="0" r="9525" b="8255"/>
                  <wp:docPr id="2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预测点的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声级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A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，可利用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8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个倍频带的声压级按下式计算：</w:t>
            </w:r>
          </w:p>
          <w:p>
            <w:pPr>
              <w:pStyle w:val="25"/>
              <w:jc w:val="both"/>
              <w:rPr>
                <w:color w:val="auto"/>
                <w:highlight w:val="none"/>
              </w:rPr>
            </w:pP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30"/>
                <w:highlight w:val="none"/>
                <w:lang w:bidi="ar"/>
              </w:rPr>
              <w:drawing>
                <wp:inline distT="0" distB="0" distL="114300" distR="114300">
                  <wp:extent cx="2209800" cy="514350"/>
                  <wp:effectExtent l="0" t="0" r="0" b="0"/>
                  <wp:docPr id="3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pi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预测点（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）处，第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倍频带声压级，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△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i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计权网络修正值，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（见附录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B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在不能取得声源倍频带声功率级或倍频带声压级，只能获得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声功率级或某点的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声级时，可按下述两个公式作近似计算：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2"/>
                <w:sz w:val="24"/>
                <w:highlight w:val="none"/>
                <w:lang w:bidi="ar"/>
              </w:rPr>
              <w:drawing>
                <wp:inline distT="0" distB="0" distL="114300" distR="114300">
                  <wp:extent cx="1476375" cy="247650"/>
                  <wp:effectExtent l="0" t="0" r="9525" b="0"/>
                  <wp:docPr id="2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或</w:t>
            </w:r>
            <w:r>
              <w:rPr>
                <w:rFonts w:ascii="Times New Roman" w:hAnsi="Times New Roman"/>
                <w:color w:val="auto"/>
                <w:kern w:val="0"/>
                <w:position w:val="-12"/>
                <w:sz w:val="24"/>
                <w:highlight w:val="none"/>
                <w:lang w:bidi="ar"/>
              </w:rPr>
              <w:drawing>
                <wp:inline distT="0" distB="0" distL="114300" distR="114300">
                  <wp:extent cx="1209675" cy="228600"/>
                  <wp:effectExtent l="0" t="0" r="0" b="0"/>
                  <wp:docPr id="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可选择对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声级影响最大的倍频带计算，一般可选中心频率为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500Hz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的倍频带作估算。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（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2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）室内声源等效室外声源声功率级计算方法</w:t>
            </w:r>
          </w:p>
          <w:p>
            <w:pPr>
              <w:keepNext/>
              <w:widowControl/>
              <w:autoSpaceDE w:val="0"/>
              <w:autoSpaceDN w:val="0"/>
              <w:adjustRightInd w:val="0"/>
              <w:snapToGrid w:val="0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highlight w:val="none"/>
                <w:lang w:bidi="ar"/>
              </w:rPr>
              <w:drawing>
                <wp:inline distT="0" distB="0" distL="114300" distR="114300">
                  <wp:extent cx="3009900" cy="1457325"/>
                  <wp:effectExtent l="0" t="0" r="0" b="9525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ind w:firstLine="482" w:firstLineChars="200"/>
              <w:jc w:val="center"/>
              <w:rPr>
                <w:rFonts w:hint="eastAsia" w:ascii="Times New Roman" w:hAnsi="Times New Roman" w:cs="宋体"/>
                <w:b/>
                <w:color w:val="auto"/>
                <w:kern w:val="0"/>
                <w:szCs w:val="21"/>
                <w:highlight w:val="none"/>
                <w:lang w:bidi="ar"/>
              </w:rPr>
            </w:pPr>
          </w:p>
          <w:p>
            <w:pPr>
              <w:widowControl/>
              <w:adjustRightInd w:val="0"/>
              <w:snapToGrid w:val="0"/>
              <w:ind w:firstLine="482" w:firstLineChars="200"/>
              <w:jc w:val="center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b/>
                <w:color w:val="auto"/>
                <w:kern w:val="0"/>
                <w:sz w:val="24"/>
                <w:highlight w:val="none"/>
                <w:lang w:bidi="ar"/>
              </w:rPr>
              <w:t>图</w:t>
            </w:r>
            <w:r>
              <w:rPr>
                <w:rFonts w:hint="eastAsia" w:ascii="Times New Roman" w:hAnsi="Times New Roman"/>
                <w:b/>
                <w:color w:val="auto"/>
                <w:kern w:val="0"/>
                <w:sz w:val="24"/>
                <w:highlight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/>
                <w:b/>
                <w:color w:val="auto"/>
                <w:kern w:val="0"/>
                <w:sz w:val="24"/>
                <w:highlight w:val="none"/>
                <w:lang w:bidi="ar"/>
              </w:rPr>
              <w:t>-</w:t>
            </w:r>
            <w:r>
              <w:rPr>
                <w:rFonts w:hint="eastAsia" w:ascii="Times New Roman" w:hAnsi="Times New Roman"/>
                <w:b/>
                <w:color w:val="auto"/>
                <w:kern w:val="0"/>
                <w:sz w:val="24"/>
                <w:highlight w:val="none"/>
                <w:lang w:val="en-US" w:eastAsia="zh-CN" w:bidi="ar"/>
              </w:rPr>
              <w:t>1</w:t>
            </w:r>
            <w:r>
              <w:rPr>
                <w:rFonts w:ascii="Times New Roman" w:hAnsi="Times New Roman"/>
                <w:b/>
                <w:color w:val="auto"/>
                <w:kern w:val="0"/>
                <w:sz w:val="24"/>
                <w:highlight w:val="none"/>
                <w:lang w:bidi="ar"/>
              </w:rPr>
              <w:t xml:space="preserve">  </w:t>
            </w:r>
            <w:r>
              <w:rPr>
                <w:rFonts w:hint="eastAsia" w:ascii="Times New Roman" w:hAnsi="Times New Roman" w:cs="宋体"/>
                <w:b/>
                <w:color w:val="auto"/>
                <w:kern w:val="0"/>
                <w:sz w:val="24"/>
                <w:highlight w:val="none"/>
                <w:lang w:bidi="ar"/>
              </w:rPr>
              <w:t>室内声源等效为室外声源图例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如上图所示，声源位于室内，室内声源可采用等效室外声源声功率级法进行计算。设靠近开口处（或窗户）室内、室外某倍频带的声压级分别为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1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2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。若声源所在室内声场为近似扩散声场，则室外的倍频带声压级可按公式近似求出：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4"/>
                <w:highlight w:val="none"/>
                <w:lang w:bidi="ar"/>
              </w:rPr>
              <w:drawing>
                <wp:inline distT="0" distB="0" distL="114300" distR="114300">
                  <wp:extent cx="1247775" cy="238125"/>
                  <wp:effectExtent l="0" t="0" r="9525" b="9525"/>
                  <wp:docPr id="3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TL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隔墙（或窗户）倍频带的隔声量，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也可按下式计算某一室内声源靠近围护结构处产生的倍频带声压级；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28"/>
                <w:highlight w:val="none"/>
                <w:lang w:bidi="ar"/>
              </w:rPr>
              <w:drawing>
                <wp:inline distT="0" distB="0" distL="114300" distR="114300">
                  <wp:extent cx="1752600" cy="428625"/>
                  <wp:effectExtent l="0" t="0" r="0" b="889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Q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指向性因数；通常对无指向性声源，当声源放在房间中心时，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Q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=1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；当放在一面墙的中心时，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Q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=2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；当放在两面墙夹角处时，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Q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=4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；当放在三面墙夹角处时，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Q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=8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房间常数；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=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S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α/(1</w:t>
            </w:r>
            <w:r>
              <w:rPr>
                <w:rFonts w:ascii="Times New Roman" w:hAnsi="Times New Roman" w:eastAsia="微软雅黑"/>
                <w:color w:val="auto"/>
                <w:kern w:val="0"/>
                <w:sz w:val="24"/>
                <w:highlight w:val="none"/>
                <w:lang w:bidi="ar"/>
              </w:rPr>
              <w:t>−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α)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，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S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为房间内表面面积，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m</w:t>
            </w:r>
            <w:r>
              <w:rPr>
                <w:rFonts w:ascii="Times New Roman" w:hAnsi="Times New Roman"/>
                <w:color w:val="auto"/>
                <w:kern w:val="0"/>
                <w:position w:val="4"/>
                <w:sz w:val="24"/>
                <w:highlight w:val="none"/>
                <w:vertAlign w:val="superscript"/>
                <w:lang w:bidi="ar"/>
              </w:rPr>
              <w:t>2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α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为平均吸声系数。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textAlignment w:val="bottom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声源到靠近围护结构某点处的距离，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m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然后按公下式计算出所有室内声源在围护结构处产生的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倍频带叠加声压级：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jc w:val="center"/>
              <w:textAlignment w:val="bottom"/>
              <w:rPr>
                <w:rFonts w:ascii="Times New Roman" w:hAnsi="Times New Roman"/>
                <w:color w:val="auto"/>
                <w:kern w:val="0"/>
                <w:position w:val="-32"/>
                <w:highlight w:val="none"/>
                <w:lang w:bidi="ar"/>
              </w:rPr>
            </w:pP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32"/>
                <w:highlight w:val="none"/>
                <w:lang w:bidi="ar"/>
              </w:rPr>
              <w:drawing>
                <wp:inline distT="0" distB="0" distL="114300" distR="114300">
                  <wp:extent cx="1685925" cy="485775"/>
                  <wp:effectExtent l="0" t="0" r="9525" b="8890"/>
                  <wp:docPr id="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1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i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T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靠近围护结构处室内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N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个声源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倍频带的叠加声压级，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1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ij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室内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j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声源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倍频带的声压级，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N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室内声源总数。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在室内近似为扩散声场时，按下式计算出靠近室外围护结构处的声压级：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spacing w:line="520" w:lineRule="exact"/>
              <w:ind w:firstLine="480" w:firstLineChars="200"/>
              <w:jc w:val="center"/>
              <w:textAlignment w:val="bottom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2"/>
                <w:highlight w:val="none"/>
                <w:lang w:bidi="ar"/>
              </w:rPr>
              <w:drawing>
                <wp:inline distT="0" distB="0" distL="114300" distR="114300">
                  <wp:extent cx="1724025" cy="228600"/>
                  <wp:effectExtent l="0" t="0" r="9525" b="0"/>
                  <wp:docPr id="2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2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i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T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靠近围护结构处室外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N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个声源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倍频带的叠加声压级，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TL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i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围护结构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i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倍频带的隔声量，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然后按下式将室外声源的声压级和透过面积换算成等效的室外声源，计算出中心位置位于透声面积（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S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）处的等效声源的倍频带声功率级。</w:t>
            </w:r>
          </w:p>
          <w:p>
            <w:pPr>
              <w:widowControl/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2"/>
                <w:highlight w:val="none"/>
                <w:lang w:bidi="ar"/>
              </w:rPr>
              <w:drawing>
                <wp:inline distT="0" distB="0" distL="114300" distR="114300">
                  <wp:extent cx="1295400" cy="228600"/>
                  <wp:effectExtent l="0" t="0" r="0" b="0"/>
                  <wp:docPr id="2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然后按室外声源预测方法计算预测点处的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A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声级。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（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3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）预测点的预测等效声级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eq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计算公式：</w:t>
            </w:r>
          </w:p>
          <w:p>
            <w:pPr>
              <w:widowControl/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/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position w:val="-14"/>
                <w:highlight w:val="none"/>
                <w:lang w:bidi="ar"/>
              </w:rPr>
              <w:drawing>
                <wp:inline distT="0" distB="0" distL="114300" distR="114300">
                  <wp:extent cx="1743075" cy="266700"/>
                  <wp:effectExtent l="0" t="0" r="9525" b="0"/>
                  <wp:docPr id="3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式中：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bidi="ar"/>
              </w:rPr>
              <w:t>eqg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建设项目声源在预测点的等效声级贡献值，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1080" w:firstLineChars="45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bidi="ar"/>
              </w:rPr>
              <w:t>Leqb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预测点的背景值，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（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4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）点声源噪声衰减模式：</w:t>
            </w:r>
          </w:p>
          <w:p>
            <w:pPr>
              <w:widowControl/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/>
                <w:color w:val="auto"/>
                <w:sz w:val="24"/>
                <w:highlight w:val="none"/>
                <w:lang w:val="pt-BR"/>
              </w:rPr>
            </w:pP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val="pt-BR"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val="pt-BR"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＝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val="pt-BR" w:bidi="ar"/>
              </w:rPr>
              <w:t>L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P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val="pt-BR" w:bidi="ar"/>
              </w:rPr>
              <w:t>r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0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)-20lg(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val="pt-BR"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/</w:t>
            </w:r>
            <w:r>
              <w:rPr>
                <w:rFonts w:ascii="Times New Roman" w:hAnsi="Times New Roman"/>
                <w:i/>
                <w:color w:val="auto"/>
                <w:kern w:val="0"/>
                <w:sz w:val="24"/>
                <w:highlight w:val="none"/>
                <w:lang w:val="pt-BR"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0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)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  <w:lang w:val="pt-BR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式中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：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L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P(r0)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已知点的噪声声级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1200" w:firstLineChars="500"/>
              <w:rPr>
                <w:rFonts w:ascii="Times New Roman" w:hAnsi="Times New Roman"/>
                <w:color w:val="auto"/>
                <w:sz w:val="24"/>
                <w:highlight w:val="none"/>
                <w:lang w:val="pt-BR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L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P(r)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评价点的噪声声级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dB(A)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1200" w:firstLineChars="500"/>
              <w:rPr>
                <w:rFonts w:ascii="Times New Roman" w:hAnsi="Times New Roman"/>
                <w:color w:val="auto"/>
                <w:sz w:val="24"/>
                <w:highlight w:val="none"/>
                <w:lang w:val="pt-BR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0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已知点到噪声源的距离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m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；</w:t>
            </w:r>
          </w:p>
          <w:p>
            <w:pPr>
              <w:widowControl/>
              <w:adjustRightInd w:val="0"/>
              <w:snapToGrid w:val="0"/>
              <w:spacing w:line="520" w:lineRule="exact"/>
              <w:ind w:firstLine="1166" w:firstLineChars="486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r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vertAlign w:val="subscript"/>
                <w:lang w:val="pt-BR" w:bidi="ar"/>
              </w:rPr>
              <w:t>1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—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评价点到噪声源的距离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val="pt-BR" w:bidi="ar"/>
              </w:rPr>
              <w:t>，</w:t>
            </w:r>
            <w:r>
              <w:rPr>
                <w:rFonts w:ascii="Times New Roman" w:hAnsi="Times New Roman"/>
                <w:color w:val="auto"/>
                <w:kern w:val="0"/>
                <w:sz w:val="24"/>
                <w:highlight w:val="none"/>
                <w:lang w:val="pt-BR" w:bidi="ar"/>
              </w:rPr>
              <w:t>m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。</w:t>
            </w:r>
          </w:p>
          <w:p>
            <w:pPr>
              <w:pStyle w:val="15"/>
              <w:numPr>
                <w:ilvl w:val="0"/>
                <w:numId w:val="3"/>
              </w:numPr>
              <w:adjustRightInd w:val="0"/>
              <w:snapToGrid w:val="0"/>
              <w:spacing w:before="156" w:beforeAutospacing="0" w:after="0" w:afterAutospacing="0" w:line="360" w:lineRule="auto"/>
              <w:ind w:firstLine="562" w:firstLineChars="200"/>
              <w:rPr>
                <w:rFonts w:hint="eastAsia" w:ascii="Times New Roman" w:hAnsi="Times New Roman"/>
                <w:b/>
                <w:color w:val="auto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b/>
                <w:color w:val="auto"/>
                <w:sz w:val="28"/>
                <w:szCs w:val="28"/>
                <w:highlight w:val="none"/>
                <w:lang w:bidi="ar"/>
              </w:rPr>
              <w:t>主要声源设备噪声</w:t>
            </w:r>
          </w:p>
          <w:p>
            <w:pPr>
              <w:pStyle w:val="15"/>
              <w:adjustRightInd w:val="0"/>
              <w:snapToGrid w:val="0"/>
              <w:spacing w:before="0" w:beforeAutospacing="0" w:after="0" w:afterAutospacing="0" w:line="360" w:lineRule="auto"/>
              <w:ind w:firstLine="480" w:firstLineChars="200"/>
              <w:rPr>
                <w:rFonts w:hint="eastAsia" w:ascii="Times New Roman" w:hAnsi="Times New Roman"/>
                <w:b/>
                <w:color w:val="auto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highlight w:val="none"/>
              </w:rPr>
              <w:t>本项目高噪声设备主要为粉碎机、</w:t>
            </w:r>
            <w:r>
              <w:rPr>
                <w:rFonts w:hint="eastAsia" w:ascii="Times New Roman" w:hAnsi="Times New Roman"/>
                <w:color w:val="auto"/>
                <w:highlight w:val="none"/>
                <w:lang w:eastAsia="zh-CN"/>
              </w:rPr>
              <w:t>预混</w:t>
            </w:r>
            <w:r>
              <w:rPr>
                <w:rFonts w:hint="eastAsia" w:ascii="Times New Roman" w:hAnsi="Times New Roman"/>
                <w:color w:val="auto"/>
                <w:highlight w:val="none"/>
              </w:rPr>
              <w:t>机</w:t>
            </w:r>
            <w:r>
              <w:rPr>
                <w:rFonts w:hint="eastAsia" w:ascii="Times New Roman" w:hAnsi="Times New Roman"/>
                <w:color w:val="auto"/>
                <w:highlight w:val="none"/>
                <w:lang w:eastAsia="zh-CN"/>
              </w:rPr>
              <w:t>、造粒机、包装机</w:t>
            </w:r>
            <w:r>
              <w:rPr>
                <w:rFonts w:hint="eastAsia" w:ascii="Times New Roman" w:hAnsi="Times New Roman"/>
                <w:color w:val="auto"/>
                <w:highlight w:val="none"/>
              </w:rPr>
              <w:t>及</w:t>
            </w:r>
            <w:r>
              <w:rPr>
                <w:rFonts w:hint="eastAsia" w:ascii="Times New Roman" w:hAnsi="Times New Roman"/>
                <w:color w:val="auto"/>
                <w:highlight w:val="none"/>
                <w:lang w:eastAsia="zh-CN"/>
              </w:rPr>
              <w:t>风</w:t>
            </w:r>
            <w:r>
              <w:rPr>
                <w:rFonts w:hint="eastAsia" w:ascii="Times New Roman" w:hAnsi="Times New Roman"/>
                <w:color w:val="auto"/>
                <w:highlight w:val="none"/>
              </w:rPr>
              <w:t>机等设备，源强未采取减振降噪措施前及采取消声、降噪措施后的排放情况见表</w:t>
            </w:r>
            <w:r>
              <w:rPr>
                <w:rFonts w:hint="eastAsia" w:ascii="Times New Roman" w:hAnsi="Times New Roman"/>
                <w:color w:val="auto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color w:val="auto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color w:val="auto"/>
                <w:highlight w:val="none"/>
              </w:rPr>
              <w:t>。本项目设备均安装于设备间，经设备软连接、基础减振等措施后，噪声源强值在</w:t>
            </w:r>
            <w:r>
              <w:rPr>
                <w:rFonts w:hint="eastAsia" w:ascii="Times New Roman" w:hAnsi="Times New Roman"/>
                <w:color w:val="auto"/>
                <w:highlight w:val="none"/>
                <w:lang w:val="en-US" w:eastAsia="zh-CN"/>
              </w:rPr>
              <w:t>60</w:t>
            </w:r>
            <w:r>
              <w:rPr>
                <w:rFonts w:hint="eastAsia" w:ascii="Times New Roman" w:hAnsi="Times New Roman"/>
                <w:color w:val="auto"/>
                <w:highlight w:val="none"/>
              </w:rPr>
              <w:t>～80dB(A)。</w:t>
            </w:r>
          </w:p>
          <w:p>
            <w:pPr>
              <w:tabs>
                <w:tab w:val="left" w:pos="2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 xml:space="preserve"> 项目生产设备噪声源强</w:t>
            </w:r>
          </w:p>
          <w:tbl>
            <w:tblPr>
              <w:tblStyle w:val="16"/>
              <w:tblW w:w="9140" w:type="dxa"/>
              <w:jc w:val="center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83"/>
              <w:gridCol w:w="1080"/>
              <w:gridCol w:w="750"/>
              <w:gridCol w:w="805"/>
              <w:gridCol w:w="861"/>
              <w:gridCol w:w="2350"/>
              <w:gridCol w:w="1163"/>
              <w:gridCol w:w="1048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5" w:hRule="atLeast"/>
                <w:jc w:val="center"/>
              </w:trPr>
              <w:tc>
                <w:tcPr>
                  <w:tcW w:w="1083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工序/生产线</w:t>
                  </w:r>
                </w:p>
              </w:tc>
              <w:tc>
                <w:tcPr>
                  <w:tcW w:w="1080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噪声源</w:t>
                  </w:r>
                </w:p>
              </w:tc>
              <w:tc>
                <w:tcPr>
                  <w:tcW w:w="750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数量（台）</w:t>
                  </w:r>
                </w:p>
              </w:tc>
              <w:tc>
                <w:tcPr>
                  <w:tcW w:w="805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声源类型</w:t>
                  </w: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噪声源强</w:t>
                  </w:r>
                </w:p>
              </w:tc>
              <w:tc>
                <w:tcPr>
                  <w:tcW w:w="3513" w:type="dxa"/>
                  <w:gridSpan w:val="2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降噪措施</w:t>
                  </w:r>
                </w:p>
              </w:tc>
              <w:tc>
                <w:tcPr>
                  <w:tcW w:w="1048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噪声排放值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dB(A)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6" w:hRule="atLeast"/>
                <w:jc w:val="center"/>
              </w:trPr>
              <w:tc>
                <w:tcPr>
                  <w:tcW w:w="108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80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750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805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噪声值</w:t>
                  </w:r>
                </w:p>
              </w:tc>
              <w:tc>
                <w:tcPr>
                  <w:tcW w:w="235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工艺</w:t>
                  </w:r>
                </w:p>
              </w:tc>
              <w:tc>
                <w:tcPr>
                  <w:tcW w:w="1163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降噪效果</w:t>
                  </w:r>
                </w:p>
              </w:tc>
              <w:tc>
                <w:tcPr>
                  <w:tcW w:w="104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4" w:hRule="atLeast"/>
                <w:jc w:val="center"/>
              </w:trPr>
              <w:tc>
                <w:tcPr>
                  <w:tcW w:w="1083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生产工序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卧式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粉碎机</w:t>
                  </w:r>
                </w:p>
              </w:tc>
              <w:tc>
                <w:tcPr>
                  <w:tcW w:w="75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kern w:val="0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kern w:val="0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80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频发</w:t>
                  </w: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90</w:t>
                  </w:r>
                </w:p>
              </w:tc>
              <w:tc>
                <w:tcPr>
                  <w:tcW w:w="2350" w:type="dxa"/>
                  <w:vMerge w:val="restart"/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kern w:val="2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kern w:val="2"/>
                      <w:sz w:val="21"/>
                      <w:szCs w:val="21"/>
                      <w:highlight w:val="none"/>
                    </w:rPr>
                    <w:t>选择低噪声设备、置于设备间内，基座之间设置减振垫</w:t>
                  </w:r>
                </w:p>
              </w:tc>
              <w:tc>
                <w:tcPr>
                  <w:tcW w:w="1163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可降噪5~1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5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dB(A)</w:t>
                  </w:r>
                </w:p>
              </w:tc>
              <w:tc>
                <w:tcPr>
                  <w:tcW w:w="104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Theme="minorEastAsia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75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6" w:hRule="atLeast"/>
                <w:jc w:val="center"/>
              </w:trPr>
              <w:tc>
                <w:tcPr>
                  <w:tcW w:w="108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蛟龙翻抛机</w:t>
                  </w:r>
                </w:p>
              </w:tc>
              <w:tc>
                <w:tcPr>
                  <w:tcW w:w="75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80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频发</w:t>
                  </w: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Theme="minorEastAsia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80</w:t>
                  </w:r>
                </w:p>
              </w:tc>
              <w:tc>
                <w:tcPr>
                  <w:tcW w:w="2350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16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4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Theme="minorEastAsia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8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秸秆粉碎机</w:t>
                  </w:r>
                </w:p>
              </w:tc>
              <w:tc>
                <w:tcPr>
                  <w:tcW w:w="75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80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频发</w:t>
                  </w: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5</w:t>
                  </w:r>
                </w:p>
              </w:tc>
              <w:tc>
                <w:tcPr>
                  <w:tcW w:w="2350" w:type="dxa"/>
                  <w:vMerge w:val="continue"/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kern w:val="2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4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6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8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自动包装机</w:t>
                  </w:r>
                </w:p>
              </w:tc>
              <w:tc>
                <w:tcPr>
                  <w:tcW w:w="75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80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频发</w:t>
                  </w: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0</w:t>
                  </w:r>
                </w:p>
              </w:tc>
              <w:tc>
                <w:tcPr>
                  <w:tcW w:w="2350" w:type="dxa"/>
                  <w:vMerge w:val="continue"/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ascii="Times New Roman" w:hAnsi="Times New Roman"/>
                      <w:color w:val="auto"/>
                      <w:kern w:val="2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16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4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Theme="minorEastAsia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55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83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8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风机</w:t>
                  </w:r>
                </w:p>
              </w:tc>
              <w:tc>
                <w:tcPr>
                  <w:tcW w:w="750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80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频发</w:t>
                  </w:r>
                </w:p>
              </w:tc>
              <w:tc>
                <w:tcPr>
                  <w:tcW w:w="861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75</w:t>
                  </w:r>
                </w:p>
              </w:tc>
              <w:tc>
                <w:tcPr>
                  <w:tcW w:w="2350" w:type="dxa"/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kern w:val="2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kern w:val="2"/>
                      <w:sz w:val="21"/>
                      <w:szCs w:val="21"/>
                      <w:highlight w:val="none"/>
                    </w:rPr>
                    <w:t>选择低噪声设备、置于设备间内、风机采用柔性连接、风机进出口设消音器</w:t>
                  </w:r>
                </w:p>
              </w:tc>
              <w:tc>
                <w:tcPr>
                  <w:tcW w:w="1163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可降噪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25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～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30dB(A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）</w:t>
                  </w:r>
                </w:p>
              </w:tc>
              <w:tc>
                <w:tcPr>
                  <w:tcW w:w="1048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/>
                      <w:color w:val="auto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60</w:t>
                  </w:r>
                </w:p>
              </w:tc>
            </w:tr>
          </w:tbl>
          <w:p>
            <w:pPr>
              <w:widowControl/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采取降噪措施后，高噪声设备治理后的声压级及噪声源分布如下表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  <w:lang w:bidi="ar"/>
              </w:rPr>
              <w:t>-1</w:t>
            </w:r>
            <w:r>
              <w:rPr>
                <w:rFonts w:hint="eastAsia" w:ascii="Times New Roman" w:hAnsi="Times New Roman"/>
                <w:color w:val="auto"/>
                <w:kern w:val="0"/>
                <w:sz w:val="24"/>
                <w:highlight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cs="宋体"/>
                <w:color w:val="auto"/>
                <w:kern w:val="0"/>
                <w:sz w:val="24"/>
                <w:highlight w:val="none"/>
                <w:lang w:bidi="ar"/>
              </w:rPr>
              <w:t>所示。</w:t>
            </w:r>
          </w:p>
          <w:p>
            <w:pPr>
              <w:tabs>
                <w:tab w:val="left" w:pos="2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-1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0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全厂噪声源特性统计表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 xml:space="preserve">  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单位：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highlight w:val="none"/>
              </w:rPr>
              <w:t>dB(A)</w:t>
            </w:r>
          </w:p>
          <w:tbl>
            <w:tblPr>
              <w:tblStyle w:val="16"/>
              <w:tblW w:w="8963" w:type="dxa"/>
              <w:jc w:val="center"/>
              <w:tblInd w:w="0" w:type="dxa"/>
              <w:tblBorders>
                <w:top w:val="single" w:color="000000" w:sz="12" w:space="0"/>
                <w:left w:val="single" w:color="000000" w:sz="4" w:space="0"/>
                <w:bottom w:val="single" w:color="000000" w:sz="12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93"/>
              <w:gridCol w:w="1494"/>
              <w:gridCol w:w="1494"/>
              <w:gridCol w:w="1494"/>
              <w:gridCol w:w="1494"/>
              <w:gridCol w:w="1494"/>
            </w:tblGrid>
            <w:tr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93" w:type="dxa"/>
                  <w:tcBorders>
                    <w:top w:val="single" w:color="000000" w:sz="12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产生位置</w:t>
                  </w:r>
                </w:p>
              </w:tc>
              <w:tc>
                <w:tcPr>
                  <w:tcW w:w="1494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序号</w:t>
                  </w:r>
                </w:p>
              </w:tc>
              <w:tc>
                <w:tcPr>
                  <w:tcW w:w="1494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噪声源</w:t>
                  </w:r>
                </w:p>
              </w:tc>
              <w:tc>
                <w:tcPr>
                  <w:tcW w:w="1494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源强</w:t>
                  </w:r>
                </w:p>
              </w:tc>
              <w:tc>
                <w:tcPr>
                  <w:tcW w:w="1494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频谱特性</w:t>
                  </w:r>
                </w:p>
              </w:tc>
              <w:tc>
                <w:tcPr>
                  <w:tcW w:w="1494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排放规律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8" w:hRule="atLeast"/>
                <w:jc w:val="center"/>
              </w:trPr>
              <w:tc>
                <w:tcPr>
                  <w:tcW w:w="1493" w:type="dxa"/>
                  <w:vMerge w:val="restart"/>
                  <w:tcBorders>
                    <w:top w:val="single" w:color="000000" w:sz="4" w:space="0"/>
                    <w:left w:val="nil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生产车间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1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cs="宋体"/>
                      <w:color w:val="auto"/>
                      <w:kern w:val="0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卧式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粉碎机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/>
                      <w:color w:val="auto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90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4"/>
                      <w:szCs w:val="24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4"/>
                      <w:szCs w:val="24"/>
                      <w:highlight w:val="none"/>
                      <w:lang w:bidi="ar"/>
                    </w:rPr>
                    <w:t>中、高频</w:t>
                  </w:r>
                </w:p>
              </w:tc>
              <w:tc>
                <w:tcPr>
                  <w:tcW w:w="1494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jc w:val="both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kern w:val="0"/>
                      <w:szCs w:val="21"/>
                      <w:highlight w:val="none"/>
                      <w:lang w:bidi="ar"/>
                    </w:rPr>
                    <w:t>昼间运行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93" w:type="dxa"/>
                  <w:vMerge w:val="continue"/>
                  <w:tcBorders>
                    <w:left w:val="nil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2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 w:cs="宋体"/>
                      <w:color w:val="auto"/>
                      <w:kern w:val="0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蛟龙翻抛机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80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4"/>
                      <w:szCs w:val="24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4"/>
                      <w:szCs w:val="24"/>
                      <w:highlight w:val="none"/>
                      <w:lang w:bidi="ar"/>
                    </w:rPr>
                    <w:t>中、高频</w:t>
                  </w:r>
                </w:p>
              </w:tc>
              <w:tc>
                <w:tcPr>
                  <w:tcW w:w="1494" w:type="dxa"/>
                  <w:vMerge w:val="continue"/>
                  <w:tcBorders>
                    <w:left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93" w:type="dxa"/>
                  <w:vMerge w:val="continue"/>
                  <w:tcBorders>
                    <w:left w:val="nil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3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kern w:val="0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秸秆粉碎机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/>
                      <w:color w:val="auto"/>
                      <w:szCs w:val="21"/>
                      <w:highlight w:val="none"/>
                      <w:lang w:eastAsia="zh-CN"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宋体"/>
                      <w:color w:val="auto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szCs w:val="21"/>
                      <w:highlight w:val="none"/>
                      <w:lang w:bidi="ar"/>
                    </w:rPr>
                    <w:t>中、高频</w:t>
                  </w:r>
                </w:p>
              </w:tc>
              <w:tc>
                <w:tcPr>
                  <w:tcW w:w="1494" w:type="dxa"/>
                  <w:tcBorders>
                    <w:left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kern w:val="0"/>
                      <w:szCs w:val="21"/>
                      <w:highlight w:val="none"/>
                      <w:lang w:bidi="ar"/>
                    </w:rPr>
                    <w:t>昼间运行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93" w:type="dxa"/>
                  <w:vMerge w:val="continue"/>
                  <w:tcBorders>
                    <w:left w:val="nil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4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spacing w:line="360" w:lineRule="auto"/>
                    <w:jc w:val="center"/>
                    <w:rPr>
                      <w:rFonts w:hint="eastAsia" w:ascii="Times New Roman" w:hAnsi="Times New Roman"/>
                      <w:color w:val="auto"/>
                      <w:kern w:val="0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自动包装机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7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0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宋体"/>
                      <w:color w:val="auto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szCs w:val="21"/>
                      <w:highlight w:val="none"/>
                      <w:lang w:bidi="ar"/>
                    </w:rPr>
                    <w:t>中、高频</w:t>
                  </w:r>
                </w:p>
              </w:tc>
              <w:tc>
                <w:tcPr>
                  <w:tcW w:w="1494" w:type="dxa"/>
                  <w:tcBorders>
                    <w:left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kern w:val="0"/>
                      <w:szCs w:val="21"/>
                      <w:highlight w:val="none"/>
                      <w:lang w:bidi="ar"/>
                    </w:rPr>
                    <w:t>昼间运行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single" w:color="000000" w:sz="4" w:space="0"/>
                  <w:bottom w:val="single" w:color="000000" w:sz="12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93" w:type="dxa"/>
                  <w:vMerge w:val="continue"/>
                  <w:tcBorders>
                    <w:left w:val="nil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15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5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kern w:val="0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风机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75</w:t>
                  </w:r>
                </w:p>
              </w:tc>
              <w:tc>
                <w:tcPr>
                  <w:tcW w:w="14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宋体"/>
                      <w:color w:val="auto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szCs w:val="21"/>
                      <w:highlight w:val="none"/>
                      <w:lang w:bidi="ar"/>
                    </w:rPr>
                    <w:t>中、高频</w:t>
                  </w:r>
                </w:p>
              </w:tc>
              <w:tc>
                <w:tcPr>
                  <w:tcW w:w="1494" w:type="dxa"/>
                  <w:tcBorders>
                    <w:left w:val="single" w:color="000000" w:sz="4" w:space="0"/>
                    <w:bottom w:val="single" w:color="000000" w:sz="12" w:space="0"/>
                    <w:right w:val="nil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宋体"/>
                      <w:color w:val="auto"/>
                      <w:kern w:val="0"/>
                      <w:szCs w:val="21"/>
                      <w:highlight w:val="none"/>
                      <w:lang w:bidi="ar"/>
                    </w:rPr>
                    <w:t>昼间运行</w:t>
                  </w:r>
                </w:p>
              </w:tc>
            </w:tr>
          </w:tbl>
          <w:p>
            <w:pPr>
              <w:tabs>
                <w:tab w:val="left" w:pos="21"/>
              </w:tabs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>-1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highlight w:val="none"/>
              </w:rPr>
              <w:t xml:space="preserve"> 噪声预测结果</w:t>
            </w:r>
          </w:p>
          <w:tbl>
            <w:tblPr>
              <w:tblStyle w:val="16"/>
              <w:tblW w:w="8539" w:type="dxa"/>
              <w:jc w:val="center"/>
              <w:tblInd w:w="0" w:type="dxa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none" w:color="auto" w:sz="0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35"/>
              <w:gridCol w:w="5504"/>
            </w:tblGrid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9" w:hRule="atLeast"/>
                <w:jc w:val="center"/>
              </w:trPr>
              <w:tc>
                <w:tcPr>
                  <w:tcW w:w="3035" w:type="dxa"/>
                  <w:vMerge w:val="restart"/>
                  <w:tcBorders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预测点</w:t>
                  </w:r>
                </w:p>
              </w:tc>
              <w:tc>
                <w:tcPr>
                  <w:tcW w:w="5504" w:type="dxa"/>
                  <w:tcBorders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贡献值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" w:hRule="atLeast"/>
                <w:jc w:val="center"/>
              </w:trPr>
              <w:tc>
                <w:tcPr>
                  <w:tcW w:w="3035" w:type="dxa"/>
                  <w:vMerge w:val="continue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5504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昼间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" w:hRule="atLeast"/>
                <w:jc w:val="center"/>
              </w:trPr>
              <w:tc>
                <w:tcPr>
                  <w:tcW w:w="3035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东侧厂界外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1m</w:t>
                  </w:r>
                </w:p>
              </w:tc>
              <w:tc>
                <w:tcPr>
                  <w:tcW w:w="5504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rFonts w:hint="default" w:ascii="Times New Roman" w:hAnsi="Times New Roman" w:eastAsia="宋体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  <w:t>54.29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2" w:hRule="atLeast"/>
                <w:jc w:val="center"/>
              </w:trPr>
              <w:tc>
                <w:tcPr>
                  <w:tcW w:w="3035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南侧厂界外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1m</w:t>
                  </w:r>
                </w:p>
              </w:tc>
              <w:tc>
                <w:tcPr>
                  <w:tcW w:w="5504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rFonts w:hint="default" w:ascii="Times New Roman" w:hAnsi="Times New Roman" w:eastAsia="宋体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  <w:t>44.57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" w:hRule="atLeast"/>
                <w:jc w:val="center"/>
              </w:trPr>
              <w:tc>
                <w:tcPr>
                  <w:tcW w:w="3035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西侧厂界外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1m</w:t>
                  </w:r>
                </w:p>
              </w:tc>
              <w:tc>
                <w:tcPr>
                  <w:tcW w:w="5504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rFonts w:hint="default" w:ascii="Times New Roman" w:hAnsi="Times New Roman" w:eastAsia="宋体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  <w:t>43.70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2" w:hRule="atLeast"/>
                <w:jc w:val="center"/>
              </w:trPr>
              <w:tc>
                <w:tcPr>
                  <w:tcW w:w="3035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color w:val="auto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北侧厂界外</w:t>
                  </w:r>
                  <w:r>
                    <w:rPr>
                      <w:rFonts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  <w:t>1m</w:t>
                  </w:r>
                </w:p>
              </w:tc>
              <w:tc>
                <w:tcPr>
                  <w:tcW w:w="5504" w:type="dxa"/>
                  <w:tcBorders>
                    <w:top w:val="single" w:color="000000" w:sz="12" w:space="0"/>
                    <w:bottom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15"/>
                    <w:adjustRightInd w:val="0"/>
                    <w:snapToGrid w:val="0"/>
                    <w:spacing w:before="0" w:beforeAutospacing="0" w:after="0" w:afterAutospacing="0"/>
                    <w:jc w:val="center"/>
                    <w:rPr>
                      <w:rFonts w:hint="default" w:ascii="Times New Roman" w:hAnsi="Times New Roman" w:eastAsia="宋体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val="en-US" w:eastAsia="zh-CN" w:bidi="ar"/>
                    </w:rPr>
                    <w:t>48.84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2" w:hRule="atLeast"/>
                <w:jc w:val="center"/>
              </w:trPr>
              <w:tc>
                <w:tcPr>
                  <w:tcW w:w="8539" w:type="dxa"/>
                  <w:gridSpan w:val="2"/>
                  <w:tcBorders>
                    <w:top w:val="single" w:color="000000" w:sz="12" w:space="0"/>
                  </w:tcBorders>
                  <w:noWrap w:val="0"/>
                  <w:vAlign w:val="center"/>
                </w:tcPr>
                <w:p>
                  <w:pPr>
                    <w:pStyle w:val="25"/>
                    <w:rPr>
                      <w:rFonts w:hint="eastAsia" w:ascii="Times New Roman" w:hAnsi="Times New Roman"/>
                      <w:color w:val="auto"/>
                      <w:sz w:val="21"/>
                      <w:szCs w:val="21"/>
                      <w:highlight w:val="none"/>
                      <w:lang w:bidi="ar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 w:val="18"/>
                      <w:szCs w:val="18"/>
                      <w:highlight w:val="none"/>
                      <w:lang w:val="en-GB" w:eastAsia="zh-CN"/>
                    </w:rPr>
                    <w:t>注：夜间不生产</w:t>
                  </w:r>
                </w:p>
              </w:tc>
            </w:tr>
          </w:tbl>
          <w:p>
            <w:pPr>
              <w:pStyle w:val="25"/>
              <w:jc w:val="center"/>
              <w:rPr>
                <w:rFonts w:hint="eastAsia"/>
                <w:color w:val="auto"/>
                <w:highlight w:val="none"/>
              </w:rPr>
            </w:pPr>
            <w:r>
              <w:drawing>
                <wp:inline distT="0" distB="0" distL="114300" distR="114300">
                  <wp:extent cx="5724525" cy="3933825"/>
                  <wp:effectExtent l="0" t="0" r="9525" b="9525"/>
                  <wp:docPr id="10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5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图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 xml:space="preserve"> 噪声预测等值线图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所以，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采用厂房隔声、基础减振等措施，限制噪声向外传播。生产中产生的噪声通过厂房隔声、厂区距离衰减后对外环境影响较小。项目采取减振、隔声、消声措施后，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昼间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厂界噪声可满足《工业企业厂界环境噪声排放标准》(GB12348-2008)中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类标准的要求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，项目夜间不生产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综上，本项目运营期对周围声环境影响较小。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rFonts w:hint="default" w:ascii="Times New Roman" w:hAnsi="Times New Roman" w:cs="Times New Roman" w:eastAsiaTheme="minorEastAsia"/>
                <w:b/>
                <w:bCs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</w:rPr>
              <w:t>4 固体废物环境影响分析</w:t>
            </w:r>
          </w:p>
          <w:p>
            <w:pPr>
              <w:spacing w:line="360" w:lineRule="auto"/>
              <w:ind w:firstLine="480" w:firstLineChars="200"/>
              <w:jc w:val="left"/>
            </w:pPr>
            <w:r>
              <w:t>本项目产生的一般固体废物主要为生产过程中产生的废包装袋、员工办公生活垃圾</w:t>
            </w:r>
            <w:r>
              <w:rPr>
                <w:rFonts w:hint="eastAsia"/>
              </w:rPr>
              <w:t>和除尘器收集到的粉尘</w:t>
            </w:r>
            <w:r>
              <w:t>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4.1、</w:t>
            </w:r>
            <w:r>
              <w:t>员工生活垃圾排放量按照0.4kg/人•日计算，员工</w:t>
            </w:r>
            <w:r>
              <w:rPr>
                <w:rFonts w:hint="eastAsia"/>
                <w:lang w:val="en-US" w:eastAsia="zh-CN"/>
              </w:rPr>
              <w:t>2</w:t>
            </w:r>
            <w:r>
              <w:t>0人，年工作</w:t>
            </w:r>
            <w:r>
              <w:rPr>
                <w:rFonts w:hint="eastAsia"/>
                <w:lang w:val="en-US" w:eastAsia="zh-CN"/>
              </w:rPr>
              <w:t>275</w:t>
            </w:r>
            <w:r>
              <w:t>天，本项目生活垃圾产生量</w:t>
            </w:r>
            <w:r>
              <w:rPr>
                <w:rFonts w:hint="eastAsia"/>
                <w:lang w:val="en-US" w:eastAsia="zh-CN"/>
              </w:rPr>
              <w:t xml:space="preserve">2.2 </w:t>
            </w:r>
            <w:r>
              <w:t>t/a；</w:t>
            </w:r>
            <w:r>
              <w:rPr>
                <w:rFonts w:hint="eastAsia"/>
                <w:lang w:eastAsia="zh-CN"/>
              </w:rPr>
              <w:t>由市政环卫部门统一收集处理，处理效果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4.2、</w:t>
            </w:r>
            <w:r>
              <w:t>废包装袋产量为</w:t>
            </w:r>
            <w:r>
              <w:rPr>
                <w:rFonts w:hint="eastAsia"/>
                <w:lang w:val="en-US" w:eastAsia="zh-CN"/>
              </w:rPr>
              <w:t xml:space="preserve">0.5 </w:t>
            </w:r>
            <w:r>
              <w:t>t/a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CN"/>
              </w:rPr>
              <w:t>外售综合利用，处理效果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4.3、</w:t>
            </w:r>
            <w:r>
              <w:rPr>
                <w:rFonts w:hint="eastAsia"/>
              </w:rPr>
              <w:t>除尘器收集到粉尘为</w:t>
            </w:r>
            <w:r>
              <w:rPr>
                <w:rFonts w:hint="eastAsia"/>
                <w:lang w:val="en-US" w:eastAsia="zh-CN"/>
              </w:rPr>
              <w:t xml:space="preserve">6.8845 </w:t>
            </w:r>
            <w:r>
              <w:rPr>
                <w:rFonts w:hint="eastAsia"/>
              </w:rPr>
              <w:t>t/a</w:t>
            </w:r>
            <w:r>
              <w:t>。</w:t>
            </w:r>
            <w:r>
              <w:rPr>
                <w:rFonts w:hint="eastAsia"/>
                <w:lang w:eastAsia="zh-CN"/>
              </w:rPr>
              <w:t>统一收集后，回用于生产，处理效果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4.4、废活性炭3t/a,</w:t>
            </w:r>
            <w:r>
              <w:rPr>
                <w:rFonts w:hint="eastAsia"/>
                <w:lang w:eastAsia="zh-CN"/>
              </w:rPr>
              <w:t>由市政环卫部门统一收集处理，处理效果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固体废物处置率100%，对环境影响较小。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82" w:firstLineChars="200"/>
              <w:jc w:val="both"/>
              <w:textAlignment w:val="auto"/>
              <w:rPr>
                <w:rFonts w:hint="default" w:asci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auto"/>
                <w:kern w:val="2"/>
                <w:sz w:val="24"/>
                <w:szCs w:val="22"/>
                <w:lang w:val="en-US" w:eastAsia="zh-CN" w:bidi="ar-SA"/>
              </w:rPr>
              <w:t>5.土壤评价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80" w:firstLineChars="200"/>
              <w:jc w:val="both"/>
              <w:textAlignment w:val="auto"/>
              <w:rPr>
                <w:rFonts w:hint="eastAsia" w:asci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cs="Times New Roman" w:eastAsiaTheme="minorEastAsia"/>
                <w:lang w:val="en-US" w:eastAsia="zh-CN"/>
              </w:rPr>
              <w:t>本项目为有机肥制造项目，属于《环境影响评价技术导则 土壤环境》（HJ964-2018）附录A中“制造业”中的“石油、化工”中的“其他”，属于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Ⅲ</w:t>
            </w:r>
            <w:r>
              <w:rPr>
                <w:rFonts w:hint="eastAsia" w:ascii="Times New Roman" w:cs="Times New Roman" w:eastAsiaTheme="minorEastAsia"/>
                <w:lang w:val="en-US" w:eastAsia="zh-CN"/>
              </w:rPr>
              <w:t>类项目。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</w:pPr>
            <w:r>
              <w:drawing>
                <wp:inline distT="0" distB="0" distL="114300" distR="114300">
                  <wp:extent cx="5219700" cy="1323975"/>
                  <wp:effectExtent l="0" t="0" r="0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9"/>
              <w:rPr>
                <w:rFonts w:hint="eastAsia" w:ascii="Times New Roman" w:hAnsi="宋体" w:eastAsia="宋体" w:cs="Times New Roman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本项目属于小型项目（≤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5hm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vertAlign w:val="superscript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），周边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0.05km范围内存在敏感目标农田，因此本项目为土壤三级评价。</w:t>
            </w:r>
            <w:r>
              <w:rPr>
                <w:rFonts w:hint="eastAsia" w:ascii="Times New Roman" w:hAnsi="宋体" w:eastAsia="宋体" w:cs="Times New Roman"/>
                <w:lang w:val="en-US" w:eastAsia="zh-CN"/>
              </w:rPr>
              <w:t>可知，本项目土壤为三级评价，评价范围为项目厂界外50m范围。根据</w:t>
            </w:r>
            <w:r>
              <w:rPr>
                <w:rFonts w:hint="eastAsia" w:ascii="Times New Roman" w:hAnsi="宋体" w:eastAsia="宋体" w:cs="Times New Roman"/>
                <w:lang w:eastAsia="zh-CN"/>
              </w:rPr>
              <w:t>《环境影响评价技术导则</w:t>
            </w:r>
            <w:r>
              <w:rPr>
                <w:rFonts w:hint="eastAsia" w:ascii="Times New Roman" w:hAnsi="宋体" w:eastAsia="宋体" w:cs="Times New Roman"/>
                <w:lang w:val="en-US" w:eastAsia="zh-CN"/>
              </w:rPr>
              <w:t>-土壤环境（试行）</w:t>
            </w:r>
            <w:r>
              <w:rPr>
                <w:rFonts w:hint="eastAsia" w:ascii="Times New Roman" w:hAnsi="宋体" w:eastAsia="宋体" w:cs="Times New Roman"/>
                <w:lang w:eastAsia="zh-CN"/>
              </w:rPr>
              <w:t>》（</w:t>
            </w:r>
            <w:r>
              <w:rPr>
                <w:rFonts w:hint="eastAsia" w:ascii="Times New Roman" w:hAnsi="宋体" w:eastAsia="宋体" w:cs="Times New Roman"/>
                <w:lang w:val="en-US" w:eastAsia="zh-CN"/>
              </w:rPr>
              <w:t>HJ964-2018</w:t>
            </w:r>
            <w:r>
              <w:rPr>
                <w:rFonts w:hint="eastAsia" w:ascii="Times New Roman" w:hAnsi="宋体" w:eastAsia="宋体" w:cs="Times New Roman"/>
                <w:lang w:eastAsia="zh-CN"/>
              </w:rPr>
              <w:t>），评价工作等级为三级的建设项目，可采取定性描述或类比法进行预测：</w:t>
            </w:r>
          </w:p>
          <w:p>
            <w:pPr>
              <w:pStyle w:val="29"/>
              <w:numPr>
                <w:ilvl w:val="0"/>
                <w:numId w:val="4"/>
              </w:numPr>
              <w:rPr>
                <w:rFonts w:hint="eastAsia" w:ascii="Times New Roman" w:hAnsi="宋体" w:eastAsia="宋体" w:cs="Times New Roman"/>
                <w:lang w:eastAsia="zh-CN"/>
              </w:rPr>
            </w:pPr>
            <w:r>
              <w:rPr>
                <w:rFonts w:hint="eastAsia" w:ascii="Times New Roman" w:hAnsi="宋体" w:eastAsia="宋体" w:cs="Times New Roman"/>
                <w:lang w:eastAsia="zh-CN"/>
              </w:rPr>
              <w:t>正常工况下项目对土壤环境影响分析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企业在营运期间，正常情况下无生产废水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员工生活污水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排入防渗旱厕，定期清掏，外运堆肥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；一般工业固体废物在综合利用的前提下均得到了妥善处置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；项目运行产生的废气经除尘器处理后达标排放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。因此，正常情况下本项目对土壤环境影响较小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left="0" w:leftChars="0" w:firstLine="480" w:firstLineChars="200"/>
              <w:jc w:val="both"/>
              <w:textAlignment w:val="auto"/>
              <w:rPr>
                <w:rFonts w:hint="eastAsia" w:ascii="Times New Roman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事故状态下项目对土壤环境影响分析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企业在营运期间，事故情况下，废水渗入地下、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生产粉尘随雨水也将渗入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地下，将对土壤产生污染，因此，本评价要求厂区要做好防渗，厂区范围内采用水泥硬化地面，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厂区车间地面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也采用水泥硬化处理，防止污水渗漏而污染土壤。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厂区内除尘器和其他抑尘设施要保证正常运行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。同时建设单位应加强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各个环保设施</w:t>
            </w:r>
            <w:r>
              <w:rPr>
                <w:rFonts w:hint="eastAsia" w:ascii="Times New Roman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的日常检查和维护等管理，</w:t>
            </w:r>
            <w:r>
              <w:rPr>
                <w:rFonts w:hint="eastAsia" w:ascii="Times New Roman" w:hAnsi="宋体" w:cs="Times New Roman"/>
                <w:kern w:val="2"/>
                <w:sz w:val="24"/>
                <w:szCs w:val="24"/>
                <w:lang w:val="en-US" w:eastAsia="zh-CN" w:bidi="ar-SA"/>
              </w:rPr>
              <w:t>确保整个生产过程达标排放。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通过调查类似工程，未发现土壤污染情况发生，根据土壤环境现状监测报告，本项目各项监测因子均满足《土壤环境质量 建设用地土壤污染风险管控标准（试行）》（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GB36600-2018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）表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中第二类用地筛选值，项目正常工况下对土壤环境影响较小，因此本项目建设可行。</w:t>
            </w:r>
          </w:p>
          <w:p>
            <w:pPr>
              <w:pStyle w:val="29"/>
              <w:spacing w:line="520" w:lineRule="exact"/>
              <w:ind w:firstLine="546"/>
              <w:rPr>
                <w:rFonts w:hint="eastAsia" w:ascii="Times New Roman" w:hAnsi="Times New Roman" w:cs="Times New Roman"/>
                <w:b/>
                <w:bCs/>
                <w:color w:val="auto"/>
                <w:szCs w:val="24"/>
                <w:highlight w:val="none"/>
              </w:rPr>
            </w:pPr>
            <w:r>
              <w:rPr>
                <w:rFonts w:hint="eastAsia" w:cs="Times New Roman"/>
                <w:b/>
                <w:bCs/>
                <w:color w:val="auto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cs="Times New Roman"/>
                <w:b/>
                <w:bCs/>
                <w:color w:val="auto"/>
                <w:szCs w:val="24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b/>
                <w:bCs/>
                <w:color w:val="auto"/>
                <w:szCs w:val="24"/>
                <w:highlight w:val="none"/>
              </w:rPr>
              <w:t>环境监测计划</w:t>
            </w:r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根据本次项目实际情况，评价建议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建设单位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定期委托有资质单位对项目运行进行日常监测工作。</w:t>
            </w:r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建设项目运营期环境监控主要目的是为了项目建成后的环境监测，防止污染事故发生，为环境管理提供依据，主要包括废气、噪声、固废监测。根据《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instrText xml:space="preserve"> HYPERLINK "http://kjs.mep.gov.cn/hjbhbz/bzwb/shjbh/xgbzh/201705/W020170511332490849000.pdf" </w:instrTex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separate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排污单位自行监测技术指南总则》(HJ819-2017)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确定本项目环境监测计划。</w:t>
            </w:r>
          </w:p>
          <w:p>
            <w:pPr>
              <w:pStyle w:val="29"/>
              <w:spacing w:line="520" w:lineRule="exact"/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</w:pPr>
            <w:bookmarkStart w:id="147" w:name="_Toc247188934"/>
            <w:bookmarkStart w:id="148" w:name="_Toc237487120"/>
            <w:r>
              <w:rPr>
                <w:rFonts w:hint="eastAsia" w:cs="Times New Roman"/>
                <w:color w:val="auto"/>
                <w:szCs w:val="24"/>
                <w:highlight w:val="none"/>
              </w:rPr>
              <w:t>（</w:t>
            </w:r>
            <w:r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  <w:t>1</w:t>
            </w:r>
            <w:r>
              <w:rPr>
                <w:rFonts w:hint="eastAsia" w:cs="Times New Roman"/>
                <w:color w:val="auto"/>
                <w:szCs w:val="24"/>
                <w:highlight w:val="none"/>
              </w:rPr>
              <w:t>）</w:t>
            </w:r>
            <w:r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  <w:t>主要监测内容</w:t>
            </w:r>
            <w:bookmarkEnd w:id="147"/>
            <w:bookmarkEnd w:id="148"/>
          </w:p>
          <w:p>
            <w:pPr>
              <w:adjustRightInd w:val="0"/>
              <w:spacing w:line="520" w:lineRule="exact"/>
              <w:ind w:firstLine="560"/>
              <w:rPr>
                <w:rFonts w:hint="eastAsia"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①废气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：</w:t>
            </w:r>
          </w:p>
          <w:p>
            <w:pPr>
              <w:adjustRightInd w:val="0"/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生产车间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：监测项目为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粉尘（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颗粒物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）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浓度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、氨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浓度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、硫化氢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浓度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和臭气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浓度；</w:t>
            </w:r>
          </w:p>
          <w:p>
            <w:pPr>
              <w:adjustRightInd w:val="0"/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②噪声：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厂界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外1m处的等效连续A声级。</w:t>
            </w:r>
          </w:p>
          <w:p>
            <w:pPr>
              <w:adjustRightInd w:val="0"/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③固废：固废分类处置情况实施检查。</w:t>
            </w:r>
          </w:p>
          <w:p>
            <w:pPr>
              <w:pStyle w:val="29"/>
              <w:spacing w:line="520" w:lineRule="exact"/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</w:pPr>
            <w:bookmarkStart w:id="149" w:name="_Toc237487121"/>
            <w:bookmarkStart w:id="150" w:name="_Toc247188935"/>
            <w:r>
              <w:rPr>
                <w:rFonts w:hint="eastAsia" w:cs="Times New Roman"/>
                <w:color w:val="auto"/>
                <w:szCs w:val="24"/>
                <w:highlight w:val="none"/>
              </w:rPr>
              <w:t>（</w:t>
            </w:r>
            <w:r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  <w:t>2</w:t>
            </w:r>
            <w:r>
              <w:rPr>
                <w:rFonts w:hint="eastAsia" w:cs="Times New Roman"/>
                <w:color w:val="auto"/>
                <w:szCs w:val="24"/>
                <w:highlight w:val="none"/>
              </w:rPr>
              <w:t>）</w:t>
            </w:r>
            <w:r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  <w:t>监测频率和点位</w:t>
            </w:r>
            <w:bookmarkEnd w:id="149"/>
            <w:bookmarkEnd w:id="150"/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①废气</w:t>
            </w:r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结合《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instrText xml:space="preserve"> HYPERLINK "http://kjs.mep.gov.cn/hjbhbz/bzwb/shjbh/xgbzh/201705/W020170511332490849000.pdf" </w:instrTex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separate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排污单位自行监测技术指南总则》(HJ819-2017)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，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有组织排放源的监测采样点应为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eastAsia="zh-CN"/>
              </w:rPr>
              <w:t>生产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废气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、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进入大气的排放口。经过治理的污染源监测点设在治理装置的排放口，并应设置永久性标志。</w:t>
            </w:r>
          </w:p>
          <w:p>
            <w:pPr>
              <w:spacing w:line="520" w:lineRule="exact"/>
              <w:ind w:firstLine="560"/>
              <w:rPr>
                <w:rFonts w:hint="eastAsia"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监测点位：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15m排气筒出口；</w:t>
            </w:r>
          </w:p>
          <w:p>
            <w:pPr>
              <w:spacing w:line="520" w:lineRule="exact"/>
              <w:ind w:firstLine="560"/>
              <w:rPr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②采样频率：相隔2h采一次，共采集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次，每季度监测1次。</w:t>
            </w:r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③噪声</w:t>
            </w:r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结合《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instrText xml:space="preserve"> HYPERLINK "http://kjs.mep.gov.cn/hjbhbz/bzwb/shjbh/xgbzh/201705/W020170511332490849000.pdf" </w:instrTex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separate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排污单位自行监测技术指南总则》(HJ819-2017)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，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厂界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外1m处设监测点，每季度监测1次。</w:t>
            </w:r>
          </w:p>
          <w:p>
            <w:pPr>
              <w:pStyle w:val="53"/>
              <w:spacing w:before="78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9</w:t>
            </w:r>
            <w:r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  <w:highlight w:val="none"/>
              </w:rPr>
              <w:t>-</w:t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highlight w:val="none"/>
              </w:rPr>
              <w:t>1</w:t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highlight w:val="none"/>
              </w:rPr>
              <w:t>环境监测计划一览表</w:t>
            </w:r>
          </w:p>
          <w:tbl>
            <w:tblPr>
              <w:tblStyle w:val="16"/>
              <w:tblW w:w="9064" w:type="dxa"/>
              <w:jc w:val="center"/>
              <w:tblInd w:w="0" w:type="dxa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2"/>
              <w:gridCol w:w="730"/>
              <w:gridCol w:w="2459"/>
              <w:gridCol w:w="2728"/>
              <w:gridCol w:w="2515"/>
            </w:tblGrid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632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序号</w:t>
                  </w:r>
                </w:p>
              </w:tc>
              <w:tc>
                <w:tcPr>
                  <w:tcW w:w="730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环境要素</w:t>
                  </w:r>
                </w:p>
              </w:tc>
              <w:tc>
                <w:tcPr>
                  <w:tcW w:w="2459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监测项目</w:t>
                  </w:r>
                </w:p>
              </w:tc>
              <w:tc>
                <w:tcPr>
                  <w:tcW w:w="2728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监测点</w:t>
                  </w:r>
                </w:p>
              </w:tc>
              <w:tc>
                <w:tcPr>
                  <w:tcW w:w="2515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监测时间和频率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89" w:hRule="atLeast"/>
                <w:jc w:val="center"/>
              </w:trPr>
              <w:tc>
                <w:tcPr>
                  <w:tcW w:w="632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1</w:t>
                  </w:r>
                </w:p>
              </w:tc>
              <w:tc>
                <w:tcPr>
                  <w:tcW w:w="730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废气</w:t>
                  </w:r>
                </w:p>
              </w:tc>
              <w:tc>
                <w:tcPr>
                  <w:tcW w:w="2459" w:type="dxa"/>
                  <w:tcBorders>
                    <w:bottom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颗粒物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  <w:t>、氨、硫化氢、臭气</w:t>
                  </w:r>
                </w:p>
              </w:tc>
              <w:tc>
                <w:tcPr>
                  <w:tcW w:w="2728" w:type="dxa"/>
                  <w:tcBorders>
                    <w:bottom w:val="sing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color w:val="auto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生产车间</w:t>
                  </w:r>
                  <w:r>
                    <w:rPr>
                      <w:color w:val="auto"/>
                      <w:highlight w:val="none"/>
                    </w:rPr>
                    <w:t>排气筒取样口</w:t>
                  </w:r>
                </w:p>
                <w:p>
                  <w:pPr>
                    <w:pStyle w:val="25"/>
                    <w:rPr>
                      <w:color w:val="auto"/>
                      <w:highlight w:val="none"/>
                    </w:rPr>
                  </w:pPr>
                </w:p>
              </w:tc>
              <w:tc>
                <w:tcPr>
                  <w:tcW w:w="2515" w:type="dxa"/>
                  <w:tcBorders>
                    <w:bottom w:val="single" w:color="auto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每2小时采样1次，共采集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3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次。每季度监测1次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632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2</w:t>
                  </w:r>
                </w:p>
              </w:tc>
              <w:tc>
                <w:tcPr>
                  <w:tcW w:w="730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声环境</w:t>
                  </w:r>
                </w:p>
              </w:tc>
              <w:tc>
                <w:tcPr>
                  <w:tcW w:w="2459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噪声</w:t>
                  </w:r>
                </w:p>
              </w:tc>
              <w:tc>
                <w:tcPr>
                  <w:tcW w:w="2728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Cs w:val="21"/>
                      <w:highlight w:val="none"/>
                    </w:rPr>
                    <w:t>厂界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外1m处设监测点</w:t>
                  </w:r>
                </w:p>
              </w:tc>
              <w:tc>
                <w:tcPr>
                  <w:tcW w:w="2515" w:type="dxa"/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每季度监测1次，每次连续2天，昼夜各2次</w:t>
                  </w:r>
                </w:p>
              </w:tc>
            </w:tr>
          </w:tbl>
          <w:p>
            <w:pPr>
              <w:pStyle w:val="29"/>
              <w:spacing w:before="156" w:line="520" w:lineRule="exact"/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4"/>
                <w:highlight w:val="none"/>
              </w:rPr>
              <w:t>（</w:t>
            </w:r>
            <w:r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  <w:t>3</w:t>
            </w:r>
            <w:r>
              <w:rPr>
                <w:rFonts w:hint="eastAsia" w:ascii="Times New Roman" w:hAnsi="Times New Roman" w:cs="Times New Roman"/>
                <w:color w:val="auto"/>
                <w:szCs w:val="24"/>
                <w:highlight w:val="none"/>
              </w:rPr>
              <w:t>）</w:t>
            </w:r>
            <w:r>
              <w:rPr>
                <w:rFonts w:ascii="Times New Roman" w:hAnsi="Times New Roman" w:cs="Times New Roman"/>
                <w:color w:val="auto"/>
                <w:szCs w:val="24"/>
                <w:highlight w:val="none"/>
              </w:rPr>
              <w:t>监测分析方法</w:t>
            </w:r>
          </w:p>
          <w:p>
            <w:pPr>
              <w:spacing w:line="520" w:lineRule="exact"/>
              <w:ind w:firstLine="56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本项目监测分析方法见表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-1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。</w:t>
            </w:r>
          </w:p>
          <w:p>
            <w:pPr>
              <w:pStyle w:val="53"/>
              <w:spacing w:before="78"/>
              <w:rPr>
                <w:rFonts w:ascii="Times New Roman" w:hAnsi="Times New Roman" w:eastAsia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highlight w:val="none"/>
              </w:rPr>
              <w:t>-1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/>
                <w:color w:val="auto"/>
                <w:sz w:val="24"/>
                <w:szCs w:val="24"/>
                <w:highlight w:val="none"/>
              </w:rPr>
              <w:t>监测分析方法</w:t>
            </w:r>
          </w:p>
          <w:tbl>
            <w:tblPr>
              <w:tblStyle w:val="16"/>
              <w:tblW w:w="9017" w:type="dxa"/>
              <w:jc w:val="center"/>
              <w:tblInd w:w="0" w:type="dxa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9"/>
              <w:gridCol w:w="1196"/>
              <w:gridCol w:w="2403"/>
              <w:gridCol w:w="4279"/>
            </w:tblGrid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139" w:type="dxa"/>
                  <w:tcBorders>
                    <w:top w:val="single" w:color="000000" w:sz="12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序号</w:t>
                  </w:r>
                </w:p>
              </w:tc>
              <w:tc>
                <w:tcPr>
                  <w:tcW w:w="1196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环境要素</w:t>
                  </w:r>
                </w:p>
              </w:tc>
              <w:tc>
                <w:tcPr>
                  <w:tcW w:w="2403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监测项目</w:t>
                  </w:r>
                </w:p>
              </w:tc>
              <w:tc>
                <w:tcPr>
                  <w:tcW w:w="4279" w:type="dxa"/>
                  <w:tcBorders>
                    <w:top w:val="single" w:color="000000" w:sz="12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监测分析方法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139" w:type="dxa"/>
                  <w:vMerge w:val="restart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1</w:t>
                  </w:r>
                </w:p>
              </w:tc>
              <w:tc>
                <w:tcPr>
                  <w:tcW w:w="1196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废气</w:t>
                  </w:r>
                </w:p>
              </w:tc>
              <w:tc>
                <w:tcPr>
                  <w:tcW w:w="2403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颗粒物</w:t>
                  </w:r>
                </w:p>
              </w:tc>
              <w:tc>
                <w:tcPr>
                  <w:tcW w:w="4279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重量法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139" w:type="dxa"/>
                  <w:vMerge w:val="continue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196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2403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氨</w:t>
                  </w:r>
                </w:p>
              </w:tc>
              <w:tc>
                <w:tcPr>
                  <w:tcW w:w="4279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shd w:val="clear" w:color="auto" w:fill="auto"/>
                    <w:spacing w:line="24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环境空气和废气 氨的测定 纳氏试剂分光光度法HJ 533-2009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139" w:type="dxa"/>
                  <w:vMerge w:val="continue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196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2403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硫化氢</w:t>
                  </w:r>
                </w:p>
              </w:tc>
              <w:tc>
                <w:tcPr>
                  <w:tcW w:w="4279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shd w:val="clear" w:color="auto" w:fill="auto"/>
                    <w:spacing w:line="24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亚甲基蓝分光光度法《空气和废气监测分析方法》（第四版增补版）国家环境保护总局（2003）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7" w:hRule="atLeast"/>
                <w:jc w:val="center"/>
              </w:trPr>
              <w:tc>
                <w:tcPr>
                  <w:tcW w:w="1139" w:type="dxa"/>
                  <w:vMerge w:val="continue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196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2403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Times New Roman" w:hAnsi="Times New Roman" w:eastAsiaTheme="minorEastAsia"/>
                      <w:color w:val="auto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臭气浓度</w:t>
                  </w:r>
                </w:p>
              </w:tc>
              <w:tc>
                <w:tcPr>
                  <w:tcW w:w="4279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shd w:val="clear" w:color="auto" w:fill="auto"/>
                    <w:spacing w:line="240" w:lineRule="auto"/>
                    <w:jc w:val="center"/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 xml:space="preserve">空气质量 恶臭的测定 三点比较式臭袋法 </w:t>
                  </w:r>
                </w:p>
                <w:p>
                  <w:pPr>
                    <w:shd w:val="clear" w:color="auto" w:fill="auto"/>
                    <w:spacing w:line="240" w:lineRule="auto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GB/T 14675-1993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139" w:type="dxa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2</w:t>
                  </w:r>
                </w:p>
              </w:tc>
              <w:tc>
                <w:tcPr>
                  <w:tcW w:w="119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噪声</w:t>
                  </w:r>
                </w:p>
              </w:tc>
              <w:tc>
                <w:tcPr>
                  <w:tcW w:w="240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设备间外噪声</w:t>
                  </w:r>
                </w:p>
              </w:tc>
              <w:tc>
                <w:tcPr>
                  <w:tcW w:w="4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nil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《工业企业厂界环境噪声排放标准》（GB12348-2008）中</w:t>
                  </w:r>
                  <w:r>
                    <w:rPr>
                      <w:rFonts w:hint="eastAsia"/>
                      <w:color w:val="auto"/>
                      <w:szCs w:val="21"/>
                      <w:highlight w:val="none"/>
                      <w:lang w:val="en-US" w:eastAsia="zh-CN"/>
                    </w:rPr>
                    <w:t>1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类标准</w:t>
                  </w:r>
                </w:p>
              </w:tc>
            </w:tr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139" w:type="dxa"/>
                  <w:tcBorders>
                    <w:top w:val="single" w:color="000000" w:sz="4" w:space="0"/>
                    <w:left w:val="nil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3</w:t>
                  </w:r>
                </w:p>
              </w:tc>
              <w:tc>
                <w:tcPr>
                  <w:tcW w:w="119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固体废物</w:t>
                  </w:r>
                </w:p>
              </w:tc>
              <w:tc>
                <w:tcPr>
                  <w:tcW w:w="240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一般固废</w:t>
                  </w:r>
                </w:p>
              </w:tc>
              <w:tc>
                <w:tcPr>
                  <w:tcW w:w="4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12" w:space="0"/>
                    <w:right w:val="nil"/>
                  </w:tcBorders>
                  <w:noWrap w:val="0"/>
                  <w:vAlign w:val="center"/>
                </w:tcPr>
                <w:p>
                  <w:pPr>
                    <w:pStyle w:val="45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每年统计一次</w:t>
                  </w:r>
                </w:p>
              </w:tc>
            </w:tr>
          </w:tbl>
          <w:p>
            <w:pPr>
              <w:pStyle w:val="25"/>
              <w:jc w:val="both"/>
              <w:rPr>
                <w:rFonts w:hint="default"/>
              </w:rPr>
            </w:pPr>
          </w:p>
          <w:p>
            <w:pPr>
              <w:spacing w:line="360" w:lineRule="auto"/>
              <w:ind w:firstLine="482" w:firstLineChars="200"/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b/>
                <w:color w:val="auto"/>
                <w:sz w:val="24"/>
                <w:highlight w:val="none"/>
                <w:lang w:val="en-US" w:eastAsia="zh-CN"/>
              </w:rPr>
              <w:t>7</w:t>
            </w:r>
            <w:r>
              <w:rPr>
                <w:rFonts w:hint="eastAsia" w:ascii="Times New Roman" w:hAnsi="Times New Roman"/>
                <w:b/>
                <w:color w:val="auto"/>
                <w:sz w:val="24"/>
                <w:highlight w:val="none"/>
              </w:rPr>
              <w:t>、</w:t>
            </w:r>
            <w:r>
              <w:rPr>
                <w:rFonts w:ascii="Times New Roman" w:hAnsi="Times New Roman"/>
                <w:b/>
                <w:color w:val="auto"/>
                <w:sz w:val="24"/>
                <w:highlight w:val="none"/>
              </w:rPr>
              <w:t>环保设施竣工验收建议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（一）验收范围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1、与本工程有关的各项环境保护设施，包括污染防治措施和保护环境所建成的配套工程、设备、装置和监测手段，各项生态保护设施等。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2、本报告规定应采取的其他各项环保措施。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/>
                <w:color w:val="auto"/>
                <w:sz w:val="24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（二）验收清单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highlight w:val="none"/>
              </w:rPr>
              <w:t>该项目所涉及到的各项环保措施必须按照“三同时”的要求落实到位，各项环保措施“三同时”验收详见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1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highlight w:val="none"/>
              </w:rPr>
              <w:t>。</w:t>
            </w:r>
          </w:p>
          <w:p>
            <w:pPr>
              <w:pStyle w:val="54"/>
              <w:adjustRightInd w:val="0"/>
              <w:snapToGrid w:val="0"/>
              <w:spacing w:line="500" w:lineRule="exact"/>
              <w:ind w:firstLine="0"/>
              <w:jc w:val="center"/>
              <w:rPr>
                <w:color w:val="auto"/>
                <w:highlight w:val="none"/>
              </w:rPr>
            </w:pP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ascii="Times New Roman" w:hAnsi="Times New Roman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1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4"/>
                <w:highlight w:val="none"/>
              </w:rPr>
              <w:t xml:space="preserve"> 环保措施“三同时”验收一览表</w:t>
            </w:r>
          </w:p>
          <w:tbl>
            <w:tblPr>
              <w:tblStyle w:val="16"/>
              <w:tblW w:w="8855" w:type="dxa"/>
              <w:jc w:val="center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8"/>
              <w:gridCol w:w="1061"/>
              <w:gridCol w:w="3633"/>
              <w:gridCol w:w="1364"/>
              <w:gridCol w:w="2199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598" w:type="dxa"/>
                  <w:tcBorders>
                    <w:top w:val="single" w:color="auto" w:sz="12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  <w:t>序号</w:t>
                  </w:r>
                </w:p>
              </w:tc>
              <w:tc>
                <w:tcPr>
                  <w:tcW w:w="1061" w:type="dxa"/>
                  <w:tcBorders>
                    <w:top w:val="single" w:color="auto" w:sz="12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  <w:t>类</w:t>
                  </w:r>
                </w:p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  <w:t>别</w:t>
                  </w:r>
                </w:p>
              </w:tc>
              <w:tc>
                <w:tcPr>
                  <w:tcW w:w="3633" w:type="dxa"/>
                  <w:tcBorders>
                    <w:top w:val="single" w:color="auto" w:sz="12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  <w:t>治理方案</w:t>
                  </w:r>
                </w:p>
              </w:tc>
              <w:tc>
                <w:tcPr>
                  <w:tcW w:w="1364" w:type="dxa"/>
                  <w:tcBorders>
                    <w:top w:val="single" w:color="auto" w:sz="12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  <w:t>监测点位</w:t>
                  </w:r>
                </w:p>
              </w:tc>
              <w:tc>
                <w:tcPr>
                  <w:tcW w:w="2199" w:type="dxa"/>
                  <w:tcBorders>
                    <w:top w:val="single" w:color="auto" w:sz="12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b/>
                      <w:bCs/>
                      <w:color w:val="auto"/>
                      <w:szCs w:val="21"/>
                      <w:highlight w:val="none"/>
                    </w:rPr>
                    <w:t>验收标准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598" w:type="dxa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  <w:t>1</w:t>
                  </w:r>
                </w:p>
              </w:tc>
              <w:tc>
                <w:tcPr>
                  <w:tcW w:w="1061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废水治理措施</w:t>
                  </w: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防渗旱厕定期清掏外运堆肥</w:t>
                  </w:r>
                </w:p>
              </w:tc>
              <w:tc>
                <w:tcPr>
                  <w:tcW w:w="1364" w:type="dxa"/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Cs w:val="21"/>
                      <w:highlight w:val="none"/>
                    </w:rPr>
                    <w:t>/</w:t>
                  </w:r>
                </w:p>
              </w:tc>
              <w:tc>
                <w:tcPr>
                  <w:tcW w:w="2199" w:type="dxa"/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szCs w:val="21"/>
                      <w:highlight w:val="none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8" w:hRule="atLeast"/>
                <w:jc w:val="center"/>
              </w:trPr>
              <w:tc>
                <w:tcPr>
                  <w:tcW w:w="598" w:type="dxa"/>
                  <w:vMerge w:val="restart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  <w:t>2</w:t>
                  </w:r>
                </w:p>
              </w:tc>
              <w:tc>
                <w:tcPr>
                  <w:tcW w:w="1061" w:type="dxa"/>
                  <w:vMerge w:val="restart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废气治理措施</w:t>
                  </w: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lang w:eastAsia="zh-CN"/>
                    </w:rPr>
                    <w:t>产尘工序</w:t>
                  </w:r>
                  <w:r>
                    <w:rPr>
                      <w:rFonts w:hint="eastAsia"/>
                      <w:color w:val="auto"/>
                      <w:highlight w:val="none"/>
                    </w:rPr>
                    <w:t>安装</w:t>
                  </w:r>
                  <w:r>
                    <w:rPr>
                      <w:color w:val="auto"/>
                      <w:highlight w:val="none"/>
                    </w:rPr>
                    <w:t>布袋除尘器（除尘效率为99%）处理，由一根高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  <w:color w:val="auto"/>
                      <w:highlight w:val="none"/>
                    </w:rPr>
                    <w:t>5 m的</w:t>
                  </w:r>
                  <w:r>
                    <w:rPr>
                      <w:color w:val="auto"/>
                      <w:highlight w:val="none"/>
                    </w:rPr>
                    <w:t>排气筒排放</w:t>
                  </w:r>
                  <w:r>
                    <w:rPr>
                      <w:rFonts w:hint="eastAsia"/>
                      <w:color w:val="auto"/>
                      <w:highlight w:val="none"/>
                    </w:rPr>
                    <w:t>。</w:t>
                  </w:r>
                </w:p>
              </w:tc>
              <w:tc>
                <w:tcPr>
                  <w:tcW w:w="1364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  <w:t>排气筒出口</w:t>
                  </w:r>
                </w:p>
              </w:tc>
              <w:tc>
                <w:tcPr>
                  <w:tcW w:w="2199" w:type="dxa"/>
                  <w:noWrap w:val="0"/>
                  <w:vAlign w:val="center"/>
                </w:tcPr>
                <w:tbl>
                  <w:tblPr>
                    <w:tblStyle w:val="16"/>
                    <w:tblW w:w="2199" w:type="dxa"/>
                    <w:jc w:val="center"/>
                    <w:tblInd w:w="0" w:type="dxa"/>
                    <w:tblBorders>
                      <w:top w:val="single" w:color="auto" w:sz="4" w:space="0"/>
                      <w:left w:val="none" w:color="auto" w:sz="0" w:space="0"/>
                      <w:bottom w:val="single" w:color="auto" w:sz="4" w:space="0"/>
                      <w:right w:val="none" w:color="auto" w:sz="0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199"/>
                  </w:tblGrid>
                  <w:tr>
                    <w:tblPrEx>
                      <w:tblBorders>
                        <w:top w:val="single" w:color="auto" w:sz="4" w:space="0"/>
                        <w:left w:val="none" w:color="auto" w:sz="0" w:space="0"/>
                        <w:bottom w:val="single" w:color="auto" w:sz="4" w:space="0"/>
                        <w:right w:val="none" w:color="auto" w:sz="0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73" w:hRule="atLeast"/>
                      <w:jc w:val="center"/>
                    </w:trPr>
                    <w:tc>
                      <w:tcPr>
                        <w:tcW w:w="2199" w:type="dxa"/>
                        <w:noWrap w:val="0"/>
                        <w:vAlign w:val="center"/>
                      </w:tcPr>
                      <w:p>
                        <w:pPr>
                          <w:jc w:val="left"/>
                          <w:rPr>
                            <w:rFonts w:ascii="Times New Roman" w:hAnsi="Times New Roman"/>
                            <w:color w:val="auto"/>
                            <w:szCs w:val="21"/>
                            <w:highlight w:val="none"/>
                          </w:rPr>
                        </w:pPr>
                        <w:r>
                          <w:rPr>
                            <w:color w:val="auto"/>
                            <w:highlight w:val="none"/>
                          </w:rPr>
                          <w:t>《大气污染物综合排放标准》（GB16297-1996）表2中二级标准限值以及无组织排放监控浓度限值要求</w:t>
                        </w:r>
                      </w:p>
                    </w:tc>
                  </w:tr>
                </w:tbl>
                <w:p>
                  <w:pPr>
                    <w:ind w:firstLine="480" w:firstLineChars="200"/>
                    <w:jc w:val="left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3" w:hRule="atLeast"/>
                <w:jc w:val="center"/>
              </w:trPr>
              <w:tc>
                <w:tcPr>
                  <w:tcW w:w="598" w:type="dxa"/>
                  <w:vMerge w:val="continue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61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堆肥废气经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RW酵素剂除臭+集气罩负压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收集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+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活性炭吸附处理后，经同一个根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15m排气筒排放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。</w:t>
                  </w:r>
                </w:p>
              </w:tc>
              <w:tc>
                <w:tcPr>
                  <w:tcW w:w="1364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  <w:t>排气筒出口</w:t>
                  </w:r>
                </w:p>
              </w:tc>
              <w:tc>
                <w:tcPr>
                  <w:tcW w:w="2199" w:type="dxa"/>
                  <w:noWrap w:val="0"/>
                  <w:vAlign w:val="center"/>
                </w:tcPr>
                <w:p>
                  <w:pPr>
                    <w:jc w:val="left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达到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《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恶臭污染物排放标准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》（GB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14554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-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val="en-US" w:eastAsia="zh-CN"/>
                    </w:rPr>
                    <w:t>93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）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  <w:lang w:eastAsia="zh-CN"/>
                    </w:rPr>
                    <w:t>排放二级</w:t>
                  </w:r>
                  <w:r>
                    <w:rPr>
                      <w:rFonts w:ascii="Times New Roman" w:hAnsi="Times New Roman" w:eastAsia="宋体"/>
                      <w:color w:val="auto"/>
                      <w:highlight w:val="none"/>
                    </w:rPr>
                    <w:t>标准限值要求</w:t>
                  </w:r>
                  <w:r>
                    <w:rPr>
                      <w:rFonts w:hint="eastAsia" w:ascii="Times New Roman" w:hAnsi="Times New Roman" w:eastAsia="宋体"/>
                      <w:color w:val="auto"/>
                      <w:highlight w:val="none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598" w:type="dxa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  <w:t>3</w:t>
                  </w:r>
                </w:p>
              </w:tc>
              <w:tc>
                <w:tcPr>
                  <w:tcW w:w="1061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噪声治理措施</w:t>
                  </w: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选用低噪声设备，对设备采取减振、隔声措施，加强设备养护管理，设禁鸣、限速标志，同时减少夜间交通运输活动，夜间严禁鸣笛</w:t>
                  </w:r>
                </w:p>
              </w:tc>
              <w:tc>
                <w:tcPr>
                  <w:tcW w:w="1364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  <w:t>厂界</w:t>
                  </w:r>
                </w:p>
              </w:tc>
              <w:tc>
                <w:tcPr>
                  <w:tcW w:w="2199" w:type="dxa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满足《工业企业厂界环境噪声排放标准》（GB12348-2008）</w:t>
                  </w: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  <w:lang w:val="en-US" w:eastAsia="zh-CN"/>
                    </w:rPr>
                    <w:t>1</w:t>
                  </w: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类标准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598" w:type="dxa"/>
                  <w:vMerge w:val="restart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  <w:t>4</w:t>
                  </w:r>
                </w:p>
              </w:tc>
              <w:tc>
                <w:tcPr>
                  <w:tcW w:w="1061" w:type="dxa"/>
                  <w:vMerge w:val="restart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  <w:t>固废处理措施</w:t>
                  </w: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spacing w:line="28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highlight w:val="none"/>
                    </w:rPr>
                    <w:t>粉尘回收利用</w:t>
                  </w:r>
                </w:p>
              </w:tc>
              <w:tc>
                <w:tcPr>
                  <w:tcW w:w="1364" w:type="dxa"/>
                  <w:vMerge w:val="restart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hint="eastAsia" w:ascii="Times New Roman" w:hAnsi="Times New Roman"/>
                      <w:bCs/>
                      <w:color w:val="auto"/>
                      <w:szCs w:val="21"/>
                      <w:highlight w:val="none"/>
                    </w:rPr>
                    <w:t>/</w:t>
                  </w:r>
                </w:p>
              </w:tc>
              <w:tc>
                <w:tcPr>
                  <w:tcW w:w="2199" w:type="dxa"/>
                  <w:vMerge w:val="restart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  <w:t>处置率100%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598" w:type="dxa"/>
                  <w:vMerge w:val="continue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61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pStyle w:val="32"/>
                    <w:spacing w:line="0" w:lineRule="atLeast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Cs w:val="21"/>
                      <w:highlight w:val="none"/>
                    </w:rPr>
                    <w:t>生活垃圾由环卫部门统一处理</w:t>
                  </w:r>
                </w:p>
              </w:tc>
              <w:tc>
                <w:tcPr>
                  <w:tcW w:w="1364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2199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598" w:type="dxa"/>
                  <w:vMerge w:val="continue"/>
                  <w:noWrap w:val="0"/>
                  <w:vAlign w:val="top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1061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3633" w:type="dxa"/>
                  <w:noWrap w:val="0"/>
                  <w:vAlign w:val="center"/>
                </w:tcPr>
                <w:p>
                  <w:pPr>
                    <w:pStyle w:val="32"/>
                    <w:spacing w:line="0" w:lineRule="atLeast"/>
                    <w:rPr>
                      <w:rFonts w:ascii="Times New Roman" w:hAnsi="Times New Roman"/>
                      <w:color w:val="auto"/>
                      <w:szCs w:val="21"/>
                      <w:highlight w:val="none"/>
                    </w:rPr>
                  </w:pPr>
                  <w:r>
                    <w:rPr>
                      <w:rFonts w:ascii="Times New Roman" w:hAnsi="Times New Roman"/>
                      <w:b w:val="0"/>
                      <w:bCs/>
                      <w:color w:val="auto"/>
                      <w:szCs w:val="21"/>
                      <w:highlight w:val="none"/>
                    </w:rPr>
                    <w:t>废包装袋</w:t>
                  </w:r>
                  <w:r>
                    <w:rPr>
                      <w:rFonts w:hint="eastAsia" w:ascii="Times New Roman" w:hAnsi="Times New Roman"/>
                      <w:b w:val="0"/>
                      <w:color w:val="auto"/>
                      <w:szCs w:val="21"/>
                      <w:highlight w:val="none"/>
                    </w:rPr>
                    <w:t>统一外售</w:t>
                  </w:r>
                </w:p>
              </w:tc>
              <w:tc>
                <w:tcPr>
                  <w:tcW w:w="1364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  <w:tc>
                <w:tcPr>
                  <w:tcW w:w="2199" w:type="dxa"/>
                  <w:vMerge w:val="continue"/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Times New Roman" w:hAnsi="Times New Roman"/>
                      <w:bCs/>
                      <w:color w:val="auto"/>
                      <w:szCs w:val="21"/>
                      <w:highlight w:val="none"/>
                    </w:rPr>
                  </w:pPr>
                </w:p>
              </w:tc>
            </w:tr>
          </w:tbl>
          <w:p>
            <w:pPr>
              <w:spacing w:line="500" w:lineRule="exact"/>
              <w:rPr>
                <w:rFonts w:ascii="Times New Roman" w:hAnsi="Times New Roman"/>
                <w:snapToGrid w:val="0"/>
                <w:color w:val="auto"/>
                <w:kern w:val="0"/>
                <w:sz w:val="24"/>
                <w:highlight w:val="none"/>
              </w:rPr>
            </w:pPr>
          </w:p>
          <w:p>
            <w:pPr>
              <w:pStyle w:val="9"/>
              <w:pageBreakBefore w:val="0"/>
              <w:kinsoku/>
              <w:wordWrap/>
              <w:overflowPunct/>
              <w:topLinePunct w:val="0"/>
              <w:bidi w:val="0"/>
              <w:spacing w:after="0" w:line="360" w:lineRule="auto"/>
              <w:ind w:left="0" w:leftChars="0" w:right="0" w:firstLine="480" w:firstLineChars="200"/>
            </w:pPr>
          </w:p>
          <w:p>
            <w:pPr>
              <w:pStyle w:val="9"/>
              <w:pageBreakBefore w:val="0"/>
              <w:kinsoku/>
              <w:wordWrap/>
              <w:overflowPunct/>
              <w:topLinePunct w:val="0"/>
              <w:bidi w:val="0"/>
              <w:spacing w:after="0" w:line="360" w:lineRule="auto"/>
              <w:ind w:left="0" w:leftChars="0" w:right="0" w:firstLine="480" w:firstLineChars="200"/>
            </w:pPr>
          </w:p>
        </w:tc>
      </w:tr>
    </w:tbl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151" w:name="_Toc243216981"/>
      <w:bookmarkStart w:id="152" w:name="_Toc206692027"/>
      <w:bookmarkStart w:id="153" w:name="_Toc228024766"/>
      <w:bookmarkStart w:id="154" w:name="_Toc238101355"/>
      <w:bookmarkStart w:id="155" w:name="_Toc7450"/>
      <w:bookmarkStart w:id="156" w:name="_Toc477165783"/>
      <w:bookmarkStart w:id="157" w:name="_Toc291591457"/>
      <w:bookmarkStart w:id="158" w:name="_Toc206686299"/>
      <w:bookmarkStart w:id="159" w:name="_Toc12209_WPSOffice_Level1"/>
      <w:r>
        <w:rPr>
          <w:rFonts w:hint="eastAsia" w:ascii="Times New Roman" w:hAnsi="Times New Roman" w:eastAsia="宋体"/>
          <w:sz w:val="30"/>
          <w:szCs w:val="30"/>
        </w:rPr>
        <w:t>十、</w:t>
      </w:r>
      <w:r>
        <w:rPr>
          <w:rFonts w:ascii="Times New Roman" w:hAnsi="Times New Roman" w:eastAsia="宋体"/>
          <w:sz w:val="30"/>
          <w:szCs w:val="30"/>
        </w:rPr>
        <w:t>建设项目拟采取的防治措施及预期效果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Style w:val="16"/>
        <w:tblW w:w="822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"/>
        <w:gridCol w:w="793"/>
        <w:gridCol w:w="900"/>
        <w:gridCol w:w="1222"/>
        <w:gridCol w:w="2298"/>
        <w:gridCol w:w="189"/>
        <w:gridCol w:w="1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024" w:type="dxa"/>
            <w:tcBorders>
              <w:tl2br w:val="single" w:color="auto" w:sz="4" w:space="0"/>
            </w:tcBorders>
          </w:tcPr>
          <w:p>
            <w:pPr>
              <w:pStyle w:val="12"/>
              <w:tabs>
                <w:tab w:val="clear" w:pos="4153"/>
                <w:tab w:val="clear" w:pos="8306"/>
              </w:tabs>
              <w:snapToGrid/>
              <w:spacing w:line="320" w:lineRule="exact"/>
              <w:ind w:firstLine="360" w:firstLineChars="15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  <w:p>
            <w:pPr>
              <w:pStyle w:val="12"/>
              <w:tabs>
                <w:tab w:val="clear" w:pos="4153"/>
                <w:tab w:val="clear" w:pos="8306"/>
              </w:tabs>
              <w:snapToGrid/>
              <w:spacing w:line="320" w:lineRule="exact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93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运行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时段</w:t>
            </w:r>
          </w:p>
        </w:tc>
        <w:tc>
          <w:tcPr>
            <w:tcW w:w="900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排放源</w:t>
            </w: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污染物名称</w:t>
            </w:r>
          </w:p>
        </w:tc>
        <w:tc>
          <w:tcPr>
            <w:tcW w:w="229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防治措施</w:t>
            </w:r>
          </w:p>
        </w:tc>
        <w:tc>
          <w:tcPr>
            <w:tcW w:w="1986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预期治理效果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1" w:hRule="atLeast"/>
        </w:trPr>
        <w:tc>
          <w:tcPr>
            <w:tcW w:w="1024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大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气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污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染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</w:t>
            </w:r>
          </w:p>
        </w:tc>
        <w:tc>
          <w:tcPr>
            <w:tcW w:w="793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运营期</w:t>
            </w:r>
          </w:p>
        </w:tc>
        <w:tc>
          <w:tcPr>
            <w:tcW w:w="900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生产区</w:t>
            </w: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有组织颗粒物</w:t>
            </w:r>
          </w:p>
        </w:tc>
        <w:tc>
          <w:tcPr>
            <w:tcW w:w="229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产尘处上方安装集气罩，集气效率为95%，在经布袋除尘器处理后，除尘效率为99%，由15m高排气筒排放</w:t>
            </w:r>
          </w:p>
        </w:tc>
        <w:tc>
          <w:tcPr>
            <w:tcW w:w="1986" w:type="dxa"/>
            <w:gridSpan w:val="2"/>
            <w:vAlign w:val="center"/>
          </w:tcPr>
          <w:p>
            <w:pPr>
              <w:spacing w:line="320" w:lineRule="exact"/>
              <w:ind w:left="-4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满足《大气污染物综合排放标准》（GB16297-1996）表2中二级标准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2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无组织颗粒物</w:t>
            </w:r>
          </w:p>
        </w:tc>
        <w:tc>
          <w:tcPr>
            <w:tcW w:w="229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生产车间内设置通风换气扇，通风处理</w:t>
            </w:r>
          </w:p>
        </w:tc>
        <w:tc>
          <w:tcPr>
            <w:tcW w:w="1986" w:type="dxa"/>
            <w:gridSpan w:val="2"/>
            <w:vAlign w:val="center"/>
          </w:tcPr>
          <w:p>
            <w:pPr>
              <w:spacing w:line="320" w:lineRule="exact"/>
              <w:ind w:left="-4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颗粒物周界外浓度最高点满足《大气污染物综合排放标准》（GB16297-1996）无组织排放监控浓度限值要求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有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组织氨、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硫化氢、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臭气浓度</w:t>
            </w:r>
          </w:p>
        </w:tc>
        <w:tc>
          <w:tcPr>
            <w:tcW w:w="229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RW酵素剂除臭+集气罩负压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收集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+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活性炭吸附处理后，经同一个根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15m排气筒排放</w:t>
            </w:r>
          </w:p>
        </w:tc>
        <w:tc>
          <w:tcPr>
            <w:tcW w:w="1986" w:type="dxa"/>
            <w:gridSpan w:val="2"/>
            <w:vMerge w:val="restart"/>
            <w:vAlign w:val="center"/>
          </w:tcPr>
          <w:p>
            <w:pPr>
              <w:spacing w:line="320" w:lineRule="exact"/>
              <w:ind w:left="-4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《恶臭污染物排放标准》（GB14554-93）中的二级标准要求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无组织氨、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硫化氢、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臭气浓度</w:t>
            </w:r>
          </w:p>
        </w:tc>
        <w:tc>
          <w:tcPr>
            <w:tcW w:w="2298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986" w:type="dxa"/>
            <w:gridSpan w:val="2"/>
            <w:vMerge w:val="continue"/>
            <w:vAlign w:val="center"/>
          </w:tcPr>
          <w:p>
            <w:pPr>
              <w:spacing w:line="320" w:lineRule="exact"/>
              <w:ind w:left="-4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5" w:hRule="atLeast"/>
        </w:trPr>
        <w:tc>
          <w:tcPr>
            <w:tcW w:w="1024" w:type="dxa"/>
            <w:vMerge w:val="restart"/>
            <w:vAlign w:val="center"/>
          </w:tcPr>
          <w:p>
            <w:pPr>
              <w:spacing w:line="320" w:lineRule="exact"/>
              <w:ind w:hanging="17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污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染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</w:t>
            </w:r>
          </w:p>
        </w:tc>
        <w:tc>
          <w:tcPr>
            <w:tcW w:w="793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运营期</w:t>
            </w:r>
          </w:p>
        </w:tc>
        <w:tc>
          <w:tcPr>
            <w:tcW w:w="900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生活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污水</w:t>
            </w:r>
          </w:p>
        </w:tc>
        <w:tc>
          <w:tcPr>
            <w:tcW w:w="1222" w:type="dxa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COD</w:t>
            </w:r>
          </w:p>
        </w:tc>
        <w:tc>
          <w:tcPr>
            <w:tcW w:w="4284" w:type="dxa"/>
            <w:gridSpan w:val="3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防渗旱厕，定期清掏，外运堆肥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ind w:hanging="17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NH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-N</w:t>
            </w:r>
          </w:p>
        </w:tc>
        <w:tc>
          <w:tcPr>
            <w:tcW w:w="4284" w:type="dxa"/>
            <w:gridSpan w:val="3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8" w:hRule="atLeast"/>
        </w:trPr>
        <w:tc>
          <w:tcPr>
            <w:tcW w:w="1024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体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废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</w:t>
            </w:r>
          </w:p>
        </w:tc>
        <w:tc>
          <w:tcPr>
            <w:tcW w:w="793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运营期</w:t>
            </w: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办公区</w:t>
            </w:r>
          </w:p>
        </w:tc>
        <w:tc>
          <w:tcPr>
            <w:tcW w:w="122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生活垃圾</w:t>
            </w:r>
          </w:p>
        </w:tc>
        <w:tc>
          <w:tcPr>
            <w:tcW w:w="248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由市政环卫部门统一处理</w:t>
            </w:r>
          </w:p>
        </w:tc>
        <w:tc>
          <w:tcPr>
            <w:tcW w:w="1797" w:type="dxa"/>
            <w:vMerge w:val="restart"/>
            <w:vAlign w:val="center"/>
          </w:tcPr>
          <w:p>
            <w:pPr>
              <w:spacing w:line="320" w:lineRule="exact"/>
              <w:ind w:left="13" w:hanging="14" w:hangingChars="6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处置率100%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5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生产区</w:t>
            </w: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废包装袋</w:t>
            </w:r>
          </w:p>
        </w:tc>
        <w:tc>
          <w:tcPr>
            <w:tcW w:w="248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集中收集，外卖废品回收部门。</w:t>
            </w:r>
          </w:p>
        </w:tc>
        <w:tc>
          <w:tcPr>
            <w:tcW w:w="1797" w:type="dxa"/>
            <w:vMerge w:val="continue"/>
            <w:vAlign w:val="center"/>
          </w:tcPr>
          <w:p>
            <w:pPr>
              <w:spacing w:line="320" w:lineRule="exact"/>
              <w:ind w:left="13" w:hanging="14" w:hangingChars="6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布袋除尘器收集的粉尘</w:t>
            </w:r>
          </w:p>
        </w:tc>
        <w:tc>
          <w:tcPr>
            <w:tcW w:w="248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回用于生产</w:t>
            </w:r>
          </w:p>
        </w:tc>
        <w:tc>
          <w:tcPr>
            <w:tcW w:w="1797" w:type="dxa"/>
            <w:vMerge w:val="continue"/>
            <w:vAlign w:val="center"/>
          </w:tcPr>
          <w:p>
            <w:pPr>
              <w:spacing w:line="320" w:lineRule="exact"/>
              <w:ind w:left="13" w:hanging="14" w:hangingChars="6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</w:trPr>
        <w:tc>
          <w:tcPr>
            <w:tcW w:w="102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3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2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废活性炭</w:t>
            </w:r>
          </w:p>
        </w:tc>
        <w:tc>
          <w:tcPr>
            <w:tcW w:w="248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市政环卫部门统一收集处理</w:t>
            </w:r>
          </w:p>
        </w:tc>
        <w:tc>
          <w:tcPr>
            <w:tcW w:w="1797" w:type="dxa"/>
            <w:vMerge w:val="continue"/>
            <w:vAlign w:val="center"/>
          </w:tcPr>
          <w:p>
            <w:pPr>
              <w:spacing w:line="320" w:lineRule="exact"/>
              <w:ind w:left="13" w:hanging="14" w:hangingChars="6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6" w:hRule="atLeast"/>
        </w:trPr>
        <w:tc>
          <w:tcPr>
            <w:tcW w:w="1024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噪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声</w:t>
            </w:r>
          </w:p>
        </w:tc>
        <w:tc>
          <w:tcPr>
            <w:tcW w:w="793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运营期</w:t>
            </w:r>
          </w:p>
        </w:tc>
        <w:tc>
          <w:tcPr>
            <w:tcW w:w="900" w:type="dxa"/>
            <w:vAlign w:val="center"/>
          </w:tcPr>
          <w:p>
            <w:pPr>
              <w:pStyle w:val="32"/>
              <w:spacing w:line="0" w:lineRule="atLeast"/>
              <w:rPr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生产</w:t>
            </w:r>
          </w:p>
          <w:p>
            <w:pPr>
              <w:pStyle w:val="32"/>
              <w:spacing w:line="0" w:lineRule="atLeast"/>
              <w:rPr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</w:t>
            </w:r>
          </w:p>
        </w:tc>
        <w:tc>
          <w:tcPr>
            <w:tcW w:w="1222" w:type="dxa"/>
            <w:vAlign w:val="center"/>
          </w:tcPr>
          <w:p>
            <w:pPr>
              <w:pStyle w:val="32"/>
              <w:spacing w:line="0" w:lineRule="atLeast"/>
              <w:rPr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噪声</w:t>
            </w:r>
          </w:p>
        </w:tc>
        <w:tc>
          <w:tcPr>
            <w:tcW w:w="2487" w:type="dxa"/>
            <w:gridSpan w:val="2"/>
            <w:vAlign w:val="center"/>
          </w:tcPr>
          <w:p>
            <w:pPr>
              <w:spacing w:line="320" w:lineRule="exact"/>
              <w:ind w:left="-2" w:right="-82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选取低噪声设备，隔声减振措施，生产期间厂房密闭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设置进厂出厂路线，限速，禁止鸣笛等措施</w:t>
            </w:r>
          </w:p>
        </w:tc>
        <w:tc>
          <w:tcPr>
            <w:tcW w:w="1797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厂界噪声满足《工业企业厂界环境噪声排放标准》(GB12348-2008)表1中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类标准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8223" w:type="dxa"/>
            <w:gridSpan w:val="7"/>
          </w:tcPr>
          <w:p>
            <w:pPr>
              <w:spacing w:line="500" w:lineRule="exact"/>
              <w:jc w:val="left"/>
              <w:rPr>
                <w:rFonts w:hint="default" w:ascii="Times New Roman" w:hAnsi="Times New Roman" w:cs="Times New Roman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生态保护措施及预期效果</w:t>
            </w: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本项目建成后需在厂区内建造花草、树木，改善厂区内的生态环境和空气质量。</w:t>
            </w: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500" w:lineRule="exact"/>
              <w:ind w:firstLine="480" w:firstLineChars="200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</w:tr>
    </w:tbl>
    <w:p/>
    <w:p>
      <w:pPr>
        <w:pStyle w:val="4"/>
        <w:spacing w:before="0" w:after="0" w:line="240" w:lineRule="auto"/>
        <w:rPr>
          <w:rFonts w:ascii="Times New Roman" w:hAnsi="Times New Roman" w:eastAsia="宋体"/>
          <w:sz w:val="30"/>
          <w:szCs w:val="30"/>
        </w:rPr>
      </w:pPr>
      <w:bookmarkStart w:id="160" w:name="_Toc13587_WPSOffice_Level1"/>
      <w:bookmarkStart w:id="161" w:name="_Toc462593166"/>
      <w:bookmarkStart w:id="162" w:name="_Toc25168"/>
      <w:bookmarkStart w:id="163" w:name="_Toc206686300"/>
      <w:bookmarkStart w:id="164" w:name="_Toc206692028"/>
      <w:bookmarkStart w:id="165" w:name="_Toc243216982"/>
      <w:bookmarkStart w:id="166" w:name="_Toc477165784"/>
      <w:bookmarkStart w:id="167" w:name="_Toc291591458"/>
      <w:bookmarkStart w:id="168" w:name="_Toc228024767"/>
      <w:bookmarkStart w:id="169" w:name="_Toc238101356"/>
      <w:r>
        <w:rPr>
          <w:rFonts w:hint="eastAsia" w:ascii="Times New Roman" w:hAnsi="Times New Roman" w:eastAsia="宋体"/>
          <w:sz w:val="30"/>
          <w:szCs w:val="30"/>
        </w:rPr>
        <w:t>十一</w:t>
      </w:r>
      <w:r>
        <w:rPr>
          <w:rFonts w:ascii="Times New Roman" w:hAnsi="Times New Roman" w:eastAsia="宋体"/>
          <w:sz w:val="30"/>
          <w:szCs w:val="30"/>
        </w:rPr>
        <w:t>、结论与建议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tbl>
      <w:tblPr>
        <w:tblStyle w:val="16"/>
        <w:tblW w:w="93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24" w:hRule="atLeast"/>
          <w:jc w:val="center"/>
        </w:trPr>
        <w:tc>
          <w:tcPr>
            <w:tcW w:w="9354" w:type="dxa"/>
            <w:tcBorders>
              <w:bottom w:val="single" w:color="auto" w:sz="4" w:space="0"/>
            </w:tcBorders>
          </w:tcPr>
          <w:p>
            <w:pPr>
              <w:pStyle w:val="44"/>
            </w:pPr>
            <w:r>
              <w:t>一、项目产业政策符合性分析结论</w:t>
            </w:r>
          </w:p>
          <w:p>
            <w:pPr>
              <w:ind w:firstLine="480" w:firstLineChars="200"/>
              <w:textAlignment w:val="center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根据国家发展和改革委员会《产业结构调整指导目录（2011年本）》（2016年修正本），本项目不属于鼓励类、限制类及淘汰类项目，属于国家允许类项目，因此，本项目的建设符合国家产业政策。</w:t>
            </w:r>
          </w:p>
          <w:p>
            <w:pPr>
              <w:ind w:firstLine="482"/>
              <w:rPr>
                <w:rFonts w:hint="default" w:ascii="Times New Roman" w:hAnsi="Times New Roman" w:cs="Times New Roman" w:eastAsiaTheme="minorEastAsia"/>
                <w:b/>
                <w:bCs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</w:rPr>
              <w:t>二、区域环境质量现状结论</w:t>
            </w:r>
          </w:p>
          <w:p>
            <w:pPr>
              <w:spacing w:line="360" w:lineRule="auto"/>
              <w:ind w:firstLine="482" w:firstLineChars="200"/>
              <w:textAlignment w:val="center"/>
              <w:rPr>
                <w:b/>
                <w:sz w:val="24"/>
                <w:highlight w:val="none"/>
              </w:rPr>
            </w:pPr>
            <w:r>
              <w:rPr>
                <w:b/>
                <w:sz w:val="24"/>
                <w:highlight w:val="none"/>
              </w:rPr>
              <w:t>一、环境空气质量现状</w:t>
            </w:r>
          </w:p>
          <w:p>
            <w:pPr>
              <w:spacing w:line="360" w:lineRule="auto"/>
              <w:ind w:firstLine="480" w:firstLineChars="200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1、基本污染物环境质量现状</w:t>
            </w:r>
          </w:p>
          <w:p>
            <w:pPr>
              <w:spacing w:line="360" w:lineRule="auto"/>
              <w:ind w:firstLine="720" w:firstLineChars="300"/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hint="eastAsia" w:hAnsi="仿宋_GB2312"/>
              </w:rPr>
              <w:t>环境空气质量现状采用评价基准年2018年同江市环境空气质量自动监测数据。2018年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同江市环境空气质量全年有效监测天数为322天，环境空气质量指数AQI达到和好于二级的优良天数为309天，达标比例为95.96%；其中一级优为205天，二级良为104天，三级轻度污染为13天。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2、达标区判断</w:t>
            </w:r>
          </w:p>
          <w:p>
            <w:pPr>
              <w:spacing w:line="360" w:lineRule="auto"/>
              <w:ind w:left="10" w:leftChars="4" w:right="14" w:rightChars="6" w:firstLine="480" w:firstLineChars="200"/>
              <w:textAlignment w:val="center"/>
              <w:rPr>
                <w:b/>
                <w:sz w:val="24"/>
              </w:rPr>
            </w:pPr>
            <w:r>
              <w:rPr>
                <w:rFonts w:hint="eastAsia" w:hAnsi="Arial"/>
                <w:color w:val="333333"/>
                <w:shd w:val="clear" w:color="auto" w:fill="FFFFFF"/>
              </w:rPr>
              <w:t>SO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2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、NO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2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、PM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10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、PM</w:t>
            </w:r>
            <w:r>
              <w:rPr>
                <w:rFonts w:hint="eastAsia" w:hAnsi="Arial"/>
                <w:color w:val="333333"/>
                <w:shd w:val="clear" w:color="auto" w:fill="FFFFFF"/>
                <w:vertAlign w:val="subscript"/>
              </w:rPr>
              <w:t>2.5</w:t>
            </w:r>
            <w:r>
              <w:rPr>
                <w:rFonts w:hint="eastAsia" w:hAnsi="Arial"/>
                <w:color w:val="333333"/>
                <w:shd w:val="clear" w:color="auto" w:fill="FFFFFF"/>
              </w:rPr>
              <w:t>、CO、</w:t>
            </w:r>
            <w:r>
              <w:rPr>
                <w:rFonts w:hint="eastAsia"/>
                <w:color w:val="333333"/>
                <w:shd w:val="clear" w:color="auto" w:fill="FFFFFF"/>
              </w:rPr>
              <w:t>O</w:t>
            </w:r>
            <w:r>
              <w:rPr>
                <w:rFonts w:hint="eastAsia"/>
                <w:color w:val="333333"/>
                <w:shd w:val="clear" w:color="auto" w:fill="FFFFFF"/>
                <w:vertAlign w:val="subscript"/>
              </w:rPr>
              <w:t>3</w:t>
            </w:r>
            <w:r>
              <w:rPr>
                <w:rFonts w:hint="eastAsia"/>
                <w:color w:val="333333"/>
                <w:shd w:val="clear" w:color="auto" w:fill="FFFFFF"/>
              </w:rPr>
              <w:t>各项污染物年均值及日均值均</w:t>
            </w:r>
            <w:r>
              <w:rPr>
                <w:rFonts w:hint="eastAsia"/>
                <w:color w:val="000000"/>
                <w:szCs w:val="22"/>
              </w:rPr>
              <w:t>满足《环境空气质量标准》</w:t>
            </w:r>
            <w:r>
              <w:rPr>
                <w:color w:val="000000"/>
                <w:szCs w:val="22"/>
              </w:rPr>
              <w:t>(GB3095-2012)</w:t>
            </w:r>
            <w:r>
              <w:rPr>
                <w:rFonts w:hint="eastAsia"/>
                <w:color w:val="000000"/>
                <w:szCs w:val="22"/>
              </w:rPr>
              <w:t>二级标准要求，故同江市为环境空气质量达标区。</w:t>
            </w:r>
          </w:p>
          <w:p>
            <w:pPr>
              <w:spacing w:line="360" w:lineRule="auto"/>
              <w:ind w:left="10" w:leftChars="4" w:right="14" w:rightChars="6" w:firstLine="482" w:firstLineChars="200"/>
              <w:textAlignment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二、地表水环境质量现状</w:t>
            </w:r>
          </w:p>
          <w:p>
            <w:pPr>
              <w:spacing w:line="360" w:lineRule="auto"/>
              <w:ind w:firstLine="480" w:firstLineChars="200"/>
              <w:rPr>
                <w:rFonts w:hAnsi="仿宋_GB2312"/>
                <w:color w:val="000000"/>
              </w:rPr>
            </w:pPr>
            <w:r>
              <w:rPr>
                <w:rFonts w:hint="eastAsia" w:hAnsi="仿宋_GB2312"/>
              </w:rPr>
              <w:t>地表水环境质量现状采用评价基准年2018年松花江同江断面采测分离数据。松花江同江断面2018年监测9期，具体时间为一月、二月、五月、六月、七月、八月、九月、十月、十一月，</w:t>
            </w:r>
            <w:r>
              <w:rPr>
                <w:rFonts w:hAnsi="仿宋_GB2312"/>
              </w:rPr>
              <w:t>监测</w:t>
            </w:r>
            <w:r>
              <w:rPr>
                <w:rFonts w:hint="eastAsia" w:hAnsi="仿宋_GB2312"/>
              </w:rPr>
              <w:t>指标</w:t>
            </w:r>
            <w:r>
              <w:rPr>
                <w:rFonts w:hAnsi="仿宋_GB2312"/>
              </w:rPr>
              <w:t>为</w:t>
            </w:r>
            <w:r>
              <w:rPr>
                <w:rFonts w:hint="eastAsia" w:hAnsi="仿宋_GB2312"/>
              </w:rPr>
              <w:t>31</w:t>
            </w:r>
            <w:r>
              <w:rPr>
                <w:rFonts w:hAnsi="仿宋_GB2312"/>
              </w:rPr>
              <w:t>项</w:t>
            </w:r>
            <w:r>
              <w:rPr>
                <w:rFonts w:hint="eastAsia" w:hAnsi="仿宋_GB2312"/>
              </w:rPr>
              <w:t>。监测</w:t>
            </w:r>
            <w:r>
              <w:rPr>
                <w:rFonts w:hint="eastAsia" w:hAnsi="仿宋_GB2312"/>
                <w:color w:val="000000"/>
              </w:rPr>
              <w:t>结果显示：</w:t>
            </w:r>
            <w:r>
              <w:rPr>
                <w:rFonts w:hAnsi="仿宋_GB2312"/>
                <w:color w:val="000000"/>
              </w:rPr>
              <w:t>201</w:t>
            </w:r>
            <w:r>
              <w:rPr>
                <w:rFonts w:hint="eastAsia" w:hAnsi="仿宋_GB2312"/>
                <w:color w:val="000000"/>
              </w:rPr>
              <w:t>8年松花江干流同江断面丰水期（七月份）水质类别符合Ⅲ类水质，水质状况良好，丰水期（八月份、九月份）水质为Ⅳ类水质，主要污染指标为总氮、总磷超标；平水期（五月份）水质为劣Ⅴ类水质，主要污染指标为总氮、PH超标；平水期（五月份、六月份、十月份、十一月份）水质为Ⅳ类水质，主要污染指标为化学需氧量（COD）总氮、总磷超标。</w:t>
            </w:r>
          </w:p>
          <w:p>
            <w:pPr>
              <w:spacing w:line="360" w:lineRule="auto"/>
              <w:ind w:left="10" w:leftChars="4" w:right="14" w:rightChars="6" w:firstLine="480" w:firstLineChars="200"/>
              <w:textAlignment w:val="center"/>
              <w:rPr>
                <w:rFonts w:hint="eastAsia" w:ascii="Times New Roman" w:hAnsi="Times New Roman" w:eastAsiaTheme="minorEastAsia"/>
                <w:sz w:val="24"/>
              </w:rPr>
            </w:pPr>
            <w:r>
              <w:rPr>
                <w:rFonts w:hint="eastAsia" w:hAnsi="仿宋_GB2312"/>
                <w:color w:val="000000"/>
              </w:rPr>
              <w:t>本项目所在地为同江市向阳镇</w:t>
            </w:r>
            <w:r>
              <w:rPr>
                <w:rFonts w:hint="eastAsia" w:hAnsi="仿宋_GB2312"/>
                <w:color w:val="000000"/>
                <w:lang w:eastAsia="zh-CN"/>
              </w:rPr>
              <w:t>燎原</w:t>
            </w:r>
            <w:r>
              <w:rPr>
                <w:rFonts w:hint="eastAsia" w:hAnsi="仿宋_GB2312"/>
                <w:color w:val="000000"/>
              </w:rPr>
              <w:t>村，属松花江干流段，地表水环境质量现状《地表水环境质量标准》（</w:t>
            </w:r>
            <w:r>
              <w:rPr>
                <w:rFonts w:hAnsi="仿宋_GB2312"/>
                <w:color w:val="000000"/>
              </w:rPr>
              <w:t>GB</w:t>
            </w:r>
            <w:r>
              <w:rPr>
                <w:rFonts w:hint="eastAsia" w:hAnsi="仿宋_GB2312"/>
                <w:color w:val="000000"/>
              </w:rPr>
              <w:t xml:space="preserve"> 3838</w:t>
            </w:r>
            <w:r>
              <w:rPr>
                <w:rFonts w:hAnsi="仿宋_GB2312"/>
                <w:color w:val="000000"/>
              </w:rPr>
              <w:t>-2</w:t>
            </w:r>
            <w:r>
              <w:rPr>
                <w:rFonts w:hint="eastAsia" w:hAnsi="仿宋_GB2312"/>
                <w:color w:val="000000"/>
              </w:rPr>
              <w:t>002）不满足Ⅲ类水体要求。</w:t>
            </w:r>
          </w:p>
          <w:p>
            <w:pPr>
              <w:spacing w:line="360" w:lineRule="auto"/>
              <w:ind w:left="10" w:leftChars="4" w:right="14" w:rightChars="6" w:firstLine="482" w:firstLineChars="200"/>
              <w:textAlignment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三、声环境质量现状</w:t>
            </w:r>
          </w:p>
          <w:p>
            <w:pPr>
              <w:spacing w:line="360" w:lineRule="auto"/>
              <w:ind w:firstLine="480" w:firstLineChars="200"/>
              <w:textAlignment w:val="center"/>
              <w:rPr>
                <w:sz w:val="24"/>
                <w:highlight w:val="none"/>
              </w:rPr>
            </w:pPr>
            <w:r>
              <w:t>本项目位于</w:t>
            </w:r>
            <w:r>
              <w:rPr>
                <w:rFonts w:hint="eastAsia"/>
              </w:rPr>
              <w:t>黑龙江省同江市向阳镇</w:t>
            </w:r>
            <w:r>
              <w:rPr>
                <w:rFonts w:hint="eastAsia"/>
                <w:lang w:eastAsia="zh-CN"/>
              </w:rPr>
              <w:t>燎原</w:t>
            </w:r>
            <w:r>
              <w:rPr>
                <w:rFonts w:hint="eastAsia"/>
              </w:rPr>
              <w:t>村</w:t>
            </w:r>
            <w:r>
              <w:t>，</w:t>
            </w:r>
            <w:r>
              <w:rPr>
                <w:rFonts w:hint="eastAsia"/>
                <w:lang w:eastAsia="zh-CN"/>
              </w:rPr>
              <w:t>厂区为新规划的工业用地，周围为农田，除偶发性的虫鸣、鸟叫、车辆行驶噪声外，</w:t>
            </w:r>
            <w:r>
              <w:t>噪声现状满足</w:t>
            </w:r>
            <w:r>
              <w:rPr>
                <w:spacing w:val="-4"/>
              </w:rPr>
              <w:t>《声环境质量标准》</w:t>
            </w:r>
            <w:r>
              <w:rPr>
                <w:rFonts w:hint="eastAsia"/>
              </w:rPr>
              <w:t>（</w:t>
            </w:r>
            <w:r>
              <w:t>GB3096-2008</w:t>
            </w:r>
            <w:r>
              <w:rPr>
                <w:rFonts w:hint="eastAsia"/>
              </w:rPr>
              <w:t>）</w:t>
            </w:r>
            <w:r>
              <w:rPr>
                <w:spacing w:val="-4"/>
              </w:rPr>
              <w:t>中的</w:t>
            </w:r>
            <w:r>
              <w:rPr>
                <w:rFonts w:hint="eastAsia"/>
                <w:spacing w:val="-4"/>
              </w:rPr>
              <w:t>1</w:t>
            </w:r>
            <w:r>
              <w:rPr>
                <w:spacing w:val="-4"/>
              </w:rPr>
              <w:t>类区标准</w:t>
            </w:r>
            <w:r>
              <w:rPr>
                <w:rFonts w:hint="eastAsia"/>
                <w:spacing w:val="-4"/>
              </w:rPr>
              <w:t>限值。</w:t>
            </w:r>
          </w:p>
          <w:p>
            <w:pPr>
              <w:ind w:firstLine="482"/>
              <w:rPr>
                <w:rFonts w:hint="default" w:ascii="Times New Roman" w:hAnsi="Times New Roman" w:cs="Times New Roman" w:eastAsiaTheme="minorEastAsia"/>
                <w:b/>
                <w:bCs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</w:rPr>
              <w:t>三、营运期环境影响评价结论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48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1、废水</w:t>
            </w:r>
          </w:p>
          <w:p>
            <w:pPr>
              <w:pStyle w:val="28"/>
              <w:pageBreakBefore w:val="0"/>
              <w:kinsoku/>
              <w:wordWrap/>
              <w:overflowPunct/>
              <w:topLinePunct w:val="0"/>
              <w:bidi w:val="0"/>
              <w:spacing w:beforeLines="0" w:afterLines="0" w:line="360" w:lineRule="auto"/>
              <w:ind w:left="0" w:leftChars="0" w:right="0" w:firstLine="480" w:firstLineChars="200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1.1 生活污水</w:t>
            </w:r>
          </w:p>
          <w:p>
            <w:pPr>
              <w:pStyle w:val="28"/>
              <w:pageBreakBefore w:val="0"/>
              <w:kinsoku/>
              <w:wordWrap/>
              <w:overflowPunct/>
              <w:topLinePunct w:val="0"/>
              <w:bidi w:val="0"/>
              <w:spacing w:beforeLines="0" w:afterLines="0" w:line="360" w:lineRule="auto"/>
              <w:ind w:left="0" w:leftChars="0" w:right="0" w:firstLine="480" w:firstLineChars="200"/>
              <w:rPr>
                <w:rFonts w:hint="eastAsia" w:hAnsi="宋体"/>
                <w:kern w:val="0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本项目排水主要为生活污水，生活污水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产生量按用水量的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80%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计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算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，则污水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eastAsia="zh-CN"/>
              </w:rPr>
              <w:t>产生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量为</w:t>
            </w:r>
            <w:r>
              <w:rPr>
                <w:rFonts w:hint="default" w:ascii="Times New Roman" w:hAnsi="Times New Roman" w:cs="Times New Roman" w:eastAsiaTheme="minorEastAsia"/>
                <w:color w:val="auto"/>
                <w:lang w:val="en-US" w:eastAsia="zh-CN"/>
              </w:rPr>
              <w:t>0.48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t/d，年排放量为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132 </w:t>
            </w:r>
            <w:r>
              <w:rPr>
                <w:rFonts w:hint="default" w:ascii="Times New Roman" w:hAnsi="Times New Roman" w:cs="Times New Roman" w:eastAsiaTheme="minorEastAsia"/>
                <w:color w:val="auto"/>
              </w:rPr>
              <w:t>t/a。生活污水</w:t>
            </w:r>
            <w:r>
              <w:rPr>
                <w:rFonts w:hint="eastAsia" w:hAnsi="宋体"/>
                <w:kern w:val="0"/>
                <w:szCs w:val="21"/>
              </w:rPr>
              <w:t>用于厂区降尘，设防渗旱厕，定期清掏外运堆肥农田。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/>
              <w:jc w:val="both"/>
              <w:textAlignment w:val="auto"/>
              <w:outlineLvl w:val="9"/>
              <w:rPr>
                <w:rFonts w:hint="eastAsia" w:ascii="Times New Roman" w:hAnsi="Times New Roman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highlight w:val="none"/>
                <w:lang w:val="en-US" w:eastAsia="zh-CN"/>
              </w:rPr>
              <w:t>1.2地下水环境影响分析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/>
              <w:jc w:val="both"/>
              <w:textAlignment w:val="auto"/>
              <w:outlineLvl w:val="9"/>
              <w:rPr>
                <w:rFonts w:hint="eastAsia" w:hAnsi="宋体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highlight w:val="none"/>
                <w:lang w:val="en-US" w:eastAsia="zh-CN"/>
              </w:rPr>
              <w:t>项目在开发建设阶段，应充分做好排水管道以及防渗处理，杜绝污水渗漏，确保污水收集处理系统衔接良好，严格用水管理，防止污水“跑、冒、滴、漏”现象的发生，这样可以保证项目区内产生的全部废水汇集到防渗旱厕集中处理，可以很大程度的消除周边地区污染物排放对地下水环境的影响。根据《环境影响评价技术导则》HJ610-2016中附录A可知本项目地下水评价等级为IV级，不需要做地下水评价。</w:t>
            </w:r>
          </w:p>
          <w:p>
            <w:pPr>
              <w:ind w:firstLine="480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本项目产生的污水对地表水环境影响较小。</w:t>
            </w:r>
          </w:p>
          <w:p>
            <w:pPr>
              <w:pStyle w:val="28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beforeLines="0" w:afterLines="0" w:line="360" w:lineRule="auto"/>
              <w:ind w:left="0" w:leftChars="0" w:right="0" w:firstLine="482" w:firstLineChars="200"/>
              <w:rPr>
                <w:rFonts w:hint="default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2、</w:t>
            </w:r>
            <w:r>
              <w:rPr>
                <w:rFonts w:hint="default"/>
                <w:b/>
                <w:bCs/>
              </w:rPr>
              <w:t>废气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right="0" w:firstLine="520" w:firstLineChars="200"/>
              <w:jc w:val="left"/>
              <w:rPr>
                <w:rFonts w:hint="default"/>
              </w:rPr>
            </w:pPr>
            <w:r>
              <w:rPr>
                <w:rStyle w:val="51"/>
                <w:rFonts w:hint="eastAsia" w:ascii="Times New Roman" w:hAnsi="Times New Roman" w:eastAsia="宋体"/>
                <w:color w:val="auto"/>
                <w:sz w:val="24"/>
                <w:highlight w:val="none"/>
                <w:lang w:val="en-US" w:eastAsia="zh-CN"/>
              </w:rPr>
              <w:t>2.1</w:t>
            </w:r>
            <w:r>
              <w:rPr>
                <w:rStyle w:val="51"/>
                <w:rFonts w:hint="default" w:ascii="Times New Roman" w:hAnsi="Times New Roman"/>
                <w:color w:val="auto"/>
                <w:sz w:val="24"/>
                <w:highlight w:val="none"/>
                <w:lang w:val="zh-TW" w:eastAsia="zh-TW"/>
              </w:rPr>
              <w:t>本项目运营期产生的废气主要为</w:t>
            </w:r>
            <w:r>
              <w:rPr>
                <w:rStyle w:val="51"/>
                <w:rFonts w:hint="default" w:ascii="Times New Roman" w:hAnsi="Times New Roman"/>
                <w:color w:val="auto"/>
                <w:sz w:val="24"/>
                <w:highlight w:val="none"/>
                <w:lang w:val="zh-TW"/>
              </w:rPr>
              <w:t>生产工艺中产生的粉尘</w:t>
            </w:r>
            <w:r>
              <w:rPr>
                <w:rStyle w:val="51"/>
                <w:rFonts w:hint="eastAsia" w:ascii="Times New Roman" w:hAnsi="Times New Roman" w:eastAsia="宋体"/>
                <w:color w:val="auto"/>
                <w:sz w:val="24"/>
                <w:highlight w:val="none"/>
                <w:lang w:val="zh-TW" w:eastAsia="zh-CN"/>
              </w:rPr>
              <w:t>、恶臭。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2.1、粉尘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</w:rPr>
              <w:t>本项目在</w:t>
            </w:r>
            <w:r>
              <w:rPr>
                <w:rFonts w:hint="eastAsia" w:ascii="Times New Roman" w:hAnsi="Times New Roman" w:eastAsia="宋体"/>
                <w:lang w:eastAsia="zh-CN"/>
              </w:rPr>
              <w:t>粉碎、堆翻和筛分工序</w:t>
            </w:r>
            <w:r>
              <w:rPr>
                <w:rFonts w:hint="default" w:ascii="Times New Roman" w:hAnsi="Times New Roman" w:eastAsia="宋体"/>
              </w:rPr>
              <w:t>过程中将产生一定量的粉尘。</w:t>
            </w:r>
            <w:r>
              <w:rPr>
                <w:rFonts w:hint="eastAsia" w:ascii="Times New Roman" w:hAnsi="Times New Roman" w:eastAsia="宋体"/>
                <w:lang w:eastAsia="zh-CN"/>
              </w:rPr>
              <w:t>类比《京台四方（唐山）生物科技有限公司年产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3万吨生物有机肥项目环境影响报告表》乐环评表【2018】63号文及</w:t>
            </w:r>
            <w:r>
              <w:rPr>
                <w:rFonts w:hint="eastAsia" w:ascii="Times New Roman" w:hAnsi="Times New Roman" w:eastAsia="宋体"/>
                <w:lang w:eastAsia="zh-CN"/>
              </w:rPr>
              <w:t>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3万吨生物有机肥项目竣工环境保护验收报告表》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，监测报告见附件，本项目产尘工序粉尘产生量为7.32 t/a，230.5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，3.05kg/h。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highlight w:val="none"/>
              </w:rPr>
              <w:t>项目在车间中设置集气罩收集粉尘，捕集率按95%计算，集气罩后接入布袋除尘器收集粉尘后回用，除尘效率为99%，则本项目有组织粉尘排放量为0.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0695 </w:t>
            </w:r>
            <w:r>
              <w:rPr>
                <w:rFonts w:hint="default" w:ascii="Times New Roman" w:hAnsi="Times New Roman" w:eastAsia="宋体"/>
                <w:highlight w:val="none"/>
              </w:rPr>
              <w:t>t/a（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0.029</w:t>
            </w:r>
            <w:r>
              <w:rPr>
                <w:rFonts w:hint="default" w:ascii="Times New Roman" w:hAnsi="Times New Roman" w:eastAsia="宋体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</w:t>
            </w:r>
            <w:r>
              <w:rPr>
                <w:rFonts w:hint="default" w:ascii="Times New Roman" w:hAnsi="Times New Roman" w:eastAsia="宋体"/>
                <w:highlight w:val="none"/>
              </w:rPr>
              <w:t>）。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回收粉尘量为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6.8845 </w:t>
            </w:r>
            <w:r>
              <w:rPr>
                <w:rFonts w:hint="default" w:ascii="Times New Roman" w:hAnsi="Times New Roman" w:eastAsia="宋体"/>
                <w:highlight w:val="none"/>
              </w:rPr>
              <w:t>t/a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。本项车间采用密闭门窗，无组织粉尘排放量为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0.0366</w:t>
            </w:r>
            <w:r>
              <w:rPr>
                <w:rFonts w:hint="default" w:ascii="Times New Roman" w:hAnsi="Times New Roman" w:eastAsia="宋体"/>
                <w:highlight w:val="none"/>
              </w:rPr>
              <w:t>t/a（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0.017</w:t>
            </w:r>
            <w:r>
              <w:rPr>
                <w:rFonts w:hint="default" w:ascii="Times New Roman" w:hAnsi="Times New Roman" w:eastAsia="宋体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</w:t>
            </w:r>
            <w:r>
              <w:rPr>
                <w:rFonts w:hint="default" w:ascii="Times New Roman" w:hAnsi="Times New Roman" w:eastAsia="宋体"/>
                <w:highlight w:val="none"/>
              </w:rPr>
              <w:t>）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/>
              </w:rPr>
              <w:t>2、恶臭气体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default" w:ascii="Times New Roman" w:hAnsi="Times New Roman" w:eastAsia="宋体"/>
              </w:rPr>
              <w:t>项目生产</w:t>
            </w:r>
            <w:r>
              <w:rPr>
                <w:rFonts w:hint="eastAsia" w:ascii="Times New Roman" w:hAnsi="Times New Roman" w:eastAsia="宋体"/>
                <w:lang w:eastAsia="zh-CN"/>
              </w:rPr>
              <w:t>堆肥发酵</w:t>
            </w:r>
            <w:r>
              <w:rPr>
                <w:rFonts w:hint="default" w:ascii="Times New Roman" w:hAnsi="Times New Roman" w:eastAsia="宋体"/>
              </w:rPr>
              <w:t>过程中将产生少量的</w:t>
            </w:r>
            <w:r>
              <w:rPr>
                <w:rFonts w:hint="eastAsia" w:ascii="Times New Roman" w:hAnsi="Times New Roman" w:eastAsia="宋体"/>
                <w:lang w:eastAsia="zh-CN"/>
              </w:rPr>
              <w:t>臭</w:t>
            </w:r>
            <w:r>
              <w:rPr>
                <w:rFonts w:hint="default" w:ascii="Times New Roman" w:hAnsi="Times New Roman" w:eastAsia="宋体"/>
              </w:rPr>
              <w:t>气</w:t>
            </w:r>
            <w:r>
              <w:rPr>
                <w:rFonts w:hint="eastAsia" w:ascii="Times New Roman" w:hAnsi="Times New Roman" w:eastAsia="宋体"/>
                <w:lang w:eastAsia="zh-CN"/>
              </w:rPr>
              <w:t>、</w:t>
            </w:r>
            <w:r>
              <w:rPr>
                <w:rFonts w:hint="default" w:ascii="Times New Roman" w:hAnsi="Times New Roman" w:eastAsia="宋体"/>
              </w:rPr>
              <w:t>氨气</w:t>
            </w:r>
            <w:r>
              <w:rPr>
                <w:rFonts w:hint="eastAsia" w:ascii="Times New Roman" w:hAnsi="Times New Roman" w:eastAsia="宋体"/>
                <w:lang w:eastAsia="zh-CN"/>
              </w:rPr>
              <w:t>和硫化氢</w:t>
            </w:r>
            <w:r>
              <w:rPr>
                <w:rFonts w:hint="default" w:ascii="Times New Roman" w:hAnsi="Times New Roman" w:eastAsia="宋体"/>
              </w:rPr>
              <w:t>，</w:t>
            </w:r>
            <w:r>
              <w:rPr>
                <w:rFonts w:hint="eastAsia" w:ascii="Times New Roman" w:hAnsi="Times New Roman" w:eastAsia="宋体"/>
                <w:lang w:eastAsia="zh-CN"/>
              </w:rPr>
              <w:t>类比《京台四方（唐山）生物科技有限公司年产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3万吨生物有机肥项目环境影响报告表》乐环评表【2018】63号文及</w:t>
            </w:r>
            <w:r>
              <w:rPr>
                <w:rFonts w:hint="eastAsia" w:ascii="Times New Roman" w:hAnsi="Times New Roman" w:eastAsia="宋体"/>
                <w:lang w:eastAsia="zh-CN"/>
              </w:rPr>
              <w:t>《京台四方（唐山）生物科技有限公司年产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3万吨生物有机肥项目竣工环境保护验收报告表》。</w:t>
            </w:r>
            <w:r>
              <w:rPr>
                <w:rFonts w:hint="eastAsia" w:ascii="Times New Roman" w:hAnsi="Times New Roman" w:eastAsia="宋体"/>
                <w:lang w:eastAsia="zh-CN"/>
              </w:rPr>
              <w:t>本项目臭气产生量为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1120（无纲量）；氨产生量为1.2 mg/m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，0.03kg/h。硫化氢的产生量为0.075 mg/m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，1.78×10</w:t>
            </w:r>
            <w:r>
              <w:rPr>
                <w:rFonts w:hint="eastAsia" w:ascii="Times New Roman" w:hAnsi="Times New Roman" w:eastAsia="宋体"/>
                <w:vertAlign w:val="superscript"/>
                <w:lang w:val="en-US" w:eastAsia="zh-CN"/>
              </w:rPr>
              <w:t xml:space="preserve">-3 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kg/h。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发酵</w:t>
            </w:r>
            <w:r>
              <w:rPr>
                <w:rFonts w:hint="default" w:ascii="Times New Roman" w:hAnsi="Times New Roman" w:eastAsia="宋体"/>
              </w:rPr>
              <w:t>车间</w:t>
            </w:r>
            <w:r>
              <w:rPr>
                <w:rFonts w:hint="eastAsia" w:ascii="Times New Roman" w:hAnsi="Times New Roman" w:eastAsia="宋体"/>
                <w:lang w:eastAsia="zh-CN"/>
              </w:rPr>
              <w:t>原料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RW酵素剂除臭+集气罩负压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收集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+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eastAsia="zh-CN"/>
              </w:rPr>
              <w:t>活性炭吸附处理后，经</w:t>
            </w:r>
            <w:r>
              <w:rPr>
                <w:rFonts w:hint="eastAsia" w:ascii="Times New Roman" w:hAnsi="Times New Roman" w:eastAsia="宋体"/>
                <w:color w:val="auto"/>
                <w:highlight w:val="none"/>
                <w:lang w:val="en-US" w:eastAsia="zh-CN"/>
              </w:rPr>
              <w:t>15m排气筒排放</w:t>
            </w:r>
            <w:r>
              <w:rPr>
                <w:rFonts w:hint="default" w:ascii="Times New Roman" w:hAnsi="Times New Roman" w:eastAsia="宋体"/>
              </w:rPr>
              <w:t>。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本项目臭气排放量为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280（无纲量）；氨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为0.3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，0.0075kg/h。硫化氢的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为0.019mg/m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，4.45×10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-4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kg/h。</w:t>
            </w:r>
          </w:p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right="0" w:firstLine="480" w:firstLineChars="200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本项目无组织臭气排放量为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（无纲量）；氨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。硫化氢的</w:t>
            </w: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t>排放量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为0.0</w:t>
            </w:r>
            <w:r>
              <w:rPr>
                <w:rFonts w:hint="eastAsia" w:ascii="Times New Roman" w:eastAsia="宋体"/>
                <w:highlight w:val="none"/>
                <w:lang w:val="en-US" w:eastAsia="zh-CN"/>
              </w:rPr>
              <w:t>35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 xml:space="preserve"> mg/m</w:t>
            </w:r>
            <w:r>
              <w:rPr>
                <w:rFonts w:hint="eastAsia" w:ascii="Times New Roman" w:hAnsi="Times New Roman" w:eastAsia="宋体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。</w:t>
            </w:r>
          </w:p>
          <w:p>
            <w:pPr>
              <w:ind w:firstLine="480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经上述措施处置后，项目废气对周围环境的影响很小。</w:t>
            </w:r>
          </w:p>
          <w:p>
            <w:pPr>
              <w:pStyle w:val="44"/>
            </w:pPr>
            <w:r>
              <w:rPr>
                <w:rFonts w:hint="eastAsia"/>
              </w:rPr>
              <w:t>3、声环境</w:t>
            </w:r>
          </w:p>
          <w:p>
            <w:pPr>
              <w:ind w:firstLine="480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营运期间产生的噪声主要</w:t>
            </w:r>
            <w:r>
              <w:rPr>
                <w:rFonts w:hint="eastAsia" w:ascii="Times New Roman" w:hAnsi="Times New Roman" w:cs="Times New Roman"/>
                <w:lang w:eastAsia="zh-CN"/>
              </w:rPr>
              <w:t>设备运行时产生</w:t>
            </w:r>
            <w:r>
              <w:rPr>
                <w:rFonts w:hint="default" w:ascii="Times New Roman" w:hAnsi="Times New Roman" w:cs="Times New Roman" w:eastAsiaTheme="minorEastAsia"/>
              </w:rPr>
              <w:t>的噪声。噪声经采措施和经距离衰减后，</w:t>
            </w:r>
            <w:r>
              <w:rPr>
                <w:rFonts w:hint="eastAsia" w:ascii="Times New Roman" w:hAnsi="Times New Roman" w:cs="Times New Roman"/>
                <w:lang w:eastAsia="zh-CN"/>
              </w:rPr>
              <w:t>同时夜间禁止生产，</w:t>
            </w:r>
            <w:r>
              <w:rPr>
                <w:rFonts w:hint="default" w:ascii="Times New Roman" w:hAnsi="Times New Roman" w:cs="Times New Roman" w:eastAsiaTheme="minorEastAsia"/>
              </w:rPr>
              <w:t>项目厂界满足《工业企业厂界环境噪声排放标准》（GB12348-2008）中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 w:eastAsiaTheme="minorEastAsia"/>
              </w:rPr>
              <w:t>类标准的要求，即昼间小于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55</w:t>
            </w:r>
            <w:r>
              <w:rPr>
                <w:rFonts w:hint="default" w:ascii="Times New Roman" w:hAnsi="Times New Roman" w:cs="Times New Roman" w:eastAsiaTheme="minorEastAsia"/>
              </w:rPr>
              <w:t>dB（A），夜间小于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45</w:t>
            </w:r>
            <w:r>
              <w:rPr>
                <w:rFonts w:hint="default" w:ascii="Times New Roman" w:hAnsi="Times New Roman" w:cs="Times New Roman" w:eastAsiaTheme="minorEastAsia"/>
              </w:rPr>
              <w:t>dB（A）。对周围声环境影响很小。</w:t>
            </w:r>
          </w:p>
          <w:p>
            <w:pPr>
              <w:pStyle w:val="44"/>
              <w:rPr>
                <w:rFonts w:hint="eastAsia"/>
              </w:rPr>
            </w:pPr>
            <w:r>
              <w:rPr>
                <w:rFonts w:hint="eastAsia"/>
              </w:rPr>
              <w:t>4、固体废物</w:t>
            </w:r>
          </w:p>
          <w:p>
            <w:pPr>
              <w:spacing w:line="360" w:lineRule="auto"/>
              <w:ind w:firstLine="480" w:firstLineChars="200"/>
              <w:jc w:val="left"/>
            </w:pPr>
            <w:r>
              <w:t>本项目产生的一般固体废物主要为生产过程中产生的废包装袋、员工办公生活垃圾</w:t>
            </w:r>
            <w:r>
              <w:rPr>
                <w:rFonts w:hint="eastAsia"/>
              </w:rPr>
              <w:t>和除尘器收集到的粉尘</w:t>
            </w:r>
            <w:r>
              <w:t>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4.1、</w:t>
            </w:r>
            <w:r>
              <w:t>员工生活垃圾排放量按照0.4kg/人•日计算，员工</w:t>
            </w:r>
            <w:r>
              <w:rPr>
                <w:rFonts w:hint="eastAsia"/>
                <w:lang w:val="en-US" w:eastAsia="zh-CN"/>
              </w:rPr>
              <w:t>2</w:t>
            </w:r>
            <w:r>
              <w:t>0人，年工作</w:t>
            </w:r>
            <w:r>
              <w:rPr>
                <w:rFonts w:hint="eastAsia"/>
                <w:lang w:val="en-US" w:eastAsia="zh-CN"/>
              </w:rPr>
              <w:t>275</w:t>
            </w:r>
            <w:r>
              <w:t>天，本项目生活垃圾产生量</w:t>
            </w:r>
            <w:r>
              <w:rPr>
                <w:rFonts w:hint="eastAsia"/>
                <w:lang w:val="en-US" w:eastAsia="zh-CN"/>
              </w:rPr>
              <w:t xml:space="preserve">2.2 </w:t>
            </w:r>
            <w:r>
              <w:t>t/a；</w:t>
            </w:r>
            <w:r>
              <w:rPr>
                <w:rFonts w:hint="eastAsia"/>
                <w:lang w:eastAsia="zh-CN"/>
              </w:rPr>
              <w:t>由市政环卫部门统一收集处理，处理效果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4.2、</w:t>
            </w:r>
            <w:r>
              <w:t>废包装袋产量为</w:t>
            </w:r>
            <w:r>
              <w:rPr>
                <w:rFonts w:hint="eastAsia"/>
                <w:lang w:val="en-US" w:eastAsia="zh-CN"/>
              </w:rPr>
              <w:t xml:space="preserve">0.5 </w:t>
            </w:r>
            <w:r>
              <w:t>t/a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CN"/>
              </w:rPr>
              <w:t>外售综合利用，处理效果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spacing w:line="360" w:lineRule="auto"/>
              <w:ind w:left="480" w:leftChars="200" w:firstLine="0" w:firstLineChars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4.3、</w:t>
            </w:r>
            <w:r>
              <w:rPr>
                <w:rFonts w:hint="eastAsia"/>
              </w:rPr>
              <w:t>除尘器收集到粉尘为</w:t>
            </w:r>
            <w:r>
              <w:rPr>
                <w:rFonts w:hint="eastAsia"/>
                <w:lang w:val="en-US" w:eastAsia="zh-CN"/>
              </w:rPr>
              <w:t xml:space="preserve">6.8845 </w:t>
            </w:r>
            <w:r>
              <w:rPr>
                <w:rFonts w:hint="eastAsia"/>
              </w:rPr>
              <w:t>t/a</w:t>
            </w:r>
            <w:r>
              <w:t>。</w:t>
            </w:r>
            <w:r>
              <w:rPr>
                <w:rFonts w:hint="eastAsia"/>
                <w:lang w:eastAsia="zh-CN"/>
              </w:rPr>
              <w:t>统一收集后，回用于生产，处理效果</w:t>
            </w:r>
            <w:r>
              <w:rPr>
                <w:rFonts w:hint="eastAsia"/>
                <w:lang w:val="en-US" w:eastAsia="zh-CN"/>
              </w:rPr>
              <w:t>100%。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4.4废活性炭3t/a,</w:t>
            </w:r>
            <w:r>
              <w:rPr>
                <w:rFonts w:hint="eastAsia"/>
                <w:lang w:eastAsia="zh-CN"/>
              </w:rPr>
              <w:t>由市政环卫部门统一收集处理，处理效果</w:t>
            </w:r>
            <w:r>
              <w:rPr>
                <w:rFonts w:hint="eastAsia"/>
                <w:lang w:val="en-US" w:eastAsia="zh-CN"/>
              </w:rPr>
              <w:t>100%。</w:t>
            </w:r>
          </w:p>
          <w:p>
            <w:pPr>
              <w:ind w:left="480" w:leftChars="200" w:firstLine="0" w:firstLineChars="0"/>
              <w:jc w:val="left"/>
              <w:rPr>
                <w:rFonts w:hint="default" w:ascii="Times New Roman" w:hAnsi="Times New Roman" w:cs="Times New Roman" w:eastAsiaTheme="minorEastAsia"/>
              </w:rPr>
            </w:pPr>
            <w:r>
              <w:rPr>
                <w:rFonts w:hint="default" w:ascii="Times New Roman" w:hAnsi="Times New Roman" w:cs="Times New Roman" w:eastAsiaTheme="minorEastAsia"/>
              </w:rPr>
              <w:t>本项目运营期固体废物处置率100%，对环境影响较小。</w:t>
            </w:r>
          </w:p>
          <w:p>
            <w:pPr>
              <w:pStyle w:val="44"/>
              <w:rPr>
                <w:rFonts w:hint="eastAsia"/>
              </w:rPr>
            </w:pPr>
            <w:r>
              <w:rPr>
                <w:rFonts w:hint="eastAsia"/>
              </w:rPr>
              <w:t>四、结论</w:t>
            </w:r>
          </w:p>
          <w:p>
            <w:pPr>
              <w:ind w:firstLine="480"/>
              <w:rPr>
                <w:rFonts w:hint="eastAsia"/>
              </w:rPr>
            </w:pPr>
            <w:r>
              <w:t>本项目符合国家产业政策，选址合理；产生的各污染物采取环评要求的治理措施后能做到达标排放；基本上能维持地区环境质量，符合功能区要求；因此从环境保护角度看，本项目的建设是可行的。</w:t>
            </w:r>
          </w:p>
          <w:p>
            <w:pPr>
              <w:pStyle w:val="44"/>
              <w:rPr>
                <w:rFonts w:hint="eastAsia"/>
              </w:rPr>
            </w:pPr>
            <w:r>
              <w:rPr>
                <w:rFonts w:hint="eastAsia"/>
              </w:rPr>
              <w:t>五、建议</w:t>
            </w:r>
          </w:p>
          <w:p>
            <w:pPr>
              <w:ind w:firstLine="480"/>
              <w:textAlignment w:val="center"/>
            </w:pPr>
            <w:r>
              <w:t>1、严格控制噪声污染，加强落实噪声装置。</w:t>
            </w:r>
          </w:p>
          <w:p>
            <w:pPr>
              <w:ind w:firstLine="480"/>
              <w:textAlignment w:val="center"/>
              <w:rPr>
                <w:rFonts w:ascii="Times New Roman" w:hAnsi="Times New Roman" w:eastAsia="宋体" w:cs="Times New Roman"/>
              </w:rPr>
            </w:pPr>
            <w:r>
              <w:t>2、落实各项环保措施，保证污染物达标排放。</w:t>
            </w:r>
          </w:p>
        </w:tc>
      </w:tr>
    </w:tbl>
    <w:p>
      <w:pPr>
        <w:pStyle w:val="9"/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szCs w:val="24"/>
        </w:rPr>
        <w:br w:type="page"/>
      </w:r>
    </w:p>
    <w:p>
      <w:pPr>
        <w:pStyle w:val="9"/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106485248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762000</wp:posOffset>
                </wp:positionV>
                <wp:extent cx="2317750" cy="1619250"/>
                <wp:effectExtent l="257810" t="495935" r="262890" b="51371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0000">
                          <a:off x="2668905" y="1767205"/>
                          <a:ext cx="2317750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200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燎原村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8pt;margin-top:60pt;height:127.5pt;width:182.5pt;rotation:-2097152f;z-index:1064852480;mso-width-relative:page;mso-height-relative:page;" fillcolor="#FFFFFF [3212]" filled="t" stroked="t" coordsize="21600,21600" o:gfxdata="UEsDBAoAAAAAAIdO4kAAAAAAAAAAAAAAAAAEAAAAZHJzL1BLAwQUAAAACACHTuJALWmfadYAAAAL&#10;AQAADwAAAGRycy9kb3ducmV2LnhtbE2Py07DMBBF90j8gzVI7KidFkKSxukCiQ1iQ6Cs3XgaB+IH&#10;tvvg7xlWsJy5R/fRbs52ZkeMafJOQrEQwNANXk9ulPD2+nhTAUtZOa1m71DCNybYdJcXrWq0P7kX&#10;PPZ5ZGTiUqMkmJxDw3kaDFqVFj6gI23vo1WZzjhyHdWJzO3Ml0KU3KrJUYJRAR8MDp/9wUrYblf1&#10;x/j1pE2YQlE9x+q9F5WU11eFWAPLeM5/MPzWp+rQUaedPzid2CxhWdcloSRQDjAiyvKWPjsJq/s7&#10;Abxr+f8N3Q9QSwMEFAAAAAgAh07iQPkIXG1fAgAAqAQAAA4AAABkcnMvZTJvRG9jLnhtbK1UwW4T&#10;MRC9I/EPlu9ks2mzaaJuqpAqCKmilQri7Hi92RVe29hOdsMH0D/gxIU739Xv4NmbtIVyQuzBGs+8&#10;vJl548n5RddIshPW1VrlNB0MKRGK66JWm5x+eL96dUaJ80wVTGolcroXjl7MX744b81MjHSlZSEs&#10;AYlys9bktPLezJLE8Uo0zA20EQrBUtuGeVztJiksa8HeyGQ0HGZJq21hrObCOXgv+yCdR/6yFNxf&#10;l6UTnsicojYfTxvPdTiT+TmbbSwzVc0PZbB/qKJhtULSB6pL5hnZ2voZVVNzq50u/YDrJtFlWXMR&#10;e0A36fCPbm4rZkTsBeI48yCT+3+0/N3uxpK6yGmGSSnWYEb33+7uv/+8//GVwAeBWuNmwN0aIH33&#10;WncY9NHv4Ax9d6VtiNXQN51mZ0N8UQ40SAAfZdnZdDimZI/4JJuMYEflRecJD4CTdDIZY0A8ILJ0&#10;OsIFiKRnDhmMdf6N0A0JRk4tRhtTsN2V8z30CAlwp2VdrGop48Vu1ktpyY7hGazi1/9Wmor13tE0&#10;1NzzuB4e0//GIxVpodQJinuWIyR/yLGWjH86sj1WgnakAm1QtFcuWL5bd0gczLUu9lA5Cgk1nOGr&#10;GrxXzPkbZvEy4cS2+WscpdQoRh8sSiptv/zNH/B4MIhS0uKl59R93jIrKJFvFZ7SND09DasRL6dj&#10;DIcS+zSyfhpR22apoWIaq4tmwHt5NEurm49YykXIihBTHLlz6o/m0vf7h6XmYrGIICyDYf5K3Roe&#10;qIO4Si+2Xpd1nO2jNgf1sA5xPIfVDfv29B5Rj38w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t&#10;aZ9p1gAAAAsBAAAPAAAAAAAAAAEAIAAAACIAAABkcnMvZG93bnJldi54bWxQSwECFAAUAAAACACH&#10;TuJA+QhcbV8CAACoBAAADgAAAAAAAAABACAAAAAlAQAAZHJzL2Uyb0RvYy54bWxQSwUGAAAAAAYA&#10;BgBZAQAA9gUAAAAA&#10;">
                <v:fill on="t" opacity="19005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200"/>
                        <w:jc w:val="center"/>
                        <w:textAlignment w:val="auto"/>
                        <w:rPr>
                          <w:rFonts w:hint="eastAsia" w:eastAsiaTheme="minorEastAsia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燎原村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1064850432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2884170</wp:posOffset>
                </wp:positionV>
                <wp:extent cx="242570" cy="257175"/>
                <wp:effectExtent l="56515" t="62230" r="67310" b="7620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0000">
                          <a:off x="5304155" y="3314065"/>
                          <a:ext cx="24257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8pt;margin-top:227.1pt;height:20.25pt;width:19.1pt;rotation:3473408f;z-index:1064850432;v-text-anchor:middle;mso-width-relative:page;mso-height-relative:page;" filled="f" stroked="t" coordsize="21600,21600" o:gfxdata="UEsDBAoAAAAAAIdO4kAAAAAAAAAAAAAAAAAEAAAAZHJzL1BLAwQUAAAACACHTuJAEWwrgdgAAAAL&#10;AQAADwAAAGRycy9kb3ducmV2LnhtbE2PwU7DMAyG70i8Q2QkLoil3bJsK00ngYTgymD3rDFJRZNU&#10;TbZub485saPtT7+/v96efc9OOKYuBgXlrACGoY2mC1bB1+fr4xpYyjoY3ceACi6YYNvc3tS6MnEK&#10;H3jaZcsoJKRKK3A5DxXnqXXodZrFAQPdvuPodaZxtNyMeqJw3/N5UUjudRfog9MDvjhsf3ZHr+A9&#10;v4nLxE3hxF4uNrKcHp6tVer+riyegGU8538Y/vRJHRpyOsRjMIn1CqRYSkIViKWYAyNCrhdU5kCb&#10;jVgBb2p+3aH5BVBLAwQUAAAACACHTuJA6qXNZGMCAACYBAAADgAAAGRycy9lMm9Eb2MueG1srVTb&#10;bhMxEH1H4h8sv9PdTZOmRN1UUasipAoqFcSz47WzlnzDdrIpP4PEGx/B5yB+g2NveuHyhMiDNeOZ&#10;PTNz5jhn53ujyU6EqJxtaXNUUyIsd52ym5a+f3f14pSSmJjtmHZWtPRORHq+fP7sbPALMXG9050I&#10;BCA2Lgbf0j4lv6iqyHthWDxyXlgEpQuGJbhhU3WBDUA3uprU9Uk1uND54LiIEbeXY5AuC76Ugqe3&#10;UkaRiG4pekvlDOVc57NanrHFJjDfK35og/1DF4Ypi6IPUJcsMbIN6g8oo3hw0cl0xJ2pnJSKizID&#10;pmnq36a57ZkXZRaQE/0DTfH/wfI3u5tAVNfSk4YSywx29OPz1+/fvhBcgJ3BxwWSbv1NOHgRZh51&#10;L4MhwYHS4+a0xq8QgJHIvqWz43razGaU3CF83Ezrk9nItdgnwpEwmU5mc2yEIwFWMy/xaoTN8D7E&#10;9Eo4Q7LR0oBVlgJsdx0TWkHqfUpOt+5KaV3WqS0ZoMXJHC0RzqAqqVmCaTzmjHZDCdMbyJWnUCCj&#10;06rLn2egGDbrCx3IjmXJlF/uHOV+Scu1L1nsx7wSGgc0KkHRWpmWFlaKxvC1tgDJbI78ZWvtujuw&#10;XzhEq9HzKwXYaxbTDQvQIS7xttJbHFI7DOUOFiW9C5/+dp/zIQ9EKRmgawz8ccuCoES/thDOy2Y6&#10;BWwqznQ2n8AJTyPrpxG7NRcOPEAb6K6YOT/pe1MGZz7gCa5yVYSY5ag9UntwLtL43vCIuVitShrE&#10;71m6treeZ/BxgattclKV3T6ycyAN8i87ODzV/L6e+iXr8Q9l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RbCuB2AAAAAsBAAAPAAAAAAAAAAEAIAAAACIAAABkcnMvZG93bnJldi54bWxQSwECFAAU&#10;AAAACACHTuJA6qXNZGMCAACYBAAADgAAAAAAAAABACAAAAAnAQAAZHJzL2Uyb0RvYy54bWxQSwUG&#10;AAAAAAYABgBZAQAA/A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7147560" cy="4676775"/>
            <wp:effectExtent l="0" t="0" r="15240" b="952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6087110</wp:posOffset>
                </wp:positionH>
                <wp:positionV relativeFrom="paragraph">
                  <wp:posOffset>4244975</wp:posOffset>
                </wp:positionV>
                <wp:extent cx="344805" cy="147320"/>
                <wp:effectExtent l="6350" t="6350" r="10795" b="177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7965" y="6160135"/>
                          <a:ext cx="344805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9.3pt;margin-top:334.25pt;height:11.6pt;width:27.15pt;z-index:251980800;v-text-anchor:middle;mso-width-relative:page;mso-height-relative:page;" filled="f" stroked="t" coordsize="21600,21600" o:gfxdata="UEsDBAoAAAAAAIdO4kAAAAAAAAAAAAAAAAAEAAAAZHJzL1BLAwQUAAAACACHTuJATVwM99gAAAAM&#10;AQAADwAAAGRycy9kb3ducmV2LnhtbE2PTU/DMAyG70j8h8hI3FiSSeva0nQHxE4cBtskrlkT2mr5&#10;UpJu5d/PO8HR9uPXj5vNbA256JhG7wTwBQOiXefV6HoBx8P2pQSSsnRKGu+0gF+dYNM+PjSyVv7q&#10;vvRln3uCIS7VUsCQc6gpTd2grUwLH7TD2Y+PVmYsY09VlFcMt4YuGSuolaPDC4MM+m3Q3Xk/WdQI&#10;5jOoaXc+fvN5G9/VR5L9WojnJ85egWQ95z8Y7vq4Ay06nfzkVCJGQLUqC0QFFEW5AnInGF9WQE7Y&#10;qvgaaNvQ/0+0N1BLAwQUAAAACACHTuJAv7/zkl0CAACIBAAADgAAAGRycy9lMm9Eb2MueG1srVRL&#10;btswEN0X6B0I7htJtmMnRuTASOCiQNAYSIuuaYqyCPBXkracXqZAdz1Ej1P0Gn2knE8/q6JaUEPN&#10;8A3nzRtdXB60Invhg7SmptVJSYkw3DbSbGv6/t3q1RklITLTMGWNqOm9CPRy8fLFRe/mYmQ7qxrh&#10;CUBMmPeupl2Mbl4UgXdCs3BinTBwttZrFrH126LxrAe6VsWoLKdFb33jvOUiBHy9Hpx0kfHbVvB4&#10;27ZBRKJqirvFvPq8btJaLC7YfOuZ6yQ/XoP9wy00kwZJH6GuWWRk5+UfUFpyb4Nt4wm3urBtK7nI&#10;NaCaqvytmruOOZFrATnBPdIU/h8sf7tfeyKbmqJRhmm06Mfnr9+/fSFniZvehTlC7tzaH3cBZir0&#10;0Hqd3iiBHGo6Kcez8+kpJfc1nVbTshqfDtyKQyQcAePJ5KyEnyOgmszGo8x98QTkfIivhdUkGTX1&#10;aF1mlO1vQkRyhD6EpLzGrqRSuX3KkB6go1mJDnMGFbWKRZjaoa5gtpQwtYU8efQZMlglm3Q8AQW/&#10;3VwpT/YMElmtSjzp5kj3S1jKfc1CN8Rl11CglhEKVlKDwnT44bQyAEn8DYwla2Obe7Dt7SDD4PhK&#10;AvaGhbhmHrrD/TFL8RZLqyyKskeLks76T3/7nuIhB3gp6aFjFPxxx7ygRL0xEMp5NZkk4efN5HQG&#10;3ol/7tk895idvrLgocLUOp7NFB/Vg9l6qz9g5JYpK1zMcOQeqD1uruIwXxhaLpbLHAaxOxZvzJ3j&#10;CXxo4HIXbStzb5/YOZIGueceHEczzdPzfY56+oEs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N&#10;XAz32AAAAAwBAAAPAAAAAAAAAAEAIAAAACIAAABkcnMvZG93bnJldi54bWxQSwECFAAUAAAACACH&#10;TuJAv7/zkl0CAACIBAAADgAAAAAAAAABACAAAAAn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6028690</wp:posOffset>
                </wp:positionH>
                <wp:positionV relativeFrom="paragraph">
                  <wp:posOffset>3850640</wp:posOffset>
                </wp:positionV>
                <wp:extent cx="1595120" cy="742950"/>
                <wp:effectExtent l="4445" t="5080" r="19685" b="13970"/>
                <wp:wrapNone/>
                <wp:docPr id="156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图例</w:t>
                            </w:r>
                          </w:p>
                          <w:p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项目地理位置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474.7pt;margin-top:303.2pt;height:58.5pt;width:125.6pt;z-index:251856896;mso-width-relative:page;mso-height-relative:page;" fillcolor="#FFFFFF" filled="t" stroked="t" coordsize="21600,21600" o:gfxdata="UEsDBAoAAAAAAIdO4kAAAAAAAAAAAAAAAAAEAAAAZHJzL1BLAwQUAAAACACHTuJAHDYKFtcAAAAM&#10;AQAADwAAAGRycy9kb3ducmV2LnhtbE2PwU7DMAyG70i8Q+RJ3FiytiqsNJ0EEhLixtYLt6zx2mqJ&#10;UyXZOt6e9AQ3W/70/5/r3c0adkUfRkcSNmsBDKlzeqReQnt4f3wGFqIirYwjlPCDAXbN/V2tKu1m&#10;+sLrPvYshVColIQhxqniPHQDWhXWbkJKt5PzVsW0+p5rr+YUbg3PhCi5VSOlhkFN+DZgd95frISP&#10;8jV+Y6s/dZ7lbm55508mSPmw2ogXYBFv8Q+GRT+pQ5Ocju5COjAjYVtsi4RKKEWZhoVYCoEdJTxl&#10;eQG8qfn/J5pfUEsDBBQAAAAIAIdO4kCWcwjzRAIAAHoEAAAOAAAAZHJzL2Uyb0RvYy54bWytVM2O&#10;EzEMviPxDlHudNrSH1p1uipdFSGt2JUK4pxmMp2IJA5J2pnyAOwbcOLCnefqc+CkP1soJ0QPqR07&#10;n+3P9kxuGq3IVjgvweS002pTIgyHQpp1Tj+8X7x4RYkPzBRMgRE53QlPb6bPn01qOxZdqEAVwhEE&#10;MX5c25xWIdhxlnleCc18C6wwaCzBaRZQdeuscKxGdK2ybrs9yGpwhXXAhfd4e3sw0mnCL0vBw31Z&#10;ehGIyinmFtLp0rmKZzadsPHaMVtJfkyD/UMWmkmDQc9QtywwsnHyCkpL7sBDGVocdAZlKblINWA1&#10;nfYf1SwrZkWqBcnx9kyT/3+w/N32wRFZYO/6A0oM09ik/bfH/fef+x9fyXAYGaqtH6Pj0qJraF5D&#10;g96ne4+XsfCmdDr+Y0kE7cj17syvaALh8VF/1O900cTRNux1R/3UgOzptXU+vBGgSRRy6rB/iVa2&#10;vfMBM0HXk0sM5kHJYiGVSopbr+bKkS3DXi/SLyaJT35zU4bUOR28xNhXEBH7DLFSjH+6RkA8ZeJL&#10;kcbrmFek6EBFlEKzao68raDYIW0ODqPnLV9IjHLHfHhgDmcN6cD9Cfd4lAowNThKlFTgvvztPvrj&#10;CKCVkhpnN6f+84Y5QYl6a3A4Rp1eLw57Unr9YaTcXVpWlxaz0XNAyjq4qZYnMfoHdRJLB/ojrtks&#10;RkUTMxxj5zScxHk4bBSuKRezWXLC8bYs3Jml5RE6EmZgtglQytTISNOBG2xRVHDAU7OOyxg36FJP&#10;Xk+fjO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DYKFtcAAAAMAQAADwAAAAAAAAABACAAAAAi&#10;AAAAZHJzL2Rvd25yZXYueG1sUEsBAhQAFAAAAAgAh07iQJZzCPNEAgAAegQAAA4AAAAAAAAAAQAg&#10;AAAAJgEAAGRycy9lMm9Eb2MueG1sUEsFBgAAAAAGAAYAWQEAANw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图例</w:t>
                      </w:r>
                    </w:p>
                    <w:p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项目地理位置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1064851456" behindDoc="0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90170</wp:posOffset>
            </wp:positionV>
            <wp:extent cx="1486535" cy="1410970"/>
            <wp:effectExtent l="0" t="0" r="18415" b="17780"/>
            <wp:wrapNone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jc w:val="center"/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170" w:name="_Toc24462"/>
      <w:bookmarkStart w:id="171" w:name="_Toc32571_WPSOffice_Level1"/>
      <w:bookmarkStart w:id="172" w:name="_Toc477165785"/>
      <w:r>
        <w:t>附图1  项目地理位置图</w:t>
      </w:r>
      <w:bookmarkEnd w:id="170"/>
      <w:bookmarkEnd w:id="171"/>
      <w:bookmarkEnd w:id="172"/>
    </w:p>
    <w:p>
      <w:pPr>
        <w:pStyle w:val="4"/>
        <w:bidi w:val="0"/>
        <w:rPr>
          <w:rFonts w:hint="eastAsia"/>
          <w:lang w:val="en-US" w:eastAsia="zh-CN"/>
        </w:rPr>
      </w:pPr>
      <w:bookmarkStart w:id="173" w:name="_Toc19592_WPSOffice_Level1"/>
      <w:r>
        <w:rPr>
          <w:rFonts w:hint="eastAsia"/>
          <w:lang w:eastAsia="zh-CN"/>
        </w:rPr>
        <w:t>附图</w:t>
      </w:r>
      <w:r>
        <w:rPr>
          <w:rFonts w:hint="eastAsia"/>
          <w:lang w:val="en-US" w:eastAsia="zh-CN"/>
        </w:rPr>
        <w:t>2 厂区平面图</w:t>
      </w:r>
      <w:bookmarkEnd w:id="173"/>
    </w:p>
    <w:p>
      <w:p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3325495</wp:posOffset>
                </wp:positionV>
                <wp:extent cx="1170940" cy="468630"/>
                <wp:effectExtent l="4445" t="4445" r="5715" b="222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成品库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4pt;margin-top:261.85pt;height:36.9pt;width:92.2pt;z-index:252959744;mso-width-relative:page;mso-height-relative:page;" fillcolor="#FFFFFF [3201]" filled="t" stroked="t" coordsize="21600,21600" o:gfxdata="UEsDBAoAAAAAAIdO4kAAAAAAAAAAAAAAAAAEAAAAZHJzL1BLAwQUAAAACACHTuJA5w5U+9gAAAAL&#10;AQAADwAAAGRycy9kb3ducmV2LnhtbE2PwU7DMBBE70j8g7VI3Khdh6QlxKkEEhLiRsmFmxtvkwh7&#10;HdluU/4ec4Ljzo5m3jS7i7PsjCFOnhSsVwIYUu/NRIOC7uPlbgssJk1GW0+o4Bsj7Nrrq0bXxi/0&#10;jud9GlgOoVhrBWNKc8157Ed0Oq78jJR/Rx+cTvkMAzdBLzncWS6FqLjTE+WGUc/4PGL/tT85Ba/V&#10;U/rEzryZQhZ+6XgfjjYqdXuzFo/AEl7Snxl+8TM6tJnp4E9kIrMK5FZk9KSglMUGWHbcV6UEdsjK&#10;w6YE3jb8/4b2B1BLAwQUAAAACACHTuJAw/Tp7D4CAABrBAAADgAAAGRycy9lMm9Eb2MueG1srVTN&#10;bhMxEL4j8Q6W73STNk2bKJsqtApCimilgjg7Xm+ywusxtpPd8ADwBpy4cOe58hx8dn7aUk6IHJz5&#10;8+eZb2Z2dNXWmq2V8xWZnHdPOpwpI6mozCLnH95PX11y5oMwhdBkVM43yvOr8csXo8YO1SktSRfK&#10;MYAYP2xszpch2GGWeblUtfAnZJWBsyRXiwDVLbLCiQbotc5OO51+1pArrCOpvIf1Zufk44RflkqG&#10;27L0KjCdc+QW0unSOY9nNh6J4cIJu6zkPg3xD1nUojJ49Ah1I4JgK1c9g6or6chTGU4k1RmVZSVV&#10;qgHVdDt/VHO/FFalWkCOt0ea/P+Dle/Wd45VBXo34MyIGj3afv+2/fFr+/Mrgw0ENdYPEXdvERna&#10;19Qi+GD3MMa629LV8R8VMfhB9eZIr2oDk/FS96Iz6MEl4ev1L/tnif/s4bZ1PrxRVLMo5NyhfYlV&#10;sZ75gEwQegiJj3nSVTGttE6KW8yvtWNrgVZP0y8miStPwrRhTc77Z+edhPzEF7GPEHMt5KfnCMDT&#10;BrCRlF3xUQrtvN0zNadiA6Ic7WbNWzmtgDsTPtwJh+ECAViYcIuj1IRkaC9xtiT35W/2GI+ew8tZ&#10;g2HNuf+8Ek5xpt8aTMOg24u8hqT0zi9OobjHnvljj1nV1wSSulhNK5MY44M+iKWj+iP2ahJfhUsY&#10;ibdzHg7idditEPZSqskkBWGerQgzc29lhI4tMTRZBSqr1LpI046bPXuY6NSe/fbFlXmsp6iHb8T4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cOVPvYAAAACwEAAA8AAAAAAAAAAQAgAAAAIgAAAGRy&#10;cy9kb3ducmV2LnhtbFBLAQIUABQAAAAIAIdO4kDD9OnsPgIAAGs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成品库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3143250</wp:posOffset>
                </wp:positionV>
                <wp:extent cx="1086485" cy="468630"/>
                <wp:effectExtent l="5080" t="5080" r="21590" b="1333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648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发酵间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95pt;margin-top:247.5pt;height:36.9pt;width:85.55pt;rotation:5898240f;z-index:252308480;mso-width-relative:page;mso-height-relative:page;" fillcolor="#FFFFFF [3201]" filled="t" stroked="t" coordsize="21600,21600" o:gfxdata="UEsDBAoAAAAAAIdO4kAAAAAAAAAAAAAAAAAEAAAAZHJzL1BLAwQUAAAACACHTuJAlGWcPNwAAAAL&#10;AQAADwAAAGRycy9kb3ducmV2LnhtbE2PzU7DMBCE70i8g7VIXCrqtCJtEuL0kAqJCyAaDhzdeEki&#10;4nUSu388PcsJbjuaT7Mz+eZse3HEyXeOFCzmEQik2pmOGgXv1eNdAsIHTUb3jlDBBT1siuurXGfG&#10;negNj7vQCA4hn2kFbQhDJqWvW7Taz92AxN6nm6wOLKdGmkmfONz2chlFK2l1R/yh1QOWLdZfu4NV&#10;sH29lNX4/FKV8TiTH0/T96wbt0rd3iyiBxABz+EPht/6XB0K7rR3BzJe9ArieJ0yquA+jXkUE+tl&#10;yseerVWSgCxy+X9D8QNQSwMEFAAAAAgAh07iQKjhhVxGAgAAeQQAAA4AAABkcnMvZTJvRG9jLnht&#10;bK1UzW4TMRC+I/EOlu9kkzYJIeqmCq2CkCpaKSDOjtebrPB6jO1kNzwAfQNOXLjzXHkOPjs/tJQT&#10;Yg/WeObL55lvZnJx2daabZTzFZmc9zpdzpSRVFRmmfMP72cvRpz5IEwhNBmV863y/HLy/NlFY8fq&#10;jFakC+UYSIwfNzbnqxDsOMu8XKla+A5ZZRAsydUi4OqWWeFEA/ZaZ2fd7jBryBXWkVTew3u9D/JJ&#10;4i9LJcNtWXoVmM45cgvpdOlcxDObXIjx0gm7quQhDfEPWdSiMnj0RHUtgmBrVz2hqivpyFMZOpLq&#10;jMqykirVgGp63T+qma+EVakWiOPtSSb//2jlu82dY1WB3g05M6JGj3bf7nfff+5+fGXwQaDG+jFw&#10;cwtkaF9TC/DR7+GMdbelq5kj6Dvod+OX1EB9DGgIvz2JrdrAZKTojob90YAziVh/OBqep25ke67I&#10;aZ0PbxTVLBo5d2hmYhWbGx+QF6BHSIR70lUxq7ROF7dcXGnHNgKNn6UvpoyfPIJpw5qcD88H+3wf&#10;xSL3iWKhhfz0lAF82oA2SrSXIlqhXbQH3RZUbCFbUgYyeCtnFXhvhA93wmHU4MT6hFscpSYkQweL&#10;sxW5L3/zRzwmAFHOGoxuzv3ntXCKM/3WYDZe9fr9OOvp0h+8PMPFPYwsHkbMur4iiNRL2SUz4oM+&#10;mqWj+iO2bBpfRUgYibdzHo7mVdgvFLZUquk0gTDdVoQbM7cyUseWGJquA5VVal2Uaa/NQT3Md2rP&#10;YRfjAj28J9Tvf4zJ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RlnDzcAAAACwEAAA8AAAAAAAAA&#10;AQAgAAAAIgAAAGRycy9kb3ducmV2LnhtbFBLAQIUABQAAAAIAIdO4kCo4YVcRgIAAHkEAAAOAAAA&#10;AAAAAAEAIAAAACs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发酵间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1299210</wp:posOffset>
                </wp:positionV>
                <wp:extent cx="1160145" cy="468630"/>
                <wp:effectExtent l="5080" t="5080" r="21590" b="158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02715" y="1699895"/>
                          <a:ext cx="116014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原料库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35pt;margin-top:102.3pt;height:36.9pt;width:91.35pt;rotation:5898240f;z-index:251982848;mso-width-relative:page;mso-height-relative:page;" fillcolor="#FFFFFF [3201]" filled="t" stroked="t" coordsize="21600,21600" o:gfxdata="UEsDBAoAAAAAAIdO4kAAAAAAAAAAAAAAAAAEAAAAZHJzL1BLAwQUAAAACACHTuJAwepC3N0AAAAL&#10;AQAADwAAAGRycy9kb3ducmV2LnhtbE2PPU/DMBCGdyT+g3VILBW1G6VJG+J0SIXEAoiGgdGNr0lE&#10;fE5i94tfj5lgvLtH7z1vvrmYnp1wcp0lCYu5AIZUW91RI+GjenpYAXNekVa9JZRwRQeb4vYmV5m2&#10;Z3rH0843LISQy5SE1vsh49zVLRrl5nZACreDnYzyYZwarid1DuGm55EQCTeqo/ChVQOWLdZfu6OR&#10;sH27ltX48lqVy3HGP5+n71k3bqW8v1uIR2AeL/4Phl/9oA5FcNrbI2nHegnLOEkDKiEScQIsEGm0&#10;joHtwyZdxcCLnP/vUPwAUEsDBBQAAAAIAIdO4kBd/DonUQIAAIUEAAAOAAAAZHJzL2Uyb0RvYy54&#10;bWytVMGO2jAQvVfqP1i+lyQQWECEFWVFVQl1V6JVz8ZxIKrjcW1DQj+g+wc99dJ7v4vv6NgBynZ7&#10;qpqDNZ55PM+8mWFy21SS7IWxJaiMJp2YEqE45KXaZPTD+8WrISXWMZUzCUpk9CAsvZ2+fDGp9Vh0&#10;YQsyF4YgibLjWmd065weR5HlW1Ex2wEtFAYLMBVzeDWbKDesRvZKRt04HkQ1mFwb4MJa9N61QToN&#10;/EUhuLsvCisckRnF3Fw4TTjX/oymEzbeGKa3JT+lwf4hi4qVCh+9UN0xx8jOlM+oqpIbsFC4Docq&#10;gqIouQg1YDVJ/Ec1qy3TItSC4lh9kcn+P1r+bv9gSJlj73qUKFZhj47fHo/ffx5/fCXoQ4FqbceI&#10;W2lEuuY1NAg++y06fd1NYSpiAPXtp7H/ghpYH/HoNO7eJH1KDmgPRqPhqN8KLxpHuAckgzhJEcAR&#10;kQ6Gg17oTNTyen5trHsjoCLeyKjBxoYX2H5pHeaI0DPEwy3IMl+UUoaL2azn0pA9wyFYhM8/jz95&#10;ApOK1Bkd9Ppt7k9invtCsZaMf3rOgHxSIa2Xq5XFW65ZNycN15AfUMKgEs6i1XxRIu+SWffADI4d&#10;OnGV3D0ehQRMBk4WJVswX/7m93icBoxSUuMYZ9R+3jEjKJFvFc7JKElTP/fhkvZvungx15H1dUTt&#10;qjmgSEnILpge7+TZLAxUH3HjZv5VDDHF8e2MurM5d+1y4cZyMZsFEE66Zm6pVpp7at8SBbOdg6IM&#10;rfMytdqc1MNZD+057aVfput7QP3+95j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HqQtzdAAAA&#10;CwEAAA8AAAAAAAAAAQAgAAAAIgAAAGRycy9kb3ducmV2LnhtbFBLAQIUABQAAAAIAIdO4kBd/Don&#10;UQIAAIUEAAAOAAAAAAAAAAEAIAAAACw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原料库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2405" cy="4487545"/>
            <wp:effectExtent l="0" t="0" r="4445" b="8255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7"/>
        <w:tblW w:w="116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5"/>
        <w:gridCol w:w="6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635" w:type="dxa"/>
            <w:vAlign w:val="top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249170" cy="1442085"/>
                  <wp:effectExtent l="0" t="0" r="17780" b="5715"/>
                  <wp:docPr id="64" name="图片 64" descr="9e69f50992f6028175aa05a34f8e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9e69f50992f6028175aa05a34f8e3b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vAlign w:val="top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77490" cy="1617345"/>
                  <wp:effectExtent l="0" t="0" r="3810" b="1905"/>
                  <wp:docPr id="104" name="图片 104" descr="c23b154e152044ba50bdd89bb502c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c23b154e152044ba50bdd89bb502c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635" w:type="dxa"/>
            <w:vAlign w:val="top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项目厂界东侧农田</w:t>
            </w:r>
          </w:p>
        </w:tc>
        <w:tc>
          <w:tcPr>
            <w:tcW w:w="6045" w:type="dxa"/>
            <w:vAlign w:val="top"/>
          </w:tcPr>
          <w:p>
            <w:pPr>
              <w:bidi w:val="0"/>
              <w:jc w:val="center"/>
            </w:pPr>
            <w:r>
              <w:rPr>
                <w:rFonts w:hint="eastAsia"/>
                <w:lang w:eastAsia="zh-CN"/>
              </w:rPr>
              <w:t>项目厂界南侧农田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635" w:type="dxa"/>
            <w:vAlign w:val="top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146935" cy="1363345"/>
                  <wp:effectExtent l="0" t="0" r="5715" b="8255"/>
                  <wp:docPr id="103" name="图片 103" descr="c7145c600cde17666907a35ab6c1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c7145c600cde17666907a35ab6c1a0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vAlign w:val="top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046605" cy="1531620"/>
                  <wp:effectExtent l="0" t="0" r="10795" b="11430"/>
                  <wp:docPr id="105" name="图片 105" descr="10b858249770f3d4f693905000306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10b858249770f3d4f6939050003061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635" w:type="dxa"/>
            <w:vAlign w:val="top"/>
          </w:tcPr>
          <w:p>
            <w:pPr>
              <w:bidi w:val="0"/>
              <w:jc w:val="center"/>
            </w:pPr>
            <w:r>
              <w:rPr>
                <w:rFonts w:hint="eastAsia"/>
                <w:lang w:eastAsia="zh-CN"/>
              </w:rPr>
              <w:t>项目厂界西侧乡道、农田</w:t>
            </w:r>
          </w:p>
        </w:tc>
        <w:tc>
          <w:tcPr>
            <w:tcW w:w="6045" w:type="dxa"/>
            <w:vAlign w:val="top"/>
          </w:tcPr>
          <w:p>
            <w:pPr>
              <w:bidi w:val="0"/>
              <w:jc w:val="center"/>
            </w:pPr>
            <w:r>
              <w:rPr>
                <w:rFonts w:hint="eastAsia"/>
                <w:lang w:eastAsia="zh-CN"/>
              </w:rPr>
              <w:t>项目厂界北侧农田</w:t>
            </w:r>
          </w:p>
        </w:tc>
      </w:tr>
    </w:tbl>
    <w:p>
      <w:pPr>
        <w:pStyle w:val="9"/>
        <w:jc w:val="both"/>
      </w:pPr>
    </w:p>
    <w:p>
      <w:pPr>
        <w:pStyle w:val="4"/>
        <w:bidi w:val="0"/>
        <w:jc w:val="center"/>
      </w:pPr>
      <w:bookmarkStart w:id="174" w:name="_Toc28998_WPSOffice_Level1"/>
      <w:bookmarkStart w:id="175" w:name="_Toc23071"/>
      <w:bookmarkStart w:id="176" w:name="_Toc477165786"/>
      <w:r>
        <w:t>附图</w:t>
      </w:r>
      <w:r>
        <w:rPr>
          <w:rFonts w:hint="eastAsia"/>
          <w:lang w:val="en-US" w:eastAsia="zh-CN"/>
        </w:rPr>
        <w:t>3</w:t>
      </w:r>
      <w:r>
        <w:t>项目</w:t>
      </w:r>
      <w:r>
        <w:rPr>
          <w:rFonts w:hint="eastAsia"/>
        </w:rPr>
        <w:t>周边环境现状图</w:t>
      </w:r>
      <w:bookmarkEnd w:id="174"/>
    </w:p>
    <w:bookmarkEnd w:id="175"/>
    <w:bookmarkEnd w:id="176"/>
    <w:p>
      <w:pPr>
        <w:pStyle w:val="9"/>
        <w:jc w:val="left"/>
        <w:rPr>
          <w:rStyle w:val="34"/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Style w:val="34"/>
          <w:rFonts w:hint="eastAsia" w:ascii="Times New Roman" w:hAnsi="Times New Roman" w:eastAsia="宋体"/>
          <w:sz w:val="28"/>
          <w:szCs w:val="28"/>
        </w:rPr>
        <w:t xml:space="preserve">       </w:t>
      </w:r>
      <w:r>
        <w:rPr>
          <w:rFonts w:hint="eastAsia"/>
          <w:lang w:val="en-US" w:eastAsia="zh-CN"/>
        </w:rPr>
        <w:t xml:space="preserve"> </w:t>
      </w:r>
    </w:p>
    <w:p>
      <w:pPr>
        <w:pStyle w:val="9"/>
        <w:rPr>
          <w:rStyle w:val="34"/>
          <w:rFonts w:ascii="Times New Roman" w:hAnsi="Times New Roman" w:eastAsia="宋体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4"/>
        <w:bidi w:val="0"/>
        <w:rPr>
          <w:rFonts w:hint="eastAsia" w:eastAsia="黑体"/>
          <w:lang w:eastAsia="zh-CN"/>
        </w:rPr>
      </w:pPr>
      <w:bookmarkStart w:id="177" w:name="_Toc27978_WPSOffice_Level1"/>
      <w:r>
        <w:rPr>
          <w:rFonts w:hint="eastAsia"/>
        </w:rPr>
        <w:t>附件1 营业执照</w:t>
      </w:r>
      <w:r>
        <w:rPr>
          <w:rFonts w:hint="eastAsia"/>
          <w:lang w:eastAsia="zh-CN"/>
        </w:rPr>
        <w:t>（项目备案）</w:t>
      </w:r>
      <w:bookmarkEnd w:id="177"/>
    </w:p>
    <w:p>
      <w:pPr>
        <w:pStyle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3590" cy="5350510"/>
            <wp:effectExtent l="0" t="0" r="2540" b="10160"/>
            <wp:docPr id="65" name="图片 65" descr="335fd215c0d35b21cdb8ead6957e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35fd215c0d35b21cdb8ead6957e4d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359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Times New Roman" w:hAnsi="Times New Roman" w:cs="Times New Roman"/>
          <w:b/>
          <w:bCs/>
        </w:rPr>
      </w:pPr>
    </w:p>
    <w:p>
      <w:pPr>
        <w:pStyle w:val="25"/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78" w:name="_Toc18935_WPSOffice_Level1"/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2 土地使用文件</w:t>
      </w:r>
      <w:bookmarkEnd w:id="178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15480" cy="5262245"/>
            <wp:effectExtent l="0" t="0" r="14605" b="13970"/>
            <wp:docPr id="106" name="图片 106" descr="9f825f04a924e3d097b1824081e2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9f825f04a924e3d097b1824081e229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both"/>
        <w:rPr>
          <w:rFonts w:hint="eastAsia" w:ascii="Times New Roman" w:hAnsi="Times New Roman" w:cs="Times New Roman" w:eastAsiaTheme="minorEastAsia"/>
          <w:b/>
          <w:bCs/>
          <w:lang w:eastAsia="zh-CN"/>
        </w:rPr>
      </w:pPr>
    </w:p>
    <w:p>
      <w:pPr>
        <w:pStyle w:val="9"/>
        <w:jc w:val="center"/>
        <w:rPr>
          <w:rFonts w:hint="eastAsia" w:ascii="Times New Roman" w:hAnsi="Times New Roman" w:cs="Times New Roman" w:eastAsiaTheme="minorEastAsia"/>
          <w:b/>
          <w:bCs/>
          <w:lang w:eastAsia="zh-CN"/>
        </w:rPr>
      </w:pPr>
    </w:p>
    <w:p>
      <w:pPr>
        <w:pStyle w:val="9"/>
        <w:jc w:val="both"/>
        <w:rPr>
          <w:rFonts w:hint="eastAsia" w:ascii="Times New Roman" w:hAnsi="Times New Roman" w:cs="Times New Roman" w:eastAsiaTheme="minorEastAsia"/>
          <w:b/>
          <w:bCs/>
          <w:lang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179" w:name="_Toc21364_WPSOffice_Level1"/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3 引用验收意见和监测报告</w:t>
      </w:r>
      <w:bookmarkEnd w:id="179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3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3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3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3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2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3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2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4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4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7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4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4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9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4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0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4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1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4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2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4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3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4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4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5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5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5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5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pStyle w:val="9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pStyle w:val="9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180" w:name="_Toc25436_WPSOffice_Level1"/>
      <w:r>
        <w:rPr>
          <w:rFonts w:hint="eastAsia"/>
          <w:lang w:val="en-US" w:eastAsia="zh-CN"/>
        </w:rPr>
        <w:t>附件4 现状监测报告</w:t>
      </w:r>
      <w:bookmarkEnd w:id="18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5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5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5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5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5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5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5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6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6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6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6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6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6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6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6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6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0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6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181" w:name="_Toc19897_WPSOffice_Level1"/>
      <w:r>
        <w:rPr>
          <w:rFonts w:hint="eastAsia"/>
          <w:lang w:val="en-US" w:eastAsia="zh-CN"/>
        </w:rPr>
        <w:t>大气自查表</w:t>
      </w:r>
      <w:bookmarkEnd w:id="181"/>
    </w:p>
    <w:tbl>
      <w:tblPr>
        <w:tblStyle w:val="16"/>
        <w:tblW w:w="966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26"/>
        <w:gridCol w:w="1683"/>
        <w:gridCol w:w="950"/>
        <w:gridCol w:w="667"/>
        <w:gridCol w:w="433"/>
        <w:gridCol w:w="883"/>
        <w:gridCol w:w="1317"/>
        <w:gridCol w:w="133"/>
        <w:gridCol w:w="850"/>
        <w:gridCol w:w="534"/>
        <w:gridCol w:w="16"/>
        <w:gridCol w:w="336"/>
        <w:gridCol w:w="8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" w:hRule="atLeast"/>
          <w:jc w:val="center"/>
        </w:trPr>
        <w:tc>
          <w:tcPr>
            <w:tcW w:w="2709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工作内容</w:t>
            </w:r>
          </w:p>
        </w:tc>
        <w:tc>
          <w:tcPr>
            <w:tcW w:w="6959" w:type="dxa"/>
            <w:gridSpan w:val="11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自查项目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评价等级与范围</w:t>
            </w: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评价等级</w:t>
            </w:r>
          </w:p>
        </w:tc>
        <w:tc>
          <w:tcPr>
            <w:tcW w:w="2933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一级□</w:t>
            </w:r>
          </w:p>
        </w:tc>
        <w:tc>
          <w:tcPr>
            <w:tcW w:w="230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三级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评价范围</w:t>
            </w:r>
          </w:p>
        </w:tc>
        <w:tc>
          <w:tcPr>
            <w:tcW w:w="2933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边长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=50km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sym w:font="Wingdings 2" w:char="00A3"/>
            </w:r>
          </w:p>
        </w:tc>
        <w:tc>
          <w:tcPr>
            <w:tcW w:w="230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边长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=5~50km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边长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=5km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评价因子</w:t>
            </w: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SO</w:t>
            </w:r>
            <w:r>
              <w:rPr>
                <w:rStyle w:val="68"/>
                <w:rFonts w:eastAsia="宋体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+NOx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排放量</w:t>
            </w:r>
          </w:p>
        </w:tc>
        <w:tc>
          <w:tcPr>
            <w:tcW w:w="1617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≥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2000t/a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3616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500~2000t/a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&lt;500t/a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评价因子</w:t>
            </w:r>
          </w:p>
        </w:tc>
        <w:tc>
          <w:tcPr>
            <w:tcW w:w="4250" w:type="dxa"/>
            <w:gridSpan w:val="5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基本污染物（颗粒物）</w:t>
            </w:r>
          </w:p>
        </w:tc>
        <w:tc>
          <w:tcPr>
            <w:tcW w:w="2709" w:type="dxa"/>
            <w:gridSpan w:val="6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包括二次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PM</w:t>
            </w:r>
            <w:r>
              <w:rPr>
                <w:rStyle w:val="68"/>
                <w:rFonts w:eastAsia="宋体"/>
                <w:sz w:val="18"/>
                <w:szCs w:val="18"/>
                <w:lang w:val="en-US" w:eastAsia="zh-CN" w:bidi="ar"/>
              </w:rPr>
              <w:t>2.5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50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其他污染物（二氧化硫、氮氧化物）</w:t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不包括二次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PM</w:t>
            </w:r>
            <w:r>
              <w:rPr>
                <w:rStyle w:val="68"/>
                <w:rFonts w:eastAsia="宋体"/>
                <w:sz w:val="18"/>
                <w:szCs w:val="18"/>
                <w:lang w:val="en-US" w:eastAsia="zh-CN" w:bidi="ar"/>
              </w:rPr>
              <w:t>2.5</w:t>
            </w:r>
            <w:r>
              <w:rPr>
                <w:rStyle w:val="46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评价标准</w:t>
            </w: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评价标准</w:t>
            </w:r>
          </w:p>
        </w:tc>
        <w:tc>
          <w:tcPr>
            <w:tcW w:w="205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国家标准</w:t>
            </w:r>
            <w:r>
              <w:rPr>
                <w:rStyle w:val="46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2200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地方标准□</w:t>
            </w:r>
          </w:p>
        </w:tc>
        <w:tc>
          <w:tcPr>
            <w:tcW w:w="1517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附录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192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其他标准□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现状评价</w:t>
            </w: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评价功能区</w:t>
            </w:r>
          </w:p>
        </w:tc>
        <w:tc>
          <w:tcPr>
            <w:tcW w:w="2933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一类区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sym w:font="Wingdings 2" w:char="00A3"/>
            </w:r>
          </w:p>
        </w:tc>
        <w:tc>
          <w:tcPr>
            <w:tcW w:w="230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二类区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一类区和二类区□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评价基准年</w:t>
            </w:r>
          </w:p>
        </w:tc>
        <w:tc>
          <w:tcPr>
            <w:tcW w:w="6959" w:type="dxa"/>
            <w:gridSpan w:val="11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（</w:t>
            </w:r>
            <w:r>
              <w:rPr>
                <w:rStyle w:val="66"/>
                <w:rFonts w:hint="eastAsia"/>
                <w:sz w:val="18"/>
                <w:szCs w:val="18"/>
                <w:lang w:val="en-US" w:eastAsia="zh-CN" w:bidi="ar"/>
              </w:rPr>
              <w:t>2018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）年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环境空气质量现状调查数据来源</w:t>
            </w:r>
          </w:p>
        </w:tc>
        <w:tc>
          <w:tcPr>
            <w:tcW w:w="2933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长期例行监测数据□</w:t>
            </w:r>
          </w:p>
        </w:tc>
        <w:tc>
          <w:tcPr>
            <w:tcW w:w="230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主管部门发布的数据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现状补充检测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5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现状评价</w:t>
            </w:r>
          </w:p>
        </w:tc>
        <w:tc>
          <w:tcPr>
            <w:tcW w:w="4250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达标区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sym w:font="Wingdings 2" w:char="0052"/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不达标区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污染源调查</w:t>
            </w:r>
          </w:p>
        </w:tc>
        <w:tc>
          <w:tcPr>
            <w:tcW w:w="1683" w:type="dxa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调查内容</w:t>
            </w:r>
          </w:p>
        </w:tc>
        <w:tc>
          <w:tcPr>
            <w:tcW w:w="2050" w:type="dxa"/>
            <w:gridSpan w:val="3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本项目正常排放源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2200" w:type="dxa"/>
            <w:gridSpan w:val="2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拟替代的污染源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sym w:font="Wingdings 2" w:char="00A3"/>
            </w:r>
          </w:p>
        </w:tc>
        <w:tc>
          <w:tcPr>
            <w:tcW w:w="1517" w:type="dxa"/>
            <w:gridSpan w:val="3"/>
            <w:vMerge w:val="restart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其他在建、拟建项目污染源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sym w:font="Wingdings 2" w:char="00A3"/>
            </w:r>
          </w:p>
        </w:tc>
        <w:tc>
          <w:tcPr>
            <w:tcW w:w="1192" w:type="dxa"/>
            <w:gridSpan w:val="3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区域污染源</w:t>
            </w:r>
            <w:r>
              <w:rPr>
                <w:rStyle w:val="46"/>
                <w:sz w:val="18"/>
                <w:szCs w:val="18"/>
                <w:lang w:val="en-US" w:eastAsia="zh-CN" w:bidi="ar"/>
              </w:rPr>
              <w:sym w:font="Wingdings 2" w:char="00A3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0" w:type="dxa"/>
            <w:gridSpan w:val="3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本项目非正常排放源□</w:t>
            </w:r>
          </w:p>
        </w:tc>
        <w:tc>
          <w:tcPr>
            <w:tcW w:w="2200" w:type="dxa"/>
            <w:gridSpan w:val="2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7" w:type="dxa"/>
            <w:gridSpan w:val="3"/>
            <w:vMerge w:val="continue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92" w:type="dxa"/>
            <w:gridSpan w:val="3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现有污染源□</w:t>
            </w:r>
          </w:p>
        </w:tc>
        <w:tc>
          <w:tcPr>
            <w:tcW w:w="2200" w:type="dxa"/>
            <w:gridSpan w:val="2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7" w:type="dxa"/>
            <w:gridSpan w:val="3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92" w:type="dxa"/>
            <w:gridSpan w:val="3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大气环境影响预测与评价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预测模型</w:t>
            </w:r>
          </w:p>
        </w:tc>
        <w:tc>
          <w:tcPr>
            <w:tcW w:w="950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AE</w:t>
            </w:r>
            <w:r>
              <w:rPr>
                <w:rStyle w:val="67"/>
                <w:rFonts w:hint="eastAsia" w:eastAsia="宋体"/>
                <w:sz w:val="18"/>
                <w:szCs w:val="18"/>
                <w:lang w:val="en-US" w:eastAsia="zh-CN" w:bidi="ar"/>
              </w:rPr>
              <w:t>R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MOD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667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ADMS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316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AUSTAL2000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317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EDMS/AEDT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983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CALPUFF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886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网格模型□</w:t>
            </w:r>
          </w:p>
        </w:tc>
        <w:tc>
          <w:tcPr>
            <w:tcW w:w="840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预测范围</w:t>
            </w:r>
          </w:p>
        </w:tc>
        <w:tc>
          <w:tcPr>
            <w:tcW w:w="1617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边长≥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50km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3616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边长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5~50km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边长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=5km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预测因子</w:t>
            </w:r>
          </w:p>
        </w:tc>
        <w:tc>
          <w:tcPr>
            <w:tcW w:w="4250" w:type="dxa"/>
            <w:gridSpan w:val="5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预测因子（颗粒物、氮氧化物、二氧化硫）</w:t>
            </w:r>
          </w:p>
        </w:tc>
        <w:tc>
          <w:tcPr>
            <w:tcW w:w="2709" w:type="dxa"/>
            <w:gridSpan w:val="6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包括二次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PM</w:t>
            </w:r>
            <w:r>
              <w:rPr>
                <w:rStyle w:val="68"/>
                <w:rFonts w:eastAsia="宋体"/>
                <w:sz w:val="18"/>
                <w:szCs w:val="18"/>
                <w:lang w:val="en-US" w:eastAsia="zh-CN" w:bidi="ar"/>
              </w:rPr>
              <w:t>2.5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50" w:type="dxa"/>
            <w:gridSpan w:val="5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不包括二次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PM</w:t>
            </w:r>
            <w:r>
              <w:rPr>
                <w:rStyle w:val="68"/>
                <w:rFonts w:eastAsia="宋体"/>
                <w:sz w:val="18"/>
                <w:szCs w:val="18"/>
                <w:lang w:val="en-US" w:eastAsia="zh-CN" w:bidi="ar"/>
              </w:rPr>
              <w:t>2.5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正常排放短期浓度贡献值</w:t>
            </w:r>
          </w:p>
        </w:tc>
        <w:tc>
          <w:tcPr>
            <w:tcW w:w="4250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6"/>
                <w:sz w:val="18"/>
                <w:szCs w:val="18"/>
                <w:vertAlign w:val="subscript"/>
                <w:lang w:val="en-US" w:eastAsia="zh-CN" w:bidi="ar"/>
              </w:rPr>
              <w:t>本项目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最大占标率≤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100%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6"/>
                <w:sz w:val="18"/>
                <w:szCs w:val="18"/>
                <w:vertAlign w:val="subscript"/>
                <w:lang w:val="en-US" w:eastAsia="zh-CN" w:bidi="ar"/>
              </w:rPr>
              <w:t>本项目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最大占标率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&gt;100%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正常排放年均浓度贡献值</w:t>
            </w:r>
          </w:p>
        </w:tc>
        <w:tc>
          <w:tcPr>
            <w:tcW w:w="1617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一类区</w:t>
            </w:r>
          </w:p>
        </w:tc>
        <w:tc>
          <w:tcPr>
            <w:tcW w:w="2633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9"/>
                <w:sz w:val="18"/>
                <w:szCs w:val="18"/>
                <w:lang w:val="en-US" w:eastAsia="zh-CN" w:bidi="ar"/>
              </w:rPr>
              <w:t>本项目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最大占标率≤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10%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sym w:font="Wingdings 2" w:char="00A3"/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9"/>
                <w:sz w:val="18"/>
                <w:szCs w:val="18"/>
                <w:lang w:val="en-US" w:eastAsia="zh-CN" w:bidi="ar"/>
              </w:rPr>
              <w:t>本项目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最大占标率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&gt;10%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17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二类区</w:t>
            </w:r>
          </w:p>
        </w:tc>
        <w:tc>
          <w:tcPr>
            <w:tcW w:w="2633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9"/>
                <w:sz w:val="18"/>
                <w:szCs w:val="18"/>
                <w:lang w:val="en-US" w:eastAsia="zh-CN" w:bidi="ar"/>
              </w:rPr>
              <w:t>本项目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最大占标率≤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30%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9"/>
                <w:sz w:val="18"/>
                <w:szCs w:val="18"/>
                <w:lang w:val="en-US" w:eastAsia="zh-CN" w:bidi="ar"/>
              </w:rPr>
              <w:t>本项目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最大占标率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&gt;30%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非正常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1h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浓度贡献值</w:t>
            </w:r>
          </w:p>
        </w:tc>
        <w:tc>
          <w:tcPr>
            <w:tcW w:w="2050" w:type="dxa"/>
            <w:gridSpan w:val="3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非正常持续时长</w:t>
            </w:r>
          </w:p>
        </w:tc>
        <w:tc>
          <w:tcPr>
            <w:tcW w:w="2333" w:type="dxa"/>
            <w:gridSpan w:val="3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9"/>
                <w:sz w:val="18"/>
                <w:szCs w:val="18"/>
                <w:lang w:val="en-US" w:eastAsia="zh-CN" w:bidi="ar"/>
              </w:rPr>
              <w:t>非正常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占标率≤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100%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2576" w:type="dxa"/>
            <w:gridSpan w:val="5"/>
            <w:vMerge w:val="restart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9"/>
                <w:sz w:val="18"/>
                <w:szCs w:val="18"/>
                <w:lang w:val="en-US" w:eastAsia="zh-CN" w:bidi="ar"/>
              </w:rPr>
              <w:t>非正常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占标率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&gt;100%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（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 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）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h</w:t>
            </w:r>
          </w:p>
        </w:tc>
        <w:tc>
          <w:tcPr>
            <w:tcW w:w="2333" w:type="dxa"/>
            <w:gridSpan w:val="3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76" w:type="dxa"/>
            <w:gridSpan w:val="5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保证率日平均浓度和年平均浓度叠加值</w:t>
            </w:r>
          </w:p>
        </w:tc>
        <w:tc>
          <w:tcPr>
            <w:tcW w:w="4250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叠加达标□</w:t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C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叠加不达标□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区域环境质量的整体变化情况</w:t>
            </w:r>
          </w:p>
        </w:tc>
        <w:tc>
          <w:tcPr>
            <w:tcW w:w="4250" w:type="dxa"/>
            <w:gridSpan w:val="5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k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≤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-20%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2709" w:type="dxa"/>
            <w:gridSpan w:val="6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k&gt;-20%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环境监测计划</w:t>
            </w:r>
          </w:p>
        </w:tc>
        <w:tc>
          <w:tcPr>
            <w:tcW w:w="1683" w:type="dxa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污染源监测</w:t>
            </w:r>
          </w:p>
        </w:tc>
        <w:tc>
          <w:tcPr>
            <w:tcW w:w="2933" w:type="dxa"/>
            <w:gridSpan w:val="4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监测因子：（颗粒物、氮氧化物、二氧化硫）</w:t>
            </w:r>
          </w:p>
        </w:tc>
        <w:tc>
          <w:tcPr>
            <w:tcW w:w="2300" w:type="dxa"/>
            <w:gridSpan w:val="3"/>
            <w:tcBorders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有组织废气监测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1726" w:type="dxa"/>
            <w:gridSpan w:val="4"/>
            <w:vMerge w:val="restart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无监测□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33" w:type="dxa"/>
            <w:gridSpan w:val="4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0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无组织废气监测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</w:p>
        </w:tc>
        <w:tc>
          <w:tcPr>
            <w:tcW w:w="1726" w:type="dxa"/>
            <w:gridSpan w:val="4"/>
            <w:vMerge w:val="continue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环境质量监测</w:t>
            </w:r>
          </w:p>
        </w:tc>
        <w:tc>
          <w:tcPr>
            <w:tcW w:w="2933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监测因子：（）</w:t>
            </w:r>
          </w:p>
        </w:tc>
        <w:tc>
          <w:tcPr>
            <w:tcW w:w="230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监测点位数（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 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）</w:t>
            </w:r>
          </w:p>
        </w:tc>
        <w:tc>
          <w:tcPr>
            <w:tcW w:w="1726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无监测□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评价结论</w:t>
            </w: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环境影响</w:t>
            </w:r>
          </w:p>
        </w:tc>
        <w:tc>
          <w:tcPr>
            <w:tcW w:w="6959" w:type="dxa"/>
            <w:gridSpan w:val="11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可以接受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46"/>
                <w:rFonts w:hint="eastAsia"/>
                <w:sz w:val="18"/>
                <w:szCs w:val="18"/>
                <w:lang w:val="en-US" w:eastAsia="zh-CN" w:bidi="ar"/>
              </w:rPr>
              <w:sym w:font="Wingdings 2" w:char="0052"/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            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不可以接受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大气环境防护距离</w:t>
            </w:r>
          </w:p>
        </w:tc>
        <w:tc>
          <w:tcPr>
            <w:tcW w:w="6959" w:type="dxa"/>
            <w:gridSpan w:val="11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距（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   )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厂界最远（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   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）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3" w:type="dxa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污染源年排放量</w:t>
            </w:r>
          </w:p>
        </w:tc>
        <w:tc>
          <w:tcPr>
            <w:tcW w:w="2050" w:type="dxa"/>
            <w:gridSpan w:val="3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SO</w:t>
            </w:r>
            <w:r>
              <w:rPr>
                <w:rStyle w:val="68"/>
                <w:rFonts w:eastAsia="宋体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:(  )t/a</w:t>
            </w:r>
          </w:p>
        </w:tc>
        <w:tc>
          <w:tcPr>
            <w:tcW w:w="2200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NOx:()t/a</w:t>
            </w:r>
          </w:p>
        </w:tc>
        <w:tc>
          <w:tcPr>
            <w:tcW w:w="1533" w:type="dxa"/>
            <w:gridSpan w:val="4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颗粒物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:()t/a</w:t>
            </w:r>
          </w:p>
        </w:tc>
        <w:tc>
          <w:tcPr>
            <w:tcW w:w="1176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</w:pP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VOCs:(  )t/a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9668" w:type="dxa"/>
            <w:gridSpan w:val="13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6"/>
                <w:sz w:val="18"/>
                <w:szCs w:val="18"/>
                <w:lang w:val="en-US" w:eastAsia="zh-CN" w:bidi="ar"/>
              </w:rPr>
              <w:t>注：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“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□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”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，填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“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√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”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；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“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（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 xml:space="preserve">  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）</w:t>
            </w:r>
            <w:r>
              <w:rPr>
                <w:rStyle w:val="67"/>
                <w:rFonts w:eastAsia="宋体"/>
                <w:sz w:val="18"/>
                <w:szCs w:val="18"/>
                <w:lang w:val="en-US" w:eastAsia="zh-CN" w:bidi="ar"/>
              </w:rPr>
              <w:t>”</w:t>
            </w:r>
            <w:r>
              <w:rPr>
                <w:rStyle w:val="66"/>
                <w:sz w:val="18"/>
                <w:szCs w:val="18"/>
                <w:lang w:val="en-US" w:eastAsia="zh-CN" w:bidi="ar"/>
              </w:rPr>
              <w:t>为内容填写项</w:t>
            </w: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56"/>
        <w:tab w:val="clear" w:pos="4153"/>
        <w:tab w:val="clear" w:pos="8306"/>
      </w:tabs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56"/>
        <w:tab w:val="clear" w:pos="4153"/>
        <w:tab w:val="clear" w:pos="8306"/>
      </w:tabs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2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qYIVAQAgAAC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F0+o0QzhSVdvn65fPtx+f6ZRCcoaq1fIHNnkRu616ZD+uj3cMbJ&#10;u8qp+MVMBHGQfb4SLLpAeLw0n83nOUIcsfEH+NnTdet8eCOMItEoqMMGE7HstPWhTx1TYjVtNo2U&#10;aYtSk7agNy9f5enCNQJwqVEjDtE3G63Q7bthsr0pzxjMmV4d3vJNg+Jb5sMjc5ADGobEwwOOShoU&#10;MYNFSW3cp7/5Yz62hCglLeRVUA39UyLfamwvKnE03GjsR0Mf1Z2BXqd4OpYnExdckKNZOaM+Qvfr&#10;WAMhpjkqFTSM5l3oJY53w8V6nZKgN8vCVu8sj9CRPG/XxwACE6+RlJ6JgSsoLm1meB1R0r/+p6yn&#10;N7z6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6mCFQEAIAAAs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5C2A1BE"/>
    <w:multiLevelType w:val="singleLevel"/>
    <w:tmpl w:val="E5C2A1B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4C757FD1"/>
    <w:multiLevelType w:val="singleLevel"/>
    <w:tmpl w:val="4C757FD1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6559DD36"/>
    <w:multiLevelType w:val="singleLevel"/>
    <w:tmpl w:val="6559DD3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6A6A67B3"/>
    <w:multiLevelType w:val="singleLevel"/>
    <w:tmpl w:val="6A6A67B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7F"/>
    <w:rsid w:val="000801BB"/>
    <w:rsid w:val="000C3748"/>
    <w:rsid w:val="001001B7"/>
    <w:rsid w:val="001459D3"/>
    <w:rsid w:val="002B11DB"/>
    <w:rsid w:val="003538AC"/>
    <w:rsid w:val="003F457E"/>
    <w:rsid w:val="004170DE"/>
    <w:rsid w:val="004A3562"/>
    <w:rsid w:val="005D532B"/>
    <w:rsid w:val="006260B8"/>
    <w:rsid w:val="00632358"/>
    <w:rsid w:val="0064044C"/>
    <w:rsid w:val="0066578A"/>
    <w:rsid w:val="006B6483"/>
    <w:rsid w:val="006F72AA"/>
    <w:rsid w:val="00725294"/>
    <w:rsid w:val="00735CBE"/>
    <w:rsid w:val="0075426F"/>
    <w:rsid w:val="00784FA6"/>
    <w:rsid w:val="007E47AA"/>
    <w:rsid w:val="00846443"/>
    <w:rsid w:val="0086318C"/>
    <w:rsid w:val="00936ABC"/>
    <w:rsid w:val="00A04E2D"/>
    <w:rsid w:val="00A2754B"/>
    <w:rsid w:val="00AA436F"/>
    <w:rsid w:val="00AC7A26"/>
    <w:rsid w:val="00AC7EA4"/>
    <w:rsid w:val="00AF4A0D"/>
    <w:rsid w:val="00B005B2"/>
    <w:rsid w:val="00B37337"/>
    <w:rsid w:val="00B37E7F"/>
    <w:rsid w:val="00BA057C"/>
    <w:rsid w:val="00BC234C"/>
    <w:rsid w:val="00BE099F"/>
    <w:rsid w:val="00C67C70"/>
    <w:rsid w:val="00C8447C"/>
    <w:rsid w:val="00CC604C"/>
    <w:rsid w:val="00CD0889"/>
    <w:rsid w:val="00D05B3E"/>
    <w:rsid w:val="00D56CA3"/>
    <w:rsid w:val="00DA5B31"/>
    <w:rsid w:val="00DD6656"/>
    <w:rsid w:val="00E329F1"/>
    <w:rsid w:val="00EC171A"/>
    <w:rsid w:val="00EC1730"/>
    <w:rsid w:val="00FC21A5"/>
    <w:rsid w:val="00FF0828"/>
    <w:rsid w:val="01047A4A"/>
    <w:rsid w:val="01421F91"/>
    <w:rsid w:val="01F11ABA"/>
    <w:rsid w:val="02651FDC"/>
    <w:rsid w:val="02674970"/>
    <w:rsid w:val="027C401E"/>
    <w:rsid w:val="029E4644"/>
    <w:rsid w:val="02C43B6C"/>
    <w:rsid w:val="02CA0D35"/>
    <w:rsid w:val="0384356A"/>
    <w:rsid w:val="03862D27"/>
    <w:rsid w:val="03DD3711"/>
    <w:rsid w:val="041F3CA6"/>
    <w:rsid w:val="044D7484"/>
    <w:rsid w:val="04526C81"/>
    <w:rsid w:val="045F65C4"/>
    <w:rsid w:val="049E0538"/>
    <w:rsid w:val="04D1336D"/>
    <w:rsid w:val="04ED6D90"/>
    <w:rsid w:val="05116568"/>
    <w:rsid w:val="05184AE4"/>
    <w:rsid w:val="0520357A"/>
    <w:rsid w:val="055C1C90"/>
    <w:rsid w:val="05655D89"/>
    <w:rsid w:val="058E3E38"/>
    <w:rsid w:val="05945796"/>
    <w:rsid w:val="05E706C9"/>
    <w:rsid w:val="06171802"/>
    <w:rsid w:val="06175A47"/>
    <w:rsid w:val="061C45A1"/>
    <w:rsid w:val="063A5135"/>
    <w:rsid w:val="063D5EA5"/>
    <w:rsid w:val="06B66C7E"/>
    <w:rsid w:val="06EB4403"/>
    <w:rsid w:val="07265EA3"/>
    <w:rsid w:val="07351E27"/>
    <w:rsid w:val="077B1D5D"/>
    <w:rsid w:val="07FB7390"/>
    <w:rsid w:val="0824152B"/>
    <w:rsid w:val="08526BE0"/>
    <w:rsid w:val="086A7773"/>
    <w:rsid w:val="08F36837"/>
    <w:rsid w:val="090C2052"/>
    <w:rsid w:val="090C25A3"/>
    <w:rsid w:val="091C006C"/>
    <w:rsid w:val="096B0A78"/>
    <w:rsid w:val="098A6135"/>
    <w:rsid w:val="099A7E0F"/>
    <w:rsid w:val="09C559FA"/>
    <w:rsid w:val="09E11A1B"/>
    <w:rsid w:val="0A4B001D"/>
    <w:rsid w:val="0A4B0785"/>
    <w:rsid w:val="0A581315"/>
    <w:rsid w:val="0A7B4955"/>
    <w:rsid w:val="0A84410D"/>
    <w:rsid w:val="0ACB1021"/>
    <w:rsid w:val="0AEE5660"/>
    <w:rsid w:val="0AEF4025"/>
    <w:rsid w:val="0B4A0DA2"/>
    <w:rsid w:val="0B6005B1"/>
    <w:rsid w:val="0B6E7732"/>
    <w:rsid w:val="0BAC5836"/>
    <w:rsid w:val="0BB45505"/>
    <w:rsid w:val="0C070F88"/>
    <w:rsid w:val="0C085211"/>
    <w:rsid w:val="0C0F0E49"/>
    <w:rsid w:val="0C226E6E"/>
    <w:rsid w:val="0C562A6F"/>
    <w:rsid w:val="0C635CD5"/>
    <w:rsid w:val="0CA06BD1"/>
    <w:rsid w:val="0CC83351"/>
    <w:rsid w:val="0CF44D46"/>
    <w:rsid w:val="0D833FC0"/>
    <w:rsid w:val="0DB05B38"/>
    <w:rsid w:val="0E6F13CB"/>
    <w:rsid w:val="0E7E3A5D"/>
    <w:rsid w:val="0EBE23AA"/>
    <w:rsid w:val="0F18557D"/>
    <w:rsid w:val="0F3F77CA"/>
    <w:rsid w:val="0F8F574E"/>
    <w:rsid w:val="0F9F0CB1"/>
    <w:rsid w:val="0FE17574"/>
    <w:rsid w:val="105707E0"/>
    <w:rsid w:val="10BB297B"/>
    <w:rsid w:val="10F61928"/>
    <w:rsid w:val="11651337"/>
    <w:rsid w:val="11712B1A"/>
    <w:rsid w:val="117609F7"/>
    <w:rsid w:val="11866452"/>
    <w:rsid w:val="11C628D2"/>
    <w:rsid w:val="11DC0AE0"/>
    <w:rsid w:val="12101C59"/>
    <w:rsid w:val="123C2B9B"/>
    <w:rsid w:val="12804456"/>
    <w:rsid w:val="1282116E"/>
    <w:rsid w:val="131A7F42"/>
    <w:rsid w:val="134E663A"/>
    <w:rsid w:val="1352370A"/>
    <w:rsid w:val="1356763E"/>
    <w:rsid w:val="136404D5"/>
    <w:rsid w:val="136573D6"/>
    <w:rsid w:val="139276D8"/>
    <w:rsid w:val="13C21E32"/>
    <w:rsid w:val="14003B0A"/>
    <w:rsid w:val="14435CC5"/>
    <w:rsid w:val="14513CA8"/>
    <w:rsid w:val="14744127"/>
    <w:rsid w:val="1481732C"/>
    <w:rsid w:val="14997A71"/>
    <w:rsid w:val="14B1615E"/>
    <w:rsid w:val="14CF03E9"/>
    <w:rsid w:val="14D7061E"/>
    <w:rsid w:val="15071915"/>
    <w:rsid w:val="15246FA5"/>
    <w:rsid w:val="155753CD"/>
    <w:rsid w:val="155A1329"/>
    <w:rsid w:val="15612534"/>
    <w:rsid w:val="15730FEE"/>
    <w:rsid w:val="16197619"/>
    <w:rsid w:val="16803377"/>
    <w:rsid w:val="169C1A32"/>
    <w:rsid w:val="16D25E5D"/>
    <w:rsid w:val="16D62B62"/>
    <w:rsid w:val="16FD51F7"/>
    <w:rsid w:val="170846EE"/>
    <w:rsid w:val="170E6F3C"/>
    <w:rsid w:val="171001BD"/>
    <w:rsid w:val="172E5BC2"/>
    <w:rsid w:val="17325208"/>
    <w:rsid w:val="17444BA6"/>
    <w:rsid w:val="17E77906"/>
    <w:rsid w:val="17EE1D4E"/>
    <w:rsid w:val="182C676A"/>
    <w:rsid w:val="18441802"/>
    <w:rsid w:val="184B609E"/>
    <w:rsid w:val="187D3E67"/>
    <w:rsid w:val="189D4068"/>
    <w:rsid w:val="18C97204"/>
    <w:rsid w:val="18EF7A8A"/>
    <w:rsid w:val="19443311"/>
    <w:rsid w:val="19704F12"/>
    <w:rsid w:val="19C1229D"/>
    <w:rsid w:val="1A16434E"/>
    <w:rsid w:val="1A3B472B"/>
    <w:rsid w:val="1A4A35B7"/>
    <w:rsid w:val="1A8306D0"/>
    <w:rsid w:val="1A86774B"/>
    <w:rsid w:val="1A925D91"/>
    <w:rsid w:val="1AB87303"/>
    <w:rsid w:val="1ABA72DA"/>
    <w:rsid w:val="1ABF1304"/>
    <w:rsid w:val="1AD418BE"/>
    <w:rsid w:val="1AF237CD"/>
    <w:rsid w:val="1B2719B3"/>
    <w:rsid w:val="1B7A65BE"/>
    <w:rsid w:val="1B7C0733"/>
    <w:rsid w:val="1B9B7DF4"/>
    <w:rsid w:val="1C871B1F"/>
    <w:rsid w:val="1CC737E1"/>
    <w:rsid w:val="1CE11870"/>
    <w:rsid w:val="1CE92297"/>
    <w:rsid w:val="1CF24D0B"/>
    <w:rsid w:val="1D0B4857"/>
    <w:rsid w:val="1D52771E"/>
    <w:rsid w:val="1D737BD9"/>
    <w:rsid w:val="1DC02183"/>
    <w:rsid w:val="1DE552F5"/>
    <w:rsid w:val="1E547F03"/>
    <w:rsid w:val="1E78062C"/>
    <w:rsid w:val="1ED37A06"/>
    <w:rsid w:val="1EF37040"/>
    <w:rsid w:val="1F236E15"/>
    <w:rsid w:val="1F8E77B2"/>
    <w:rsid w:val="1FAA1828"/>
    <w:rsid w:val="1FB87715"/>
    <w:rsid w:val="1FB94CCB"/>
    <w:rsid w:val="1FF076CD"/>
    <w:rsid w:val="20314869"/>
    <w:rsid w:val="20B561F0"/>
    <w:rsid w:val="20BD0219"/>
    <w:rsid w:val="20F84A6B"/>
    <w:rsid w:val="210466B6"/>
    <w:rsid w:val="21061EA9"/>
    <w:rsid w:val="212E59D7"/>
    <w:rsid w:val="21786936"/>
    <w:rsid w:val="21F809F4"/>
    <w:rsid w:val="21FE5E18"/>
    <w:rsid w:val="221B464C"/>
    <w:rsid w:val="222230D7"/>
    <w:rsid w:val="22286CA0"/>
    <w:rsid w:val="2244336F"/>
    <w:rsid w:val="226E34A6"/>
    <w:rsid w:val="22783AF6"/>
    <w:rsid w:val="22950E82"/>
    <w:rsid w:val="2320375F"/>
    <w:rsid w:val="23555431"/>
    <w:rsid w:val="237B045B"/>
    <w:rsid w:val="23BC7F7A"/>
    <w:rsid w:val="23D52D27"/>
    <w:rsid w:val="2437601E"/>
    <w:rsid w:val="24453595"/>
    <w:rsid w:val="24570909"/>
    <w:rsid w:val="249D5EA9"/>
    <w:rsid w:val="24A70C12"/>
    <w:rsid w:val="25007A25"/>
    <w:rsid w:val="25623DA3"/>
    <w:rsid w:val="25731C37"/>
    <w:rsid w:val="25763142"/>
    <w:rsid w:val="2594163E"/>
    <w:rsid w:val="25E7783D"/>
    <w:rsid w:val="25F16CA2"/>
    <w:rsid w:val="26444176"/>
    <w:rsid w:val="26D61256"/>
    <w:rsid w:val="26EE5888"/>
    <w:rsid w:val="27253D56"/>
    <w:rsid w:val="272C6268"/>
    <w:rsid w:val="272F3191"/>
    <w:rsid w:val="277865BB"/>
    <w:rsid w:val="27B34331"/>
    <w:rsid w:val="27C97852"/>
    <w:rsid w:val="27E04631"/>
    <w:rsid w:val="27F543ED"/>
    <w:rsid w:val="281477A8"/>
    <w:rsid w:val="28341CCA"/>
    <w:rsid w:val="284E2D8B"/>
    <w:rsid w:val="285534E2"/>
    <w:rsid w:val="285566F9"/>
    <w:rsid w:val="288E0D91"/>
    <w:rsid w:val="28A73DDF"/>
    <w:rsid w:val="28AC26EB"/>
    <w:rsid w:val="28EE4CA2"/>
    <w:rsid w:val="29481D51"/>
    <w:rsid w:val="29545CE6"/>
    <w:rsid w:val="297040CB"/>
    <w:rsid w:val="2984769E"/>
    <w:rsid w:val="29AC2024"/>
    <w:rsid w:val="29DB468E"/>
    <w:rsid w:val="2A241766"/>
    <w:rsid w:val="2A4D6442"/>
    <w:rsid w:val="2AA305B7"/>
    <w:rsid w:val="2AF87F37"/>
    <w:rsid w:val="2B062D4C"/>
    <w:rsid w:val="2B5E04C8"/>
    <w:rsid w:val="2B777818"/>
    <w:rsid w:val="2B8557B7"/>
    <w:rsid w:val="2BA23266"/>
    <w:rsid w:val="2BF154A1"/>
    <w:rsid w:val="2BFD1758"/>
    <w:rsid w:val="2C504B62"/>
    <w:rsid w:val="2C74671C"/>
    <w:rsid w:val="2CBF7487"/>
    <w:rsid w:val="2D286617"/>
    <w:rsid w:val="2D287771"/>
    <w:rsid w:val="2D385D44"/>
    <w:rsid w:val="2D566CB6"/>
    <w:rsid w:val="2E066340"/>
    <w:rsid w:val="2E344500"/>
    <w:rsid w:val="2E671C25"/>
    <w:rsid w:val="2EB643FE"/>
    <w:rsid w:val="2EB777D4"/>
    <w:rsid w:val="2EB82BD8"/>
    <w:rsid w:val="2EC01834"/>
    <w:rsid w:val="2ED11F75"/>
    <w:rsid w:val="2EF33408"/>
    <w:rsid w:val="2F1462CB"/>
    <w:rsid w:val="2F754BBA"/>
    <w:rsid w:val="2F793853"/>
    <w:rsid w:val="2F833419"/>
    <w:rsid w:val="2FB53BC7"/>
    <w:rsid w:val="2FE31090"/>
    <w:rsid w:val="3006672B"/>
    <w:rsid w:val="302C4009"/>
    <w:rsid w:val="303E4B13"/>
    <w:rsid w:val="30832108"/>
    <w:rsid w:val="309A4F43"/>
    <w:rsid w:val="30F004C0"/>
    <w:rsid w:val="30F5181C"/>
    <w:rsid w:val="310073B9"/>
    <w:rsid w:val="310C1BCC"/>
    <w:rsid w:val="31104186"/>
    <w:rsid w:val="31284615"/>
    <w:rsid w:val="320D1BE3"/>
    <w:rsid w:val="32E17AD5"/>
    <w:rsid w:val="33027F9D"/>
    <w:rsid w:val="333A0D57"/>
    <w:rsid w:val="33400A13"/>
    <w:rsid w:val="33A91F21"/>
    <w:rsid w:val="33C415FE"/>
    <w:rsid w:val="34026C90"/>
    <w:rsid w:val="348E55DD"/>
    <w:rsid w:val="34FE4EEF"/>
    <w:rsid w:val="34FF0D7E"/>
    <w:rsid w:val="354E0D19"/>
    <w:rsid w:val="3559067C"/>
    <w:rsid w:val="357D6039"/>
    <w:rsid w:val="35BD6C56"/>
    <w:rsid w:val="35CC3F23"/>
    <w:rsid w:val="35EC61B0"/>
    <w:rsid w:val="361F39D3"/>
    <w:rsid w:val="363146B8"/>
    <w:rsid w:val="36481F60"/>
    <w:rsid w:val="36537559"/>
    <w:rsid w:val="368753B8"/>
    <w:rsid w:val="36956E87"/>
    <w:rsid w:val="36BA0F48"/>
    <w:rsid w:val="36CE7793"/>
    <w:rsid w:val="36DF68A6"/>
    <w:rsid w:val="36E867F3"/>
    <w:rsid w:val="37024F15"/>
    <w:rsid w:val="37127E7F"/>
    <w:rsid w:val="37825922"/>
    <w:rsid w:val="37F4726A"/>
    <w:rsid w:val="37FC6A25"/>
    <w:rsid w:val="38333215"/>
    <w:rsid w:val="38544045"/>
    <w:rsid w:val="38AB4E4F"/>
    <w:rsid w:val="38BF4D4E"/>
    <w:rsid w:val="38CE2F2B"/>
    <w:rsid w:val="38D72921"/>
    <w:rsid w:val="38F34340"/>
    <w:rsid w:val="39C623E2"/>
    <w:rsid w:val="39CE67AB"/>
    <w:rsid w:val="3A17078F"/>
    <w:rsid w:val="3A2742B0"/>
    <w:rsid w:val="3A3B2161"/>
    <w:rsid w:val="3A571B69"/>
    <w:rsid w:val="3A744396"/>
    <w:rsid w:val="3B1B7D9C"/>
    <w:rsid w:val="3B31714D"/>
    <w:rsid w:val="3B4156B5"/>
    <w:rsid w:val="3B552035"/>
    <w:rsid w:val="3B9B274D"/>
    <w:rsid w:val="3BB264BD"/>
    <w:rsid w:val="3BC17EA8"/>
    <w:rsid w:val="3C2C3395"/>
    <w:rsid w:val="3C7B6822"/>
    <w:rsid w:val="3CF17324"/>
    <w:rsid w:val="3CF508C1"/>
    <w:rsid w:val="3CFD6AE7"/>
    <w:rsid w:val="3D023F55"/>
    <w:rsid w:val="3D341E1A"/>
    <w:rsid w:val="3D5E7B8A"/>
    <w:rsid w:val="3D7B0273"/>
    <w:rsid w:val="3DDB3828"/>
    <w:rsid w:val="3DED6D86"/>
    <w:rsid w:val="3DFD27E6"/>
    <w:rsid w:val="3E2B442C"/>
    <w:rsid w:val="3EEB6F5E"/>
    <w:rsid w:val="3F1849EE"/>
    <w:rsid w:val="3F24178B"/>
    <w:rsid w:val="3F530110"/>
    <w:rsid w:val="3FC709B9"/>
    <w:rsid w:val="40376C99"/>
    <w:rsid w:val="404C5577"/>
    <w:rsid w:val="40B82C53"/>
    <w:rsid w:val="40D92879"/>
    <w:rsid w:val="40D976F1"/>
    <w:rsid w:val="40E0706F"/>
    <w:rsid w:val="40E26F6D"/>
    <w:rsid w:val="40E30283"/>
    <w:rsid w:val="415E204B"/>
    <w:rsid w:val="41C7346E"/>
    <w:rsid w:val="41E97A19"/>
    <w:rsid w:val="42A41FF7"/>
    <w:rsid w:val="43002B66"/>
    <w:rsid w:val="435A7C49"/>
    <w:rsid w:val="43827FF3"/>
    <w:rsid w:val="438471E1"/>
    <w:rsid w:val="439325CE"/>
    <w:rsid w:val="43985556"/>
    <w:rsid w:val="43AC054E"/>
    <w:rsid w:val="43B66BD7"/>
    <w:rsid w:val="43BE7A89"/>
    <w:rsid w:val="43E964E0"/>
    <w:rsid w:val="442E4A34"/>
    <w:rsid w:val="44637E8E"/>
    <w:rsid w:val="448D2EA9"/>
    <w:rsid w:val="448F764A"/>
    <w:rsid w:val="44935679"/>
    <w:rsid w:val="44B07753"/>
    <w:rsid w:val="44FB1283"/>
    <w:rsid w:val="44FC6154"/>
    <w:rsid w:val="453524BF"/>
    <w:rsid w:val="45682D89"/>
    <w:rsid w:val="45B122C6"/>
    <w:rsid w:val="461779CE"/>
    <w:rsid w:val="4648121A"/>
    <w:rsid w:val="46517D53"/>
    <w:rsid w:val="468B5413"/>
    <w:rsid w:val="469C00D9"/>
    <w:rsid w:val="473341F3"/>
    <w:rsid w:val="473377DA"/>
    <w:rsid w:val="47360A63"/>
    <w:rsid w:val="47627BC6"/>
    <w:rsid w:val="476A64C5"/>
    <w:rsid w:val="476D5EC4"/>
    <w:rsid w:val="47BE0999"/>
    <w:rsid w:val="48393640"/>
    <w:rsid w:val="48AD64B0"/>
    <w:rsid w:val="48AF4D11"/>
    <w:rsid w:val="48CC7B63"/>
    <w:rsid w:val="48CE4275"/>
    <w:rsid w:val="49AC0588"/>
    <w:rsid w:val="49CD0F4A"/>
    <w:rsid w:val="49FE2A42"/>
    <w:rsid w:val="4A0021A7"/>
    <w:rsid w:val="4A250954"/>
    <w:rsid w:val="4A2C52CA"/>
    <w:rsid w:val="4A9B4014"/>
    <w:rsid w:val="4AA360F2"/>
    <w:rsid w:val="4AB70215"/>
    <w:rsid w:val="4B2526C8"/>
    <w:rsid w:val="4B74197F"/>
    <w:rsid w:val="4B874B66"/>
    <w:rsid w:val="4BB65E38"/>
    <w:rsid w:val="4BDC05C4"/>
    <w:rsid w:val="4C031351"/>
    <w:rsid w:val="4C134B94"/>
    <w:rsid w:val="4C3C7168"/>
    <w:rsid w:val="4CFB1123"/>
    <w:rsid w:val="4CFB42CE"/>
    <w:rsid w:val="4D143306"/>
    <w:rsid w:val="4D242D78"/>
    <w:rsid w:val="4D2748B7"/>
    <w:rsid w:val="4D4C0D8E"/>
    <w:rsid w:val="4D522265"/>
    <w:rsid w:val="4D7A484B"/>
    <w:rsid w:val="4D930B53"/>
    <w:rsid w:val="4DB36CB1"/>
    <w:rsid w:val="4DBE6E26"/>
    <w:rsid w:val="4DD225C5"/>
    <w:rsid w:val="4DEA2D64"/>
    <w:rsid w:val="4DEF19A7"/>
    <w:rsid w:val="4DF26D87"/>
    <w:rsid w:val="4E204E3E"/>
    <w:rsid w:val="4E423CE5"/>
    <w:rsid w:val="4E62025E"/>
    <w:rsid w:val="4E775F7E"/>
    <w:rsid w:val="4E7E14B6"/>
    <w:rsid w:val="4E7E5386"/>
    <w:rsid w:val="4E9F17B5"/>
    <w:rsid w:val="4EE5055C"/>
    <w:rsid w:val="4EF92490"/>
    <w:rsid w:val="4F0B320C"/>
    <w:rsid w:val="4F241D2C"/>
    <w:rsid w:val="4FD70C3B"/>
    <w:rsid w:val="4FE42682"/>
    <w:rsid w:val="4FF55726"/>
    <w:rsid w:val="4FF82169"/>
    <w:rsid w:val="50A253DB"/>
    <w:rsid w:val="50B568A4"/>
    <w:rsid w:val="50CE685B"/>
    <w:rsid w:val="51137395"/>
    <w:rsid w:val="51696976"/>
    <w:rsid w:val="51AE1267"/>
    <w:rsid w:val="51F85208"/>
    <w:rsid w:val="52025E79"/>
    <w:rsid w:val="52204FDB"/>
    <w:rsid w:val="528208BF"/>
    <w:rsid w:val="52C24D1A"/>
    <w:rsid w:val="52D463E1"/>
    <w:rsid w:val="52F45504"/>
    <w:rsid w:val="53A16A3F"/>
    <w:rsid w:val="53BC720F"/>
    <w:rsid w:val="54812375"/>
    <w:rsid w:val="54C97171"/>
    <w:rsid w:val="54DB3C85"/>
    <w:rsid w:val="54EF70DD"/>
    <w:rsid w:val="54F43767"/>
    <w:rsid w:val="54F77E84"/>
    <w:rsid w:val="55193230"/>
    <w:rsid w:val="55256D09"/>
    <w:rsid w:val="552C2A41"/>
    <w:rsid w:val="55451811"/>
    <w:rsid w:val="55765A45"/>
    <w:rsid w:val="55A13C8B"/>
    <w:rsid w:val="55B47D99"/>
    <w:rsid w:val="55BA661B"/>
    <w:rsid w:val="561A4C4F"/>
    <w:rsid w:val="562E2240"/>
    <w:rsid w:val="568017CC"/>
    <w:rsid w:val="568A4A5E"/>
    <w:rsid w:val="56A464A6"/>
    <w:rsid w:val="56BF6E0B"/>
    <w:rsid w:val="56D218E5"/>
    <w:rsid w:val="573D424D"/>
    <w:rsid w:val="57D46DB3"/>
    <w:rsid w:val="58011A6B"/>
    <w:rsid w:val="582048D8"/>
    <w:rsid w:val="58242CD3"/>
    <w:rsid w:val="58663ECF"/>
    <w:rsid w:val="58A741E8"/>
    <w:rsid w:val="58C155A4"/>
    <w:rsid w:val="58C87CED"/>
    <w:rsid w:val="59144109"/>
    <w:rsid w:val="591555B8"/>
    <w:rsid w:val="5937343D"/>
    <w:rsid w:val="59A50F9F"/>
    <w:rsid w:val="59F3725E"/>
    <w:rsid w:val="5A295F20"/>
    <w:rsid w:val="5A72631C"/>
    <w:rsid w:val="5A8E7200"/>
    <w:rsid w:val="5A9D5FAE"/>
    <w:rsid w:val="5AE23503"/>
    <w:rsid w:val="5B0E41E2"/>
    <w:rsid w:val="5B377FCB"/>
    <w:rsid w:val="5B4A3FF1"/>
    <w:rsid w:val="5B6D08B3"/>
    <w:rsid w:val="5B8102C1"/>
    <w:rsid w:val="5BA16B99"/>
    <w:rsid w:val="5BB82FC0"/>
    <w:rsid w:val="5BCD204D"/>
    <w:rsid w:val="5BE231FE"/>
    <w:rsid w:val="5BFC45CC"/>
    <w:rsid w:val="5C294954"/>
    <w:rsid w:val="5C3B7279"/>
    <w:rsid w:val="5C4D35CA"/>
    <w:rsid w:val="5C8745AF"/>
    <w:rsid w:val="5C973834"/>
    <w:rsid w:val="5CD238DB"/>
    <w:rsid w:val="5CF277A8"/>
    <w:rsid w:val="5D726495"/>
    <w:rsid w:val="5D9F1D6E"/>
    <w:rsid w:val="5DA73FA9"/>
    <w:rsid w:val="5DB9418B"/>
    <w:rsid w:val="5DEB12F3"/>
    <w:rsid w:val="5DF50DF4"/>
    <w:rsid w:val="5E072AAA"/>
    <w:rsid w:val="5E0E03C5"/>
    <w:rsid w:val="5E650B17"/>
    <w:rsid w:val="5EC12098"/>
    <w:rsid w:val="5F126AFE"/>
    <w:rsid w:val="5F1B5B2E"/>
    <w:rsid w:val="5F217B95"/>
    <w:rsid w:val="5F27187E"/>
    <w:rsid w:val="5F6B3CB5"/>
    <w:rsid w:val="5F8B5759"/>
    <w:rsid w:val="5FAB1BC8"/>
    <w:rsid w:val="60062670"/>
    <w:rsid w:val="602F1FEE"/>
    <w:rsid w:val="60500EC8"/>
    <w:rsid w:val="60546FCF"/>
    <w:rsid w:val="60580108"/>
    <w:rsid w:val="60AA118E"/>
    <w:rsid w:val="61026398"/>
    <w:rsid w:val="612D46E8"/>
    <w:rsid w:val="616B4535"/>
    <w:rsid w:val="61780363"/>
    <w:rsid w:val="61C80BAD"/>
    <w:rsid w:val="61E11D1D"/>
    <w:rsid w:val="61FA3B81"/>
    <w:rsid w:val="621B3B6D"/>
    <w:rsid w:val="623E13FF"/>
    <w:rsid w:val="62401D05"/>
    <w:rsid w:val="62A37CDA"/>
    <w:rsid w:val="62D767B6"/>
    <w:rsid w:val="62E85E08"/>
    <w:rsid w:val="62FB7B74"/>
    <w:rsid w:val="631849BE"/>
    <w:rsid w:val="63207662"/>
    <w:rsid w:val="63365FE6"/>
    <w:rsid w:val="637C02D0"/>
    <w:rsid w:val="638156F4"/>
    <w:rsid w:val="63894282"/>
    <w:rsid w:val="63B06B12"/>
    <w:rsid w:val="6434019D"/>
    <w:rsid w:val="644B78DD"/>
    <w:rsid w:val="649D3DB7"/>
    <w:rsid w:val="64EC1F08"/>
    <w:rsid w:val="64F32C2C"/>
    <w:rsid w:val="65793CC4"/>
    <w:rsid w:val="662A5792"/>
    <w:rsid w:val="665C1C74"/>
    <w:rsid w:val="66681140"/>
    <w:rsid w:val="66A55E78"/>
    <w:rsid w:val="66C1455F"/>
    <w:rsid w:val="66F53B0E"/>
    <w:rsid w:val="672B7C8E"/>
    <w:rsid w:val="678866E2"/>
    <w:rsid w:val="67905341"/>
    <w:rsid w:val="68167CB0"/>
    <w:rsid w:val="68324B32"/>
    <w:rsid w:val="683B585C"/>
    <w:rsid w:val="683F3219"/>
    <w:rsid w:val="68525D99"/>
    <w:rsid w:val="68593A47"/>
    <w:rsid w:val="68B56B8E"/>
    <w:rsid w:val="69260CE5"/>
    <w:rsid w:val="6957588C"/>
    <w:rsid w:val="696A6FE9"/>
    <w:rsid w:val="6A037B90"/>
    <w:rsid w:val="6A6427FA"/>
    <w:rsid w:val="6A690BD7"/>
    <w:rsid w:val="6A8E69A9"/>
    <w:rsid w:val="6A933A60"/>
    <w:rsid w:val="6AC7522F"/>
    <w:rsid w:val="6B1D0B31"/>
    <w:rsid w:val="6B401E38"/>
    <w:rsid w:val="6B544D84"/>
    <w:rsid w:val="6BE76C3E"/>
    <w:rsid w:val="6BEE7E5D"/>
    <w:rsid w:val="6C172769"/>
    <w:rsid w:val="6C615545"/>
    <w:rsid w:val="6C6A5826"/>
    <w:rsid w:val="6C6C42E3"/>
    <w:rsid w:val="6C9F2D33"/>
    <w:rsid w:val="6D157744"/>
    <w:rsid w:val="6D1B3ACE"/>
    <w:rsid w:val="6D1D2C0D"/>
    <w:rsid w:val="6D270CAE"/>
    <w:rsid w:val="6D370D40"/>
    <w:rsid w:val="6D3F1261"/>
    <w:rsid w:val="6D8A011F"/>
    <w:rsid w:val="6D965B55"/>
    <w:rsid w:val="6E121577"/>
    <w:rsid w:val="6E4D4F16"/>
    <w:rsid w:val="6E534A3F"/>
    <w:rsid w:val="6E8224B6"/>
    <w:rsid w:val="6F103BB6"/>
    <w:rsid w:val="6F202B00"/>
    <w:rsid w:val="6F4D17AA"/>
    <w:rsid w:val="6F92487E"/>
    <w:rsid w:val="6FD23E4C"/>
    <w:rsid w:val="6FDC55F9"/>
    <w:rsid w:val="6FDE2474"/>
    <w:rsid w:val="701567EA"/>
    <w:rsid w:val="702C3F80"/>
    <w:rsid w:val="703828C8"/>
    <w:rsid w:val="703F54F1"/>
    <w:rsid w:val="70A50106"/>
    <w:rsid w:val="70D62371"/>
    <w:rsid w:val="710E28B4"/>
    <w:rsid w:val="714E43EA"/>
    <w:rsid w:val="71BA658D"/>
    <w:rsid w:val="71BC1DCB"/>
    <w:rsid w:val="72346AF5"/>
    <w:rsid w:val="724F66C7"/>
    <w:rsid w:val="725E1FAF"/>
    <w:rsid w:val="72761E41"/>
    <w:rsid w:val="730C744C"/>
    <w:rsid w:val="731845A4"/>
    <w:rsid w:val="738B73A7"/>
    <w:rsid w:val="73B85CF2"/>
    <w:rsid w:val="73C27770"/>
    <w:rsid w:val="73EF799F"/>
    <w:rsid w:val="746D7AAE"/>
    <w:rsid w:val="74757ECF"/>
    <w:rsid w:val="747A56EC"/>
    <w:rsid w:val="747B69FA"/>
    <w:rsid w:val="748233B6"/>
    <w:rsid w:val="749945C4"/>
    <w:rsid w:val="74BF70C4"/>
    <w:rsid w:val="74E935BA"/>
    <w:rsid w:val="751C6CE1"/>
    <w:rsid w:val="751D1AFE"/>
    <w:rsid w:val="755A5C7A"/>
    <w:rsid w:val="758C370F"/>
    <w:rsid w:val="759B0BF6"/>
    <w:rsid w:val="75D742BD"/>
    <w:rsid w:val="75E43ED4"/>
    <w:rsid w:val="762E318A"/>
    <w:rsid w:val="76A702D5"/>
    <w:rsid w:val="76AF6E0B"/>
    <w:rsid w:val="76BF5BDE"/>
    <w:rsid w:val="76E278F6"/>
    <w:rsid w:val="76E81F53"/>
    <w:rsid w:val="77297A61"/>
    <w:rsid w:val="773D1A02"/>
    <w:rsid w:val="774F3202"/>
    <w:rsid w:val="775F7E1D"/>
    <w:rsid w:val="77A125FC"/>
    <w:rsid w:val="77BE7CC3"/>
    <w:rsid w:val="78237C3C"/>
    <w:rsid w:val="786D5927"/>
    <w:rsid w:val="78BC2AAB"/>
    <w:rsid w:val="791D10D1"/>
    <w:rsid w:val="79305F4A"/>
    <w:rsid w:val="794040F6"/>
    <w:rsid w:val="79A278B2"/>
    <w:rsid w:val="79DF7A3F"/>
    <w:rsid w:val="7A0C17AC"/>
    <w:rsid w:val="7A4B23A6"/>
    <w:rsid w:val="7ADD55B9"/>
    <w:rsid w:val="7B5D16B3"/>
    <w:rsid w:val="7BE54A2B"/>
    <w:rsid w:val="7BED58E9"/>
    <w:rsid w:val="7C0D2354"/>
    <w:rsid w:val="7C5E55FE"/>
    <w:rsid w:val="7C6474E7"/>
    <w:rsid w:val="7C784117"/>
    <w:rsid w:val="7C9A0358"/>
    <w:rsid w:val="7CB5483E"/>
    <w:rsid w:val="7CC7512A"/>
    <w:rsid w:val="7CD059AC"/>
    <w:rsid w:val="7CD213A4"/>
    <w:rsid w:val="7CD815A0"/>
    <w:rsid w:val="7D1D653F"/>
    <w:rsid w:val="7D3609AD"/>
    <w:rsid w:val="7DBC26F2"/>
    <w:rsid w:val="7DEC1C06"/>
    <w:rsid w:val="7DF80AD9"/>
    <w:rsid w:val="7E4A1140"/>
    <w:rsid w:val="7EAA505D"/>
    <w:rsid w:val="7EB355B9"/>
    <w:rsid w:val="7F077F50"/>
    <w:rsid w:val="7F5E0DEA"/>
    <w:rsid w:val="7FF6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5">
    <w:name w:val="heading 3"/>
    <w:basedOn w:val="1"/>
    <w:next w:val="1"/>
    <w:link w:val="34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link w:val="19"/>
    <w:semiHidden/>
    <w:unhideWhenUsed/>
    <w:qFormat/>
    <w:uiPriority w:val="1"/>
    <w:rPr>
      <w:rFonts w:ascii="Verdana" w:hAnsi="Verdana"/>
      <w:kern w:val="0"/>
      <w:sz w:val="20"/>
      <w:szCs w:val="20"/>
      <w:lang w:eastAsia="en-US"/>
    </w:rPr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6">
    <w:name w:val="table of authorities"/>
    <w:basedOn w:val="1"/>
    <w:next w:val="1"/>
    <w:qFormat/>
    <w:uiPriority w:val="0"/>
    <w:pPr>
      <w:spacing w:line="360" w:lineRule="auto"/>
      <w:ind w:left="420" w:leftChars="200" w:firstLine="640" w:firstLineChars="200"/>
    </w:pPr>
    <w:rPr>
      <w:sz w:val="24"/>
      <w:szCs w:val="24"/>
    </w:rPr>
  </w:style>
  <w:style w:type="paragraph" w:styleId="7">
    <w:name w:val="Normal Indent"/>
    <w:basedOn w:val="1"/>
    <w:qFormat/>
    <w:uiPriority w:val="0"/>
    <w:pPr>
      <w:ind w:firstLine="420"/>
    </w:pPr>
    <w:rPr>
      <w:rFonts w:eastAsia="仿宋_GB2312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Body Text"/>
    <w:basedOn w:val="1"/>
    <w:qFormat/>
    <w:uiPriority w:val="0"/>
    <w:pPr>
      <w:spacing w:after="120"/>
    </w:pPr>
  </w:style>
  <w:style w:type="paragraph" w:styleId="10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11">
    <w:name w:val="Balloon Text"/>
    <w:basedOn w:val="1"/>
    <w:link w:val="35"/>
    <w:qFormat/>
    <w:uiPriority w:val="0"/>
    <w:pPr>
      <w:spacing w:line="240" w:lineRule="auto"/>
    </w:pPr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0"/>
    <w:pPr>
      <w:widowControl/>
      <w:spacing w:after="100" w:line="276" w:lineRule="auto"/>
      <w:jc w:val="left"/>
    </w:pPr>
    <w:rPr>
      <w:kern w:val="0"/>
      <w:sz w:val="22"/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 Char Char Char Char Char Char Char Char Char Char Char Char Char Char Char Char Char Char Char"/>
    <w:basedOn w:val="1"/>
    <w:link w:val="18"/>
    <w:qFormat/>
    <w:uiPriority w:val="0"/>
    <w:pPr>
      <w:widowControl/>
      <w:spacing w:after="160" w:afterLines="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styleId="20">
    <w:name w:val="Strong"/>
    <w:qFormat/>
    <w:uiPriority w:val="0"/>
    <w:rPr>
      <w:b/>
      <w:bCs/>
    </w:rPr>
  </w:style>
  <w:style w:type="character" w:styleId="21">
    <w:name w:val="page number"/>
    <w:basedOn w:val="18"/>
    <w:qFormat/>
    <w:uiPriority w:val="0"/>
  </w:style>
  <w:style w:type="character" w:styleId="22">
    <w:name w:val="FollowedHyperlink"/>
    <w:basedOn w:val="18"/>
    <w:qFormat/>
    <w:uiPriority w:val="0"/>
    <w:rPr>
      <w:color w:val="333333"/>
      <w:u w:val="none"/>
    </w:rPr>
  </w:style>
  <w:style w:type="character" w:styleId="23">
    <w:name w:val="Hyperlink"/>
    <w:basedOn w:val="18"/>
    <w:qFormat/>
    <w:uiPriority w:val="0"/>
    <w:rPr>
      <w:color w:val="0000FF"/>
      <w:u w:val="single"/>
    </w:rPr>
  </w:style>
  <w:style w:type="character" w:styleId="24">
    <w:name w:val="annotation reference"/>
    <w:basedOn w:val="18"/>
    <w:qFormat/>
    <w:uiPriority w:val="0"/>
    <w:rPr>
      <w:sz w:val="21"/>
      <w:szCs w:val="21"/>
    </w:rPr>
  </w:style>
  <w:style w:type="paragraph" w:customStyle="1" w:styleId="25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26">
    <w:name w:val="WW-纯文本"/>
    <w:basedOn w:val="1"/>
    <w:qFormat/>
    <w:uiPriority w:val="0"/>
    <w:pPr>
      <w:suppressAutoHyphens/>
      <w:spacing w:line="312" w:lineRule="atLeast"/>
      <w:textAlignment w:val="baseline"/>
    </w:pPr>
    <w:rPr>
      <w:rFonts w:ascii="宋体" w:hAnsi="宋体" w:eastAsia="楷体_GB2312" w:cs="Courier New"/>
      <w:sz w:val="21"/>
      <w:szCs w:val="21"/>
    </w:rPr>
  </w:style>
  <w:style w:type="paragraph" w:customStyle="1" w:styleId="27">
    <w:name w:val="表文"/>
    <w:basedOn w:val="1"/>
    <w:qFormat/>
    <w:uiPriority w:val="0"/>
    <w:pPr>
      <w:tabs>
        <w:tab w:val="left" w:pos="1021"/>
      </w:tabs>
      <w:jc w:val="center"/>
    </w:pPr>
    <w:rPr>
      <w:kern w:val="0"/>
      <w:position w:val="-24"/>
      <w:sz w:val="21"/>
      <w:szCs w:val="21"/>
    </w:rPr>
  </w:style>
  <w:style w:type="paragraph" w:customStyle="1" w:styleId="28">
    <w:name w:val="内容"/>
    <w:basedOn w:val="1"/>
    <w:link w:val="40"/>
    <w:qFormat/>
    <w:uiPriority w:val="0"/>
    <w:pPr>
      <w:spacing w:beforeLines="50" w:afterLines="50" w:line="240" w:lineRule="auto"/>
      <w:ind w:firstLine="200" w:firstLineChars="200"/>
    </w:pPr>
    <w:rPr>
      <w:color w:val="000000"/>
      <w:szCs w:val="24"/>
    </w:rPr>
  </w:style>
  <w:style w:type="paragraph" w:customStyle="1" w:styleId="29">
    <w:name w:val="【正文】"/>
    <w:basedOn w:val="1"/>
    <w:qFormat/>
    <w:uiPriority w:val="0"/>
    <w:pPr>
      <w:spacing w:line="440" w:lineRule="exact"/>
      <w:ind w:firstLine="544" w:firstLineChars="200"/>
    </w:pPr>
    <w:rPr>
      <w:rFonts w:ascii="Times New Roman" w:hAnsi="Times New Roman" w:eastAsia="宋体" w:cs="宋体"/>
      <w:szCs w:val="24"/>
    </w:rPr>
  </w:style>
  <w:style w:type="paragraph" w:customStyle="1" w:styleId="30">
    <w:name w:val="正文样式1"/>
    <w:basedOn w:val="1"/>
    <w:qFormat/>
    <w:uiPriority w:val="0"/>
    <w:pPr>
      <w:adjustRightInd w:val="0"/>
      <w:spacing w:line="288" w:lineRule="auto"/>
      <w:ind w:firstLine="360" w:firstLineChars="150"/>
      <w:textAlignment w:val="baseline"/>
    </w:pPr>
    <w:rPr>
      <w:rFonts w:ascii="Times New Roman" w:hAnsi="Times New Roman" w:eastAsia="宋体" w:cs="Times New Roman"/>
      <w:kern w:val="0"/>
      <w:szCs w:val="24"/>
    </w:rPr>
  </w:style>
  <w:style w:type="paragraph" w:customStyle="1" w:styleId="31">
    <w:name w:val="正文1"/>
    <w:basedOn w:val="1"/>
    <w:qFormat/>
    <w:uiPriority w:val="0"/>
    <w:pPr>
      <w:adjustRightInd w:val="0"/>
      <w:spacing w:line="360" w:lineRule="atLeast"/>
      <w:jc w:val="left"/>
      <w:textAlignment w:val="baseline"/>
    </w:pPr>
    <w:rPr>
      <w:rFonts w:ascii="宋体" w:hAnsi="Calibri" w:eastAsia="宋体" w:cs="宋体"/>
      <w:kern w:val="0"/>
      <w:szCs w:val="24"/>
    </w:rPr>
  </w:style>
  <w:style w:type="paragraph" w:customStyle="1" w:styleId="32">
    <w:name w:val="表格填充项"/>
    <w:basedOn w:val="1"/>
    <w:qFormat/>
    <w:uiPriority w:val="0"/>
    <w:pPr>
      <w:spacing w:line="240" w:lineRule="atLeast"/>
      <w:jc w:val="center"/>
    </w:pPr>
    <w:rPr>
      <w:rFonts w:ascii="宋体" w:hAnsi="宋体"/>
      <w:b/>
    </w:rPr>
  </w:style>
  <w:style w:type="paragraph" w:customStyle="1" w:styleId="33">
    <w:name w:val="表中大字"/>
    <w:basedOn w:val="1"/>
    <w:qFormat/>
    <w:uiPriority w:val="0"/>
    <w:pPr>
      <w:spacing w:line="440" w:lineRule="exact"/>
      <w:jc w:val="center"/>
      <w:textAlignment w:val="center"/>
    </w:pPr>
    <w:rPr>
      <w:rFonts w:ascii="Times New Roman" w:hAnsi="Times New Roman" w:eastAsia="宋体" w:cs="Times New Roman"/>
      <w:sz w:val="28"/>
      <w:szCs w:val="28"/>
    </w:rPr>
  </w:style>
  <w:style w:type="character" w:customStyle="1" w:styleId="34">
    <w:name w:val="标题 3 Char"/>
    <w:basedOn w:val="18"/>
    <w:link w:val="5"/>
    <w:qFormat/>
    <w:uiPriority w:val="9"/>
    <w:rPr>
      <w:b/>
      <w:bCs/>
      <w:sz w:val="32"/>
      <w:szCs w:val="32"/>
    </w:rPr>
  </w:style>
  <w:style w:type="character" w:customStyle="1" w:styleId="35">
    <w:name w:val="批注框文本 Char"/>
    <w:basedOn w:val="18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6">
    <w:name w:val="页眉 Char"/>
    <w:basedOn w:val="18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37">
    <w:name w:val="正文00"/>
    <w:basedOn w:val="1"/>
    <w:qFormat/>
    <w:uiPriority w:val="0"/>
    <w:pPr>
      <w:widowControl/>
      <w:spacing w:line="425" w:lineRule="atLeast"/>
      <w:ind w:left="107" w:leftChars="51" w:right="124" w:rightChars="59" w:firstLine="480"/>
      <w:textAlignment w:val="baseline"/>
    </w:pPr>
    <w:rPr>
      <w:sz w:val="28"/>
      <w:u w:val="none" w:color="000000"/>
    </w:rPr>
  </w:style>
  <w:style w:type="paragraph" w:customStyle="1" w:styleId="38">
    <w:name w:val="单元格"/>
    <w:basedOn w:val="1"/>
    <w:qFormat/>
    <w:uiPriority w:val="0"/>
    <w:pPr>
      <w:jc w:val="center"/>
    </w:pPr>
    <w:rPr>
      <w:rFonts w:ascii="楷体_GB2312" w:hAnsi="Times New Roman" w:eastAsia="楷体_GB2312" w:cs="Times New Roman"/>
      <w:szCs w:val="20"/>
    </w:rPr>
  </w:style>
  <w:style w:type="paragraph" w:customStyle="1" w:styleId="39">
    <w:name w:val="内容列表"/>
    <w:basedOn w:val="1"/>
    <w:qFormat/>
    <w:uiPriority w:val="99"/>
    <w:pPr>
      <w:spacing w:line="480" w:lineRule="exact"/>
      <w:ind w:firstLine="480" w:firstLineChars="200"/>
    </w:pPr>
    <w:rPr>
      <w:rFonts w:ascii="宋体" w:hAnsi="宋体" w:eastAsia="宋体" w:cs="Times New Roman"/>
      <w:bCs/>
      <w:sz w:val="24"/>
      <w:szCs w:val="24"/>
    </w:rPr>
  </w:style>
  <w:style w:type="character" w:customStyle="1" w:styleId="40">
    <w:name w:val="内容 Char"/>
    <w:link w:val="28"/>
    <w:qFormat/>
    <w:uiPriority w:val="0"/>
    <w:rPr>
      <w:color w:val="000000"/>
      <w:szCs w:val="24"/>
    </w:rPr>
  </w:style>
  <w:style w:type="paragraph" w:customStyle="1" w:styleId="41">
    <w:name w:val="表格题目"/>
    <w:basedOn w:val="1"/>
    <w:qFormat/>
    <w:uiPriority w:val="0"/>
    <w:pPr>
      <w:spacing w:line="240" w:lineRule="atLeast"/>
      <w:jc w:val="center"/>
    </w:pPr>
    <w:rPr>
      <w:rFonts w:ascii="黑体" w:hAnsi="宋体" w:eastAsia="黑体" w:cs="Times New Roman"/>
      <w:sz w:val="24"/>
      <w:szCs w:val="24"/>
    </w:rPr>
  </w:style>
  <w:style w:type="paragraph" w:customStyle="1" w:styleId="42">
    <w:name w:val="正文文本缩进 21"/>
    <w:basedOn w:val="1"/>
    <w:qFormat/>
    <w:uiPriority w:val="0"/>
    <w:pPr>
      <w:spacing w:after="120" w:line="480" w:lineRule="auto"/>
      <w:ind w:left="420" w:leftChars="200"/>
    </w:pPr>
  </w:style>
  <w:style w:type="paragraph" w:customStyle="1" w:styleId="43">
    <w:name w:val="2表中文字"/>
    <w:qFormat/>
    <w:uiPriority w:val="0"/>
    <w:pPr>
      <w:jc w:val="center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44">
    <w:name w:val="1黑体头"/>
    <w:basedOn w:val="1"/>
    <w:qFormat/>
    <w:uiPriority w:val="0"/>
    <w:pPr>
      <w:spacing w:line="360" w:lineRule="auto"/>
      <w:ind w:firstLine="479" w:firstLineChars="199"/>
      <w:jc w:val="left"/>
      <w:textAlignment w:val="center"/>
    </w:pPr>
    <w:rPr>
      <w:b/>
      <w:sz w:val="24"/>
    </w:rPr>
  </w:style>
  <w:style w:type="paragraph" w:customStyle="1" w:styleId="45">
    <w:name w:val="【表中文字】"/>
    <w:basedOn w:val="1"/>
    <w:qFormat/>
    <w:uiPriority w:val="0"/>
    <w:pPr>
      <w:jc w:val="center"/>
    </w:pPr>
    <w:rPr>
      <w:rFonts w:ascii="Calibri" w:hAnsi="Calibri"/>
      <w:szCs w:val="20"/>
    </w:rPr>
  </w:style>
  <w:style w:type="character" w:customStyle="1" w:styleId="46">
    <w:name w:val="font31"/>
    <w:basedOn w:val="1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47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 w:eastAsia="宋体"/>
      <w:sz w:val="24"/>
    </w:rPr>
  </w:style>
  <w:style w:type="character" w:customStyle="1" w:styleId="48">
    <w:name w:val="more1"/>
    <w:basedOn w:val="18"/>
    <w:qFormat/>
    <w:uiPriority w:val="0"/>
  </w:style>
  <w:style w:type="character" w:customStyle="1" w:styleId="49">
    <w:name w:val="rtitle"/>
    <w:basedOn w:val="18"/>
    <w:qFormat/>
    <w:uiPriority w:val="0"/>
    <w:rPr>
      <w:b/>
      <w:color w:val="BF1F0D"/>
    </w:rPr>
  </w:style>
  <w:style w:type="paragraph" w:customStyle="1" w:styleId="50">
    <w:name w:val="Normal"/>
    <w:basedOn w:val="1"/>
    <w:qFormat/>
    <w:uiPriority w:val="0"/>
    <w:pPr>
      <w:keepNext w:val="0"/>
      <w:keepLines w:val="0"/>
      <w:widowControl w:val="0"/>
      <w:suppressLineNumbers w:val="0"/>
      <w:adjustRightInd w:val="0"/>
      <w:spacing w:before="0" w:beforeLines="0" w:beforeAutospacing="0" w:after="0" w:afterLines="0" w:afterAutospacing="0" w:line="360" w:lineRule="atLeast"/>
      <w:ind w:left="0" w:right="0"/>
      <w:jc w:val="left"/>
    </w:pPr>
    <w:rPr>
      <w:rFonts w:hint="eastAsia" w:ascii="宋体" w:hAnsi="Times New Roman" w:eastAsia="宋体" w:cs="Times New Roman"/>
      <w:kern w:val="0"/>
      <w:sz w:val="24"/>
      <w:szCs w:val="20"/>
      <w:lang w:val="en-US" w:eastAsia="zh-CN" w:bidi="ar"/>
    </w:rPr>
  </w:style>
  <w:style w:type="character" w:customStyle="1" w:styleId="51">
    <w:name w:val="正文文本 (2) Exact"/>
    <w:unhideWhenUsed/>
    <w:qFormat/>
    <w:uiPriority w:val="99"/>
    <w:rPr>
      <w:rFonts w:hint="eastAsia" w:ascii="宋体" w:hAnsi="宋体" w:eastAsia="宋体"/>
      <w:spacing w:val="10"/>
      <w:sz w:val="22"/>
    </w:rPr>
  </w:style>
  <w:style w:type="paragraph" w:customStyle="1" w:styleId="5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3">
    <w:name w:val="表头"/>
    <w:basedOn w:val="1"/>
    <w:next w:val="1"/>
    <w:qFormat/>
    <w:uiPriority w:val="0"/>
    <w:pPr>
      <w:adjustRightInd w:val="0"/>
      <w:snapToGrid w:val="0"/>
      <w:spacing w:before="60" w:beforeLines="25"/>
      <w:jc w:val="center"/>
      <w:textAlignment w:val="baseline"/>
    </w:pPr>
    <w:rPr>
      <w:rFonts w:hAnsi="宋体" w:eastAsia="仿宋_GB2312"/>
      <w:b/>
      <w:kern w:val="0"/>
      <w:sz w:val="28"/>
      <w:szCs w:val="28"/>
    </w:rPr>
  </w:style>
  <w:style w:type="paragraph" w:customStyle="1" w:styleId="54">
    <w:name w:val="正文缩进1"/>
    <w:basedOn w:val="1"/>
    <w:qFormat/>
    <w:uiPriority w:val="0"/>
    <w:pPr>
      <w:spacing w:line="520" w:lineRule="exact"/>
      <w:ind w:firstLine="624"/>
    </w:pPr>
    <w:rPr>
      <w:sz w:val="28"/>
    </w:rPr>
  </w:style>
  <w:style w:type="character" w:customStyle="1" w:styleId="55">
    <w:name w:val="正文文本 (10) Exact"/>
    <w:basedOn w:val="18"/>
    <w:unhideWhenUsed/>
    <w:qFormat/>
    <w:uiPriority w:val="99"/>
    <w:rPr>
      <w:rFonts w:hint="eastAsia" w:ascii="宋体" w:hAnsi="宋体" w:eastAsia="宋体"/>
      <w:sz w:val="22"/>
    </w:rPr>
  </w:style>
  <w:style w:type="character" w:customStyle="1" w:styleId="56">
    <w:name w:val="正文文本 (10) + 11.5 pt"/>
    <w:basedOn w:val="57"/>
    <w:unhideWhenUsed/>
    <w:qFormat/>
    <w:uiPriority w:val="99"/>
    <w:rPr>
      <w:rFonts w:hint="eastAsia"/>
      <w:b/>
      <w:color w:val="000000"/>
      <w:sz w:val="23"/>
    </w:rPr>
  </w:style>
  <w:style w:type="character" w:customStyle="1" w:styleId="57">
    <w:name w:val="正文文本 (10)_"/>
    <w:basedOn w:val="18"/>
    <w:link w:val="58"/>
    <w:unhideWhenUsed/>
    <w:qFormat/>
    <w:uiPriority w:val="99"/>
    <w:rPr>
      <w:rFonts w:hint="eastAsia" w:ascii="宋体" w:hAnsi="宋体" w:eastAsia="宋体"/>
      <w:sz w:val="22"/>
    </w:rPr>
  </w:style>
  <w:style w:type="paragraph" w:customStyle="1" w:styleId="58">
    <w:name w:val="正文文本 (10)"/>
    <w:basedOn w:val="1"/>
    <w:link w:val="57"/>
    <w:unhideWhenUsed/>
    <w:qFormat/>
    <w:uiPriority w:val="99"/>
    <w:pPr>
      <w:shd w:val="clear" w:color="auto" w:fill="FFFFFF"/>
      <w:spacing w:beforeLines="0" w:afterLines="0" w:line="240" w:lineRule="atLeast"/>
    </w:pPr>
    <w:rPr>
      <w:rFonts w:hint="eastAsia" w:ascii="宋体" w:hAnsi="宋体" w:eastAsia="宋体"/>
      <w:sz w:val="22"/>
    </w:rPr>
  </w:style>
  <w:style w:type="character" w:customStyle="1" w:styleId="59">
    <w:name w:val="标题 #3 Exact"/>
    <w:basedOn w:val="18"/>
    <w:unhideWhenUsed/>
    <w:qFormat/>
    <w:uiPriority w:val="99"/>
    <w:rPr>
      <w:rFonts w:hint="eastAsia" w:ascii="宋体" w:hAnsi="宋体" w:eastAsia="宋体"/>
      <w:b/>
      <w:sz w:val="23"/>
    </w:rPr>
  </w:style>
  <w:style w:type="paragraph" w:customStyle="1" w:styleId="60">
    <w:name w:val="正文文本 (2)"/>
    <w:basedOn w:val="1"/>
    <w:link w:val="62"/>
    <w:unhideWhenUsed/>
    <w:qFormat/>
    <w:uiPriority w:val="99"/>
    <w:pPr>
      <w:shd w:val="clear" w:color="auto" w:fill="FFFFFF"/>
      <w:spacing w:before="720" w:beforeLines="0" w:afterLines="0" w:line="499" w:lineRule="exact"/>
    </w:pPr>
    <w:rPr>
      <w:rFonts w:hint="eastAsia" w:ascii="宋体" w:hAnsi="宋体" w:eastAsia="宋体"/>
      <w:sz w:val="22"/>
    </w:rPr>
  </w:style>
  <w:style w:type="character" w:customStyle="1" w:styleId="61">
    <w:name w:val="正文文本 (2)1"/>
    <w:basedOn w:val="62"/>
    <w:unhideWhenUsed/>
    <w:qFormat/>
    <w:uiPriority w:val="99"/>
    <w:rPr>
      <w:rFonts w:hint="eastAsia"/>
      <w:sz w:val="22"/>
    </w:rPr>
  </w:style>
  <w:style w:type="character" w:customStyle="1" w:styleId="62">
    <w:name w:val="正文文本 (2)_"/>
    <w:basedOn w:val="18"/>
    <w:link w:val="60"/>
    <w:unhideWhenUsed/>
    <w:qFormat/>
    <w:uiPriority w:val="99"/>
    <w:rPr>
      <w:rFonts w:hint="eastAsia" w:ascii="宋体" w:hAnsi="宋体" w:eastAsia="宋体"/>
      <w:sz w:val="22"/>
    </w:rPr>
  </w:style>
  <w:style w:type="character" w:customStyle="1" w:styleId="63">
    <w:name w:val="正文文本 (2) + Georgia"/>
    <w:basedOn w:val="62"/>
    <w:unhideWhenUsed/>
    <w:qFormat/>
    <w:uiPriority w:val="99"/>
    <w:rPr>
      <w:rFonts w:hint="default" w:ascii="Georgia" w:hAnsi="Georgia" w:eastAsia="Georgia"/>
      <w:sz w:val="21"/>
      <w:u w:val="single"/>
      <w:lang w:val="en-US" w:eastAsia="en-US"/>
    </w:rPr>
  </w:style>
  <w:style w:type="paragraph" w:customStyle="1" w:styleId="64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表体"/>
    <w:basedOn w:val="1"/>
    <w:qFormat/>
    <w:uiPriority w:val="0"/>
    <w:pPr>
      <w:overflowPunct w:val="0"/>
      <w:adjustRightInd w:val="0"/>
      <w:spacing w:line="300" w:lineRule="atLeast"/>
      <w:jc w:val="center"/>
      <w:textAlignment w:val="baseline"/>
    </w:pPr>
    <w:rPr>
      <w:rFonts w:eastAsia="宋体"/>
      <w:snapToGrid w:val="0"/>
      <w:kern w:val="0"/>
      <w:sz w:val="18"/>
      <w:szCs w:val="20"/>
    </w:rPr>
  </w:style>
  <w:style w:type="character" w:customStyle="1" w:styleId="66">
    <w:name w:val="font2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7">
    <w:name w:val="font41"/>
    <w:basedOn w:val="1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68">
    <w:name w:val="font11"/>
    <w:basedOn w:val="1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  <w:vertAlign w:val="subscript"/>
    </w:rPr>
  </w:style>
  <w:style w:type="character" w:customStyle="1" w:styleId="69">
    <w:name w:val="font0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b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3" Type="http://schemas.openxmlformats.org/officeDocument/2006/relationships/glossaryDocument" Target="glossary/document.xml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2.pn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png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cd6f4ffe-6f4d-4d7d-a3b6-ae2c579db2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d6f4ffe-6f4d-4d7d-a3b6-ae2c579db2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11da7be-ca15-403f-918d-676385f806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11da7be-ca15-403f-918d-676385f806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8b7a11c-ad7f-4630-994c-f6beb948da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8b7a11c-ad7f-4630-994c-f6beb948da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341ac12-8de6-4835-9705-ddae4f0010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41ac12-8de6-4835-9705-ddae4f0010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9adad1-58fd-48b0-a19a-8fda817c62d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9adad1-58fd-48b0-a19a-8fda817c62d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302de0-a819-4c90-b38d-9dab409c786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302de0-a819-4c90-b38d-9dab409c786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f5f173-e529-479e-b180-58fb791e897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f5f173-e529-479e-b180-58fb791e897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c7df1a4-b239-43d8-bf6c-ca5e95cf9c8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7df1a4-b239-43d8-bf6c-ca5e95cf9c8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35a39b6-17ee-4787-b765-89bbe919449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35a39b6-17ee-4787-b765-89bbe919449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1c048c2-2fb9-4b76-840a-a5684b2102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1c048c2-2fb9-4b76-840a-a5684b2102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ff80046-e422-4d1b-95c3-b2331cca531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ff80046-e422-4d1b-95c3-b2331cca531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5990fb-a937-4433-a17f-4b9515f4c36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5990fb-a937-4433-a17f-4b9515f4c36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0540136-6ec0-47c3-8cfb-e6709e1b36b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0540136-6ec0-47c3-8cfb-e6709e1b36b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09783ae-f088-46dc-a162-dad51f2e0d9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09783ae-f088-46dc-a162-dad51f2e0d9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16678d1-7257-4e25-a2fa-d9707ddcdd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16678d1-7257-4e25-a2fa-d9707ddcddd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1697ce5-b0bd-48ce-9a39-76703a72c4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1697ce5-b0bd-48ce-9a39-76703a72c4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6ef2ac-d9bc-46f4-9e61-8a5d778f47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6ef2ac-d9bc-46f4-9e61-8a5d778f47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e3cb326-7130-48d8-8c1f-9e73b1b4e18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3cb326-7130-48d8-8c1f-9e73b1b4e18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a7a887-7b35-4f0e-ae0a-69bb057c0b8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a7a887-7b35-4f0e-ae0a-69bb057c0b8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43</Pages>
  <Words>2825</Words>
  <Characters>16103</Characters>
  <Lines>134</Lines>
  <Paragraphs>37</Paragraphs>
  <TotalTime>13</TotalTime>
  <ScaleCrop>false</ScaleCrop>
  <LinksUpToDate>false</LinksUpToDate>
  <CharactersWithSpaces>18891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2019-09-03T01:15:36Z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