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56"/>
          <w:szCs w:val="9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56"/>
          <w:szCs w:val="9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56"/>
          <w:szCs w:val="9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56"/>
          <w:szCs w:val="96"/>
          <w:lang w:val="en-US" w:eastAsia="zh-CN"/>
        </w:rPr>
      </w:pPr>
      <w:r>
        <w:rPr>
          <w:rFonts w:hint="default" w:ascii="Times New Roman" w:hAnsi="Times New Roman" w:cs="Times New Roman"/>
          <w:sz w:val="56"/>
          <w:szCs w:val="96"/>
          <w:lang w:val="en-US" w:eastAsia="zh-CN"/>
        </w:rPr>
        <w:t>同江市长恒热电有限公司</w:t>
      </w:r>
    </w:p>
    <w:p>
      <w:pPr>
        <w:jc w:val="center"/>
        <w:rPr>
          <w:rFonts w:hint="default" w:ascii="Times New Roman" w:hAnsi="Times New Roman" w:cs="Times New Roman"/>
          <w:sz w:val="56"/>
          <w:szCs w:val="96"/>
          <w:lang w:val="en-US" w:eastAsia="zh-CN"/>
        </w:rPr>
      </w:pPr>
      <w:r>
        <w:rPr>
          <w:rFonts w:hint="eastAsia" w:ascii="Times New Roman" w:hAnsi="Times New Roman" w:cs="Times New Roman"/>
          <w:sz w:val="56"/>
          <w:szCs w:val="96"/>
          <w:lang w:val="en-US" w:eastAsia="zh-CN"/>
        </w:rPr>
        <w:t>噪声</w:t>
      </w:r>
      <w:r>
        <w:rPr>
          <w:rFonts w:hint="default" w:ascii="Times New Roman" w:hAnsi="Times New Roman" w:cs="Times New Roman"/>
          <w:sz w:val="56"/>
          <w:szCs w:val="96"/>
          <w:lang w:val="en-US" w:eastAsia="zh-CN"/>
        </w:rPr>
        <w:t>监测方案</w:t>
      </w:r>
    </w:p>
    <w:p>
      <w:pPr>
        <w:tabs>
          <w:tab w:val="left" w:pos="5163"/>
        </w:tabs>
        <w:jc w:val="left"/>
        <w:rPr>
          <w:rFonts w:hint="default" w:ascii="Times New Roman" w:hAnsi="Times New Roman" w:cs="Times New Roman"/>
          <w:sz w:val="56"/>
          <w:szCs w:val="96"/>
          <w:lang w:val="en-US" w:eastAsia="zh-CN"/>
        </w:rPr>
      </w:pPr>
      <w:r>
        <w:rPr>
          <w:rFonts w:hint="eastAsia" w:ascii="Times New Roman" w:hAnsi="Times New Roman" w:cs="Times New Roman"/>
          <w:sz w:val="56"/>
          <w:szCs w:val="96"/>
          <w:lang w:val="en-US" w:eastAsia="zh-CN"/>
        </w:rPr>
        <w:tab/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56"/>
          <w:szCs w:val="9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56"/>
          <w:szCs w:val="9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56"/>
          <w:szCs w:val="9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56"/>
          <w:szCs w:val="96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56"/>
          <w:szCs w:val="9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黑龙江省洁源检测技术有限公司</w:t>
      </w:r>
    </w:p>
    <w:p>
      <w:pPr>
        <w:jc w:val="center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2017年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11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日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shd w:val="clear" w:color="auto" w:fill="FFFFFF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shd w:val="clear" w:color="auto" w:fill="FFFFFF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shd w:val="clear" w:color="auto" w:fill="FFFFFF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shd w:val="clear" w:color="auto" w:fill="FFFFFF"/>
          <w:vertAlign w:val="baseline"/>
          <w:lang w:val="en-US" w:eastAsia="zh-CN"/>
        </w:rPr>
        <w:t>1、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vertAlign w:val="baseline"/>
          <w:lang w:val="en-US" w:eastAsia="zh-CN"/>
        </w:rPr>
        <w:t>监测点位：厂界外东、西、南、北各设一个监测点，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shd w:val="clear" w:color="auto" w:fill="FFFFFF"/>
          <w:vertAlign w:val="baseline"/>
          <w:lang w:val="en-US" w:eastAsia="zh-CN"/>
        </w:rPr>
        <w:t>2、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vertAlign w:val="baseline"/>
          <w:lang w:val="en-US" w:eastAsia="zh-CN"/>
        </w:rPr>
        <w:t>监测频次：每天2次，监测2天，昼1次，夜1次，每季监测1次。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vertAlign w:val="baseline"/>
          <w:lang w:val="en-US" w:eastAsia="zh-CN"/>
        </w:rPr>
        <w:t>各类声环境功能区适用于表1规定的环境噪声等效声级限制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声环境功能区类别</w:t>
            </w:r>
          </w:p>
        </w:tc>
        <w:tc>
          <w:tcPr>
            <w:tcW w:w="34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昼间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夜间</w:t>
            </w:r>
          </w:p>
        </w:tc>
        <w:tc>
          <w:tcPr>
            <w:tcW w:w="17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每季度开展一次昼夜监测，监测指标为等效A声级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4a类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4b类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shd w:val="clear" w:color="auto" w:fill="FFFFFF"/>
          <w:vertAlign w:val="baseline"/>
          <w:lang w:val="en-US" w:eastAsia="zh-CN"/>
        </w:rPr>
        <w:t>3、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质量控制和质量保证</w:t>
      </w:r>
    </w:p>
    <w:p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（1）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机构和人员：公司自行监测采用委托监测的方法。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（2）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监测分析方法要求：首先采用国家标准方法，在没有国标方法时，可采用行业标准方法或国家环保部推荐方法（尽可能与监督性监测方法一致）。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（3）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仪器要求：所有监测仪器、量具均经过质检部门检定合格并在有效期内使用。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（4）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环境空气、废气监测要求：按照《环境空气质量手工监测技术规范》（HJ/T164-2004）、《固定源废气监测技术规范》（HJ/T397-2007）和《固定汚染源监测质量保证与质量控制技术规范》（HJ/T373-2007）中的要求进行。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（5）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噪声监测要求:布点、测量、气象条件按照《工业企业厂界环境噪声排放标准》（GB12348-2008）进行，声级计在测量前、后必须在测量现场进行声学校准。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（6）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记录报告要求：现场监测和实验室分析原始记录应详细、准确、不得随意涂改。监测数据和报告经“三校”“三审”。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D60E8"/>
    <w:rsid w:val="045D6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2017-11-03T06:22:00Z</dcterms:created>
  <dc:creator>呼xi</dc:creator>
  <cp:lastModifiedBy>呼xi</cp:lastModifiedBy>
  <cp:lastPrinted>2017-11-03T06:27:33Z</cp:lastPrinted>
  <dcterms:modified xsi:type="dcterms:W3CDTF">2017-11-03T06:45:26Z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